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934" w:rsidRPr="001D200B" w:rsidRDefault="0053455B" w:rsidP="00920934">
      <w:pPr>
        <w:spacing w:line="440" w:lineRule="exact"/>
        <w:jc w:val="center"/>
        <w:rPr>
          <w:rFonts w:cstheme="minorHAnsi"/>
          <w:sz w:val="52"/>
        </w:rPr>
      </w:pPr>
      <w:r w:rsidRPr="001D200B">
        <w:rPr>
          <w:rFonts w:cstheme="minorHAnsi"/>
          <w:noProof/>
          <w:sz w:val="52"/>
        </w:rPr>
        <w:drawing>
          <wp:anchor distT="0" distB="0" distL="114300" distR="114300" simplePos="0" relativeHeight="251675648" behindDoc="0" locked="0" layoutInCell="1" allowOverlap="1">
            <wp:simplePos x="0" y="0"/>
            <wp:positionH relativeFrom="column">
              <wp:posOffset>1842770</wp:posOffset>
            </wp:positionH>
            <wp:positionV relativeFrom="paragraph">
              <wp:posOffset>67945</wp:posOffset>
            </wp:positionV>
            <wp:extent cx="2016760" cy="2390775"/>
            <wp:effectExtent l="19050" t="0" r="2540" b="0"/>
            <wp:wrapSquare wrapText="bothSides"/>
            <wp:docPr id="11" name="Obraz 7" descr="http://www.bip.umig.polaniec.pl/upload/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http://www.bip.umig.polaniec.pl/upload/herb.jpg"/>
                    <pic:cNvPicPr>
                      <a:picLocks noChangeAspect="1" noChangeArrowheads="1"/>
                    </pic:cNvPicPr>
                  </pic:nvPicPr>
                  <pic:blipFill>
                    <a:blip r:embed="rId8" cstate="print"/>
                    <a:srcRect/>
                    <a:stretch>
                      <a:fillRect/>
                    </a:stretch>
                  </pic:blipFill>
                  <pic:spPr bwMode="auto">
                    <a:xfrm>
                      <a:off x="0" y="0"/>
                      <a:ext cx="2016760" cy="2390775"/>
                    </a:xfrm>
                    <a:prstGeom prst="rect">
                      <a:avLst/>
                    </a:prstGeom>
                    <a:noFill/>
                    <a:ln w="9525">
                      <a:noFill/>
                      <a:miter lim="800000"/>
                      <a:headEnd/>
                      <a:tailEnd/>
                    </a:ln>
                  </pic:spPr>
                </pic:pic>
              </a:graphicData>
            </a:graphic>
          </wp:anchor>
        </w:drawing>
      </w:r>
    </w:p>
    <w:p w:rsidR="00920934" w:rsidRPr="001D200B" w:rsidRDefault="00920934" w:rsidP="00920934">
      <w:pPr>
        <w:spacing w:line="440" w:lineRule="exact"/>
        <w:jc w:val="center"/>
        <w:rPr>
          <w:rFonts w:cstheme="minorHAnsi"/>
          <w:sz w:val="52"/>
        </w:rPr>
      </w:pPr>
    </w:p>
    <w:p w:rsidR="00920934" w:rsidRPr="001D200B" w:rsidRDefault="00920934" w:rsidP="00920934">
      <w:pPr>
        <w:spacing w:line="440" w:lineRule="exact"/>
        <w:jc w:val="center"/>
        <w:rPr>
          <w:rFonts w:cstheme="minorHAnsi"/>
          <w:sz w:val="52"/>
        </w:rPr>
      </w:pPr>
    </w:p>
    <w:p w:rsidR="00920934" w:rsidRPr="001D200B" w:rsidRDefault="00920934" w:rsidP="00920934">
      <w:pPr>
        <w:spacing w:line="440" w:lineRule="exact"/>
        <w:jc w:val="center"/>
        <w:rPr>
          <w:rFonts w:cstheme="minorHAnsi"/>
          <w:sz w:val="52"/>
        </w:rPr>
      </w:pPr>
    </w:p>
    <w:p w:rsidR="0047662D" w:rsidRPr="001D200B" w:rsidRDefault="0047662D" w:rsidP="00920934">
      <w:pPr>
        <w:spacing w:line="440" w:lineRule="exact"/>
        <w:jc w:val="center"/>
        <w:rPr>
          <w:rFonts w:cstheme="minorHAnsi"/>
          <w:sz w:val="52"/>
        </w:rPr>
      </w:pPr>
    </w:p>
    <w:p w:rsidR="0047662D" w:rsidRPr="001D200B" w:rsidRDefault="0047662D" w:rsidP="00920934">
      <w:pPr>
        <w:spacing w:line="440" w:lineRule="exact"/>
        <w:jc w:val="center"/>
        <w:rPr>
          <w:rFonts w:cstheme="minorHAnsi"/>
          <w:sz w:val="52"/>
        </w:rPr>
      </w:pPr>
    </w:p>
    <w:p w:rsidR="0047662D" w:rsidRPr="001D200B" w:rsidRDefault="0047662D" w:rsidP="00920934">
      <w:pPr>
        <w:spacing w:line="440" w:lineRule="exact"/>
        <w:jc w:val="center"/>
        <w:rPr>
          <w:rFonts w:cstheme="minorHAnsi"/>
          <w:sz w:val="52"/>
        </w:rPr>
      </w:pPr>
    </w:p>
    <w:p w:rsidR="0047662D" w:rsidRPr="001D200B" w:rsidRDefault="0047662D" w:rsidP="00920934">
      <w:pPr>
        <w:spacing w:line="440" w:lineRule="exact"/>
        <w:jc w:val="center"/>
        <w:rPr>
          <w:rFonts w:cstheme="minorHAnsi"/>
          <w:sz w:val="52"/>
        </w:rPr>
      </w:pPr>
    </w:p>
    <w:p w:rsidR="0047662D" w:rsidRPr="001D200B" w:rsidRDefault="0047662D" w:rsidP="00920934">
      <w:pPr>
        <w:spacing w:line="440" w:lineRule="exact"/>
        <w:jc w:val="center"/>
        <w:rPr>
          <w:rFonts w:cstheme="minorHAnsi"/>
          <w:sz w:val="52"/>
        </w:rPr>
      </w:pPr>
    </w:p>
    <w:p w:rsidR="00F325DE" w:rsidRPr="001D200B" w:rsidRDefault="00F325DE" w:rsidP="00920934">
      <w:pPr>
        <w:spacing w:line="440" w:lineRule="exact"/>
        <w:jc w:val="center"/>
        <w:rPr>
          <w:rFonts w:cstheme="minorHAnsi"/>
          <w:sz w:val="52"/>
        </w:rPr>
      </w:pPr>
    </w:p>
    <w:p w:rsidR="00E06635" w:rsidRPr="001D200B" w:rsidRDefault="00624915" w:rsidP="00E06635">
      <w:pPr>
        <w:pStyle w:val="Tekstpodstawowy"/>
        <w:spacing w:line="440" w:lineRule="exact"/>
        <w:rPr>
          <w:rFonts w:cstheme="minorHAnsi"/>
          <w:b w:val="0"/>
          <w:sz w:val="32"/>
          <w:szCs w:val="32"/>
        </w:rPr>
      </w:pPr>
      <w:r w:rsidRPr="001D200B">
        <w:rPr>
          <w:rFonts w:cstheme="minorHAnsi"/>
          <w:b w:val="0"/>
          <w:sz w:val="32"/>
          <w:szCs w:val="32"/>
        </w:rPr>
        <w:t>Z</w:t>
      </w:r>
      <w:r w:rsidR="0002023E" w:rsidRPr="001D200B">
        <w:rPr>
          <w:rFonts w:cstheme="minorHAnsi"/>
          <w:b w:val="0"/>
          <w:sz w:val="32"/>
          <w:szCs w:val="32"/>
        </w:rPr>
        <w:t>AŁOŻE</w:t>
      </w:r>
      <w:r w:rsidRPr="001D200B">
        <w:rPr>
          <w:rFonts w:cstheme="minorHAnsi"/>
          <w:b w:val="0"/>
          <w:sz w:val="32"/>
          <w:szCs w:val="32"/>
        </w:rPr>
        <w:t>NIA</w:t>
      </w:r>
      <w:r w:rsidR="0002023E" w:rsidRPr="001D200B">
        <w:rPr>
          <w:rFonts w:cstheme="minorHAnsi"/>
          <w:b w:val="0"/>
          <w:sz w:val="32"/>
          <w:szCs w:val="32"/>
        </w:rPr>
        <w:t xml:space="preserve"> DO PLANU ZAOPATRZENIA W</w:t>
      </w:r>
      <w:r w:rsidR="00E06635" w:rsidRPr="001D200B">
        <w:rPr>
          <w:rFonts w:cstheme="minorHAnsi"/>
          <w:b w:val="0"/>
          <w:sz w:val="32"/>
          <w:szCs w:val="32"/>
        </w:rPr>
        <w:t xml:space="preserve"> </w:t>
      </w:r>
      <w:r w:rsidR="0002023E" w:rsidRPr="001D200B">
        <w:rPr>
          <w:rFonts w:cstheme="minorHAnsi"/>
          <w:b w:val="0"/>
          <w:sz w:val="32"/>
          <w:szCs w:val="32"/>
        </w:rPr>
        <w:t xml:space="preserve">CIEPŁO, ENERGIĘ ELEKTRYCZNĄ I PALIWA GAZOWE </w:t>
      </w:r>
      <w:r w:rsidR="003B1DE4" w:rsidRPr="001D200B">
        <w:rPr>
          <w:rFonts w:cstheme="minorHAnsi"/>
          <w:b w:val="0"/>
          <w:sz w:val="32"/>
          <w:szCs w:val="32"/>
        </w:rPr>
        <w:t xml:space="preserve">DLA MIASTA </w:t>
      </w:r>
      <w:r w:rsidR="009D129F" w:rsidRPr="001D200B">
        <w:rPr>
          <w:rFonts w:cstheme="minorHAnsi"/>
          <w:b w:val="0"/>
          <w:sz w:val="32"/>
          <w:szCs w:val="32"/>
        </w:rPr>
        <w:t xml:space="preserve">I GMINY POŁANIEC </w:t>
      </w:r>
    </w:p>
    <w:p w:rsidR="009D129F" w:rsidRPr="001D200B" w:rsidRDefault="009D129F" w:rsidP="00E06635">
      <w:pPr>
        <w:pStyle w:val="Tekstpodstawowy"/>
        <w:spacing w:line="440" w:lineRule="exact"/>
        <w:rPr>
          <w:rFonts w:cstheme="minorHAnsi"/>
          <w:b w:val="0"/>
          <w:sz w:val="32"/>
          <w:szCs w:val="32"/>
        </w:rPr>
      </w:pPr>
      <w:r w:rsidRPr="001D200B">
        <w:rPr>
          <w:rFonts w:cstheme="minorHAnsi"/>
          <w:b w:val="0"/>
          <w:sz w:val="32"/>
          <w:szCs w:val="32"/>
        </w:rPr>
        <w:t>NA LATA 20</w:t>
      </w:r>
      <w:r w:rsidR="00DB0BEE" w:rsidRPr="001D200B">
        <w:rPr>
          <w:rFonts w:cstheme="minorHAnsi"/>
          <w:b w:val="0"/>
          <w:sz w:val="32"/>
          <w:szCs w:val="32"/>
        </w:rPr>
        <w:t>20</w:t>
      </w:r>
      <w:r w:rsidRPr="001D200B">
        <w:rPr>
          <w:rFonts w:cstheme="minorHAnsi"/>
          <w:b w:val="0"/>
          <w:sz w:val="32"/>
          <w:szCs w:val="32"/>
        </w:rPr>
        <w:t xml:space="preserve"> - 203</w:t>
      </w:r>
      <w:r w:rsidR="00DB0BEE" w:rsidRPr="001D200B">
        <w:rPr>
          <w:rFonts w:cstheme="minorHAnsi"/>
          <w:b w:val="0"/>
          <w:sz w:val="32"/>
          <w:szCs w:val="32"/>
        </w:rPr>
        <w:t>5</w:t>
      </w:r>
    </w:p>
    <w:p w:rsidR="00E91755" w:rsidRPr="001D200B" w:rsidRDefault="00E91755" w:rsidP="00920934">
      <w:pPr>
        <w:spacing w:line="440" w:lineRule="exact"/>
        <w:jc w:val="center"/>
        <w:rPr>
          <w:rFonts w:cstheme="minorHAnsi"/>
          <w:b/>
          <w:sz w:val="48"/>
        </w:rPr>
      </w:pPr>
    </w:p>
    <w:p w:rsidR="001F0D16" w:rsidRPr="001D200B" w:rsidRDefault="009D129F" w:rsidP="00920934">
      <w:pPr>
        <w:spacing w:line="440" w:lineRule="exact"/>
        <w:jc w:val="center"/>
        <w:rPr>
          <w:rFonts w:cstheme="minorHAnsi"/>
          <w:sz w:val="32"/>
          <w:szCs w:val="32"/>
        </w:rPr>
      </w:pPr>
      <w:r w:rsidRPr="001D200B">
        <w:rPr>
          <w:rFonts w:cstheme="minorHAnsi"/>
          <w:sz w:val="32"/>
          <w:szCs w:val="32"/>
        </w:rPr>
        <w:t>PROJEKT</w:t>
      </w:r>
    </w:p>
    <w:p w:rsidR="001F0D16" w:rsidRPr="001D200B" w:rsidRDefault="001F0D16" w:rsidP="00920934">
      <w:pPr>
        <w:spacing w:line="440" w:lineRule="exact"/>
        <w:jc w:val="center"/>
        <w:rPr>
          <w:rFonts w:cstheme="minorHAnsi"/>
          <w:b/>
          <w:sz w:val="48"/>
        </w:rPr>
      </w:pPr>
    </w:p>
    <w:p w:rsidR="003D4633" w:rsidRPr="001D200B" w:rsidRDefault="003D4633" w:rsidP="001C195A">
      <w:pPr>
        <w:rPr>
          <w:rFonts w:cstheme="minorHAnsi"/>
        </w:rPr>
      </w:pPr>
    </w:p>
    <w:p w:rsidR="003D4633" w:rsidRPr="001D200B" w:rsidRDefault="003D4633" w:rsidP="001C195A">
      <w:pPr>
        <w:rPr>
          <w:rFonts w:cstheme="minorHAnsi"/>
        </w:rPr>
      </w:pPr>
    </w:p>
    <w:p w:rsidR="00E06635" w:rsidRPr="001D200B" w:rsidRDefault="00E06635" w:rsidP="001C195A">
      <w:pPr>
        <w:rPr>
          <w:rFonts w:cstheme="minorHAnsi"/>
        </w:rPr>
      </w:pPr>
    </w:p>
    <w:p w:rsidR="00D013C3" w:rsidRPr="001D200B" w:rsidRDefault="00D013C3" w:rsidP="00C3449A">
      <w:pPr>
        <w:rPr>
          <w:rFonts w:cstheme="minorHAnsi"/>
        </w:rPr>
      </w:pPr>
    </w:p>
    <w:p w:rsidR="00E91755" w:rsidRPr="001D200B" w:rsidRDefault="00E91755" w:rsidP="00C3449A">
      <w:pPr>
        <w:rPr>
          <w:rFonts w:cstheme="minorHAnsi"/>
        </w:rPr>
      </w:pPr>
    </w:p>
    <w:p w:rsidR="00E91755" w:rsidRPr="001D200B" w:rsidRDefault="00E91755" w:rsidP="00C3449A">
      <w:pPr>
        <w:rPr>
          <w:rFonts w:cstheme="minorHAnsi"/>
        </w:rPr>
      </w:pPr>
    </w:p>
    <w:p w:rsidR="00F325DE" w:rsidRPr="001D200B" w:rsidRDefault="00F325DE" w:rsidP="00C3449A">
      <w:pPr>
        <w:rPr>
          <w:rFonts w:cstheme="minorHAnsi"/>
        </w:rPr>
      </w:pPr>
    </w:p>
    <w:p w:rsidR="00551741" w:rsidRPr="001D200B" w:rsidRDefault="00551741" w:rsidP="00C3449A">
      <w:pPr>
        <w:rPr>
          <w:rFonts w:cstheme="minorHAnsi"/>
        </w:rPr>
      </w:pPr>
    </w:p>
    <w:p w:rsidR="00551741" w:rsidRPr="001D200B" w:rsidRDefault="00551741" w:rsidP="00551741">
      <w:pPr>
        <w:rPr>
          <w:rFonts w:cstheme="minorHAnsi"/>
        </w:rPr>
      </w:pPr>
    </w:p>
    <w:p w:rsidR="00551741" w:rsidRPr="001D200B" w:rsidRDefault="009D129F" w:rsidP="00551741">
      <w:pPr>
        <w:jc w:val="center"/>
        <w:rPr>
          <w:rFonts w:cstheme="minorHAnsi"/>
          <w:b/>
        </w:rPr>
      </w:pPr>
      <w:r w:rsidRPr="001D200B">
        <w:rPr>
          <w:rFonts w:cstheme="minorHAnsi"/>
          <w:b/>
        </w:rPr>
        <w:t>Połaniec</w:t>
      </w:r>
      <w:r w:rsidR="00551741" w:rsidRPr="001D200B">
        <w:rPr>
          <w:rFonts w:cstheme="minorHAnsi"/>
          <w:b/>
        </w:rPr>
        <w:t>, 20</w:t>
      </w:r>
      <w:r w:rsidR="00E91755" w:rsidRPr="001D200B">
        <w:rPr>
          <w:rFonts w:cstheme="minorHAnsi"/>
          <w:b/>
        </w:rPr>
        <w:t>20</w:t>
      </w:r>
      <w:r w:rsidR="00551741" w:rsidRPr="001D200B">
        <w:rPr>
          <w:rFonts w:cstheme="minorHAnsi"/>
          <w:b/>
        </w:rPr>
        <w:t>r.</w:t>
      </w:r>
    </w:p>
    <w:p w:rsidR="00551741" w:rsidRPr="001D200B" w:rsidRDefault="00551741" w:rsidP="00551741">
      <w:pPr>
        <w:pStyle w:val="Nagwek"/>
        <w:tabs>
          <w:tab w:val="clear" w:pos="4536"/>
          <w:tab w:val="clear" w:pos="9072"/>
        </w:tabs>
        <w:rPr>
          <w:rFonts w:cstheme="minorHAnsi"/>
        </w:rPr>
      </w:pPr>
    </w:p>
    <w:p w:rsidR="00551741" w:rsidRPr="001D200B" w:rsidRDefault="00551741" w:rsidP="00551741">
      <w:pPr>
        <w:rPr>
          <w:rFonts w:cstheme="minorHAnsi"/>
        </w:rPr>
        <w:sectPr w:rsidR="00551741" w:rsidRPr="001D200B" w:rsidSect="00E2343D">
          <w:headerReference w:type="default" r:id="rId9"/>
          <w:footerReference w:type="even" r:id="rId10"/>
          <w:footerReference w:type="default" r:id="rId11"/>
          <w:pgSz w:w="11906" w:h="16838"/>
          <w:pgMar w:top="1418" w:right="1418" w:bottom="1418" w:left="1418" w:header="709" w:footer="709" w:gutter="0"/>
          <w:cols w:space="708"/>
          <w:titlePg/>
          <w:docGrid w:linePitch="360"/>
        </w:sectPr>
      </w:pPr>
    </w:p>
    <w:p w:rsidR="00551741" w:rsidRPr="001D200B" w:rsidRDefault="00551741" w:rsidP="00551741">
      <w:pPr>
        <w:rPr>
          <w:rFonts w:cstheme="minorHAnsi"/>
          <w:highlight w:val="yellow"/>
        </w:rPr>
      </w:pPr>
    </w:p>
    <w:p w:rsidR="00551741" w:rsidRPr="001D200B" w:rsidRDefault="00551741" w:rsidP="00551741">
      <w:pPr>
        <w:rPr>
          <w:rFonts w:cstheme="minorHAnsi"/>
          <w:highlight w:val="yellow"/>
        </w:rPr>
      </w:pPr>
    </w:p>
    <w:p w:rsidR="00551741" w:rsidRPr="001D200B" w:rsidRDefault="00551741" w:rsidP="00551741">
      <w:pPr>
        <w:rPr>
          <w:rFonts w:cstheme="minorHAnsi"/>
          <w:highlight w:val="yellow"/>
        </w:rPr>
      </w:pPr>
    </w:p>
    <w:p w:rsidR="00551741" w:rsidRPr="001D200B" w:rsidRDefault="00551741" w:rsidP="00551741">
      <w:pPr>
        <w:rPr>
          <w:rFonts w:cstheme="minorHAnsi"/>
          <w:highlight w:val="yellow"/>
        </w:rPr>
      </w:pPr>
    </w:p>
    <w:p w:rsidR="00551741" w:rsidRPr="001D200B" w:rsidRDefault="00551741" w:rsidP="00551741">
      <w:pPr>
        <w:rPr>
          <w:rFonts w:cstheme="minorHAnsi"/>
          <w:highlight w:val="yellow"/>
        </w:rPr>
      </w:pPr>
    </w:p>
    <w:p w:rsidR="00551741" w:rsidRPr="001D200B" w:rsidRDefault="00551741" w:rsidP="00551741">
      <w:pPr>
        <w:rPr>
          <w:rFonts w:cstheme="minorHAnsi"/>
          <w:highlight w:val="yellow"/>
        </w:rPr>
      </w:pPr>
    </w:p>
    <w:p w:rsidR="00551741" w:rsidRPr="001D200B" w:rsidRDefault="00551741" w:rsidP="00551741">
      <w:pPr>
        <w:rPr>
          <w:rFonts w:cstheme="minorHAnsi"/>
          <w:highlight w:val="yellow"/>
        </w:rPr>
      </w:pPr>
    </w:p>
    <w:p w:rsidR="00551741" w:rsidRPr="001D200B" w:rsidRDefault="00551741" w:rsidP="00551741">
      <w:pPr>
        <w:rPr>
          <w:rFonts w:cstheme="minorHAnsi"/>
          <w:highlight w:val="yellow"/>
        </w:rPr>
      </w:pPr>
    </w:p>
    <w:p w:rsidR="00551741" w:rsidRPr="001D200B" w:rsidRDefault="00551741" w:rsidP="00551741">
      <w:pPr>
        <w:rPr>
          <w:rFonts w:cstheme="minorHAnsi"/>
        </w:rPr>
      </w:pPr>
    </w:p>
    <w:p w:rsidR="00C05F6F" w:rsidRPr="001D200B" w:rsidRDefault="00C05F6F" w:rsidP="00551741">
      <w:pPr>
        <w:rPr>
          <w:rFonts w:cstheme="minorHAnsi"/>
        </w:rPr>
      </w:pPr>
    </w:p>
    <w:p w:rsidR="00C05F6F" w:rsidRPr="001D200B" w:rsidRDefault="00C05F6F" w:rsidP="00551741">
      <w:pPr>
        <w:rPr>
          <w:rFonts w:cstheme="minorHAnsi"/>
        </w:rPr>
      </w:pPr>
    </w:p>
    <w:p w:rsidR="00C05F6F" w:rsidRPr="001D200B" w:rsidRDefault="00C05F6F" w:rsidP="00551741">
      <w:pPr>
        <w:rPr>
          <w:rFonts w:cstheme="minorHAnsi"/>
        </w:rPr>
      </w:pPr>
    </w:p>
    <w:p w:rsidR="00551741" w:rsidRPr="001D200B" w:rsidRDefault="00551741" w:rsidP="00551741">
      <w:pPr>
        <w:rPr>
          <w:rFonts w:cstheme="minorHAnsi"/>
        </w:rPr>
      </w:pPr>
    </w:p>
    <w:p w:rsidR="00551741" w:rsidRPr="001D200B" w:rsidRDefault="00551741" w:rsidP="00551741">
      <w:pPr>
        <w:rPr>
          <w:rFonts w:cstheme="minorHAnsi"/>
          <w:sz w:val="28"/>
        </w:rPr>
      </w:pPr>
    </w:p>
    <w:p w:rsidR="00551741" w:rsidRPr="001D200B" w:rsidRDefault="009D129F" w:rsidP="00551741">
      <w:pPr>
        <w:pStyle w:val="Tekstpodstawowy2"/>
        <w:rPr>
          <w:rFonts w:cstheme="minorHAnsi"/>
          <w:b/>
        </w:rPr>
      </w:pPr>
      <w:r w:rsidRPr="001D200B">
        <w:rPr>
          <w:rFonts w:cstheme="minorHAnsi"/>
          <w:b/>
        </w:rPr>
        <w:t>Z</w:t>
      </w:r>
      <w:r w:rsidR="00551741" w:rsidRPr="001D200B">
        <w:rPr>
          <w:rFonts w:cstheme="minorHAnsi"/>
          <w:b/>
        </w:rPr>
        <w:t>ałoże</w:t>
      </w:r>
      <w:r w:rsidRPr="001D200B">
        <w:rPr>
          <w:rFonts w:cstheme="minorHAnsi"/>
          <w:b/>
        </w:rPr>
        <w:t>nia</w:t>
      </w:r>
      <w:r w:rsidR="00551741" w:rsidRPr="001D200B">
        <w:rPr>
          <w:rFonts w:cstheme="minorHAnsi"/>
          <w:b/>
        </w:rPr>
        <w:t xml:space="preserve"> do planu zaopatrzenia w ciepło, energię elektryczną i paliwa gazowe </w:t>
      </w:r>
      <w:r w:rsidR="003D6D9D" w:rsidRPr="001D200B">
        <w:rPr>
          <w:rFonts w:cstheme="minorHAnsi"/>
          <w:b/>
        </w:rPr>
        <w:t xml:space="preserve">dla </w:t>
      </w:r>
      <w:r w:rsidR="000E0F1D" w:rsidRPr="001D200B">
        <w:rPr>
          <w:rFonts w:cstheme="minorHAnsi"/>
          <w:b/>
        </w:rPr>
        <w:t>M</w:t>
      </w:r>
      <w:r w:rsidR="00E06635" w:rsidRPr="001D200B">
        <w:rPr>
          <w:rFonts w:cstheme="minorHAnsi"/>
          <w:b/>
        </w:rPr>
        <w:t xml:space="preserve">iasta </w:t>
      </w:r>
      <w:r w:rsidRPr="001D200B">
        <w:rPr>
          <w:rFonts w:cstheme="minorHAnsi"/>
          <w:b/>
        </w:rPr>
        <w:t>i </w:t>
      </w:r>
      <w:r w:rsidR="000E0F1D" w:rsidRPr="001D200B">
        <w:rPr>
          <w:rFonts w:cstheme="minorHAnsi"/>
          <w:b/>
        </w:rPr>
        <w:t>G</w:t>
      </w:r>
      <w:r w:rsidRPr="001D200B">
        <w:rPr>
          <w:rFonts w:cstheme="minorHAnsi"/>
          <w:b/>
        </w:rPr>
        <w:t>miny Połaniec na lata 20</w:t>
      </w:r>
      <w:r w:rsidR="00DB0BEE" w:rsidRPr="001D200B">
        <w:rPr>
          <w:rFonts w:cstheme="minorHAnsi"/>
          <w:b/>
        </w:rPr>
        <w:t>20</w:t>
      </w:r>
      <w:r w:rsidRPr="001D200B">
        <w:rPr>
          <w:rFonts w:cstheme="minorHAnsi"/>
          <w:b/>
        </w:rPr>
        <w:t>-203</w:t>
      </w:r>
      <w:r w:rsidR="00DB0BEE" w:rsidRPr="001D200B">
        <w:rPr>
          <w:rFonts w:cstheme="minorHAnsi"/>
          <w:b/>
        </w:rPr>
        <w:t>5</w:t>
      </w:r>
      <w:r w:rsidR="00551741" w:rsidRPr="001D200B">
        <w:rPr>
          <w:rFonts w:cstheme="minorHAnsi"/>
          <w:b/>
        </w:rPr>
        <w:t xml:space="preserve"> </w:t>
      </w:r>
    </w:p>
    <w:p w:rsidR="00CD5341" w:rsidRPr="001D200B" w:rsidRDefault="00CD5341" w:rsidP="00CD5341">
      <w:pPr>
        <w:pStyle w:val="Tekstpodstawowy2"/>
        <w:rPr>
          <w:rFonts w:cstheme="minorHAnsi"/>
        </w:rPr>
      </w:pPr>
    </w:p>
    <w:p w:rsidR="00551741" w:rsidRPr="001D200B" w:rsidRDefault="00551741" w:rsidP="00CD5341">
      <w:pPr>
        <w:pStyle w:val="Tekstpodstawowy2"/>
        <w:rPr>
          <w:rFonts w:cstheme="minorHAnsi"/>
        </w:rPr>
      </w:pPr>
      <w:r w:rsidRPr="001D200B">
        <w:rPr>
          <w:rFonts w:cstheme="minorHAnsi"/>
        </w:rPr>
        <w:t>opracowan</w:t>
      </w:r>
      <w:r w:rsidR="009D129F" w:rsidRPr="001D200B">
        <w:rPr>
          <w:rFonts w:cstheme="minorHAnsi"/>
        </w:rPr>
        <w:t>e</w:t>
      </w:r>
      <w:r w:rsidRPr="001D200B">
        <w:rPr>
          <w:rFonts w:cstheme="minorHAnsi"/>
        </w:rPr>
        <w:t xml:space="preserve"> przez: </w:t>
      </w:r>
    </w:p>
    <w:p w:rsidR="00CD5341" w:rsidRPr="001D200B" w:rsidRDefault="00CD5341" w:rsidP="00551741">
      <w:pPr>
        <w:pStyle w:val="Tekstpodstawowy2"/>
        <w:rPr>
          <w:rFonts w:cstheme="minorHAnsi"/>
          <w:b/>
        </w:rPr>
      </w:pPr>
    </w:p>
    <w:p w:rsidR="00551741" w:rsidRPr="001D200B" w:rsidRDefault="00551741" w:rsidP="00551741">
      <w:pPr>
        <w:pStyle w:val="Tekstpodstawowy2"/>
        <w:rPr>
          <w:rFonts w:cstheme="minorHAnsi"/>
        </w:rPr>
      </w:pPr>
      <w:r w:rsidRPr="001D200B">
        <w:rPr>
          <w:rFonts w:cstheme="minorHAnsi"/>
        </w:rPr>
        <w:t>Przedsiębiorstwo Produkcyjno</w:t>
      </w:r>
      <w:r w:rsidR="00E06635" w:rsidRPr="001D200B">
        <w:rPr>
          <w:rFonts w:cstheme="minorHAnsi"/>
        </w:rPr>
        <w:t xml:space="preserve"> – </w:t>
      </w:r>
      <w:r w:rsidRPr="001D200B">
        <w:rPr>
          <w:rFonts w:cstheme="minorHAnsi"/>
        </w:rPr>
        <w:t>Usługowo</w:t>
      </w:r>
      <w:r w:rsidR="00E06635" w:rsidRPr="001D200B">
        <w:rPr>
          <w:rFonts w:cstheme="minorHAnsi"/>
        </w:rPr>
        <w:t xml:space="preserve"> </w:t>
      </w:r>
      <w:r w:rsidRPr="001D200B">
        <w:rPr>
          <w:rFonts w:cstheme="minorHAnsi"/>
        </w:rPr>
        <w:t>-</w:t>
      </w:r>
      <w:r w:rsidR="00E06635" w:rsidRPr="001D200B">
        <w:rPr>
          <w:rFonts w:cstheme="minorHAnsi"/>
        </w:rPr>
        <w:t xml:space="preserve"> </w:t>
      </w:r>
      <w:r w:rsidRPr="001D200B">
        <w:rPr>
          <w:rFonts w:cstheme="minorHAnsi"/>
        </w:rPr>
        <w:t xml:space="preserve">Handlowe </w:t>
      </w:r>
      <w:r w:rsidRPr="001D200B">
        <w:rPr>
          <w:rFonts w:cstheme="minorHAnsi"/>
          <w:i/>
        </w:rPr>
        <w:t>BaSz</w:t>
      </w:r>
      <w:r w:rsidRPr="001D200B">
        <w:rPr>
          <w:rFonts w:cstheme="minorHAnsi"/>
        </w:rPr>
        <w:t xml:space="preserve"> </w:t>
      </w:r>
    </w:p>
    <w:p w:rsidR="00CD5341" w:rsidRPr="001D200B" w:rsidRDefault="00CD5341" w:rsidP="00CD5341">
      <w:pPr>
        <w:pStyle w:val="Tekstpodstawowy3"/>
        <w:spacing w:before="0" w:after="0"/>
        <w:rPr>
          <w:rFonts w:cstheme="minorHAnsi"/>
          <w:sz w:val="24"/>
        </w:rPr>
      </w:pPr>
      <w:r w:rsidRPr="001D200B">
        <w:rPr>
          <w:rFonts w:cstheme="minorHAnsi"/>
          <w:sz w:val="24"/>
        </w:rPr>
        <w:t>mgr inż. Bartosz Szymusik</w:t>
      </w:r>
    </w:p>
    <w:p w:rsidR="00CD5341" w:rsidRPr="001D200B" w:rsidRDefault="00CD5341" w:rsidP="00CD5341">
      <w:pPr>
        <w:spacing w:before="0" w:after="0"/>
        <w:rPr>
          <w:rFonts w:cstheme="minorHAnsi"/>
        </w:rPr>
      </w:pPr>
      <w:r w:rsidRPr="001D200B">
        <w:rPr>
          <w:rFonts w:cstheme="minorHAnsi"/>
        </w:rPr>
        <w:t>26-200 Końskie ul. Polna 72</w:t>
      </w:r>
    </w:p>
    <w:p w:rsidR="00CD5341" w:rsidRPr="001D200B" w:rsidRDefault="00CD5341" w:rsidP="00CD5341">
      <w:pPr>
        <w:spacing w:before="0" w:after="0"/>
        <w:rPr>
          <w:rFonts w:cstheme="minorHAnsi"/>
        </w:rPr>
      </w:pPr>
      <w:r w:rsidRPr="001D200B">
        <w:rPr>
          <w:rFonts w:cstheme="minorHAnsi"/>
        </w:rPr>
        <w:t>www.basz.pl</w:t>
      </w:r>
    </w:p>
    <w:p w:rsidR="00CD5341" w:rsidRPr="001D200B" w:rsidRDefault="00CD5341" w:rsidP="00CD5341">
      <w:pPr>
        <w:spacing w:before="0" w:after="0"/>
        <w:rPr>
          <w:rFonts w:cstheme="minorHAnsi"/>
        </w:rPr>
      </w:pPr>
      <w:r w:rsidRPr="001D200B">
        <w:rPr>
          <w:rFonts w:cstheme="minorHAnsi"/>
        </w:rPr>
        <w:t xml:space="preserve">tel./fax: (41) 372 49 75 e-mail: basz@post.pl </w:t>
      </w:r>
    </w:p>
    <w:p w:rsidR="00CD5341" w:rsidRPr="001D200B" w:rsidRDefault="00CD5341" w:rsidP="00551741">
      <w:pPr>
        <w:pStyle w:val="Tekstpodstawowy2"/>
        <w:ind w:firstLine="708"/>
        <w:rPr>
          <w:rFonts w:cstheme="minorHAnsi"/>
        </w:rPr>
      </w:pPr>
    </w:p>
    <w:p w:rsidR="00551741" w:rsidRPr="001D200B" w:rsidRDefault="00551741" w:rsidP="00CD5341">
      <w:pPr>
        <w:pStyle w:val="Tekstpodstawowy2"/>
        <w:rPr>
          <w:rFonts w:cstheme="minorHAnsi"/>
        </w:rPr>
      </w:pPr>
      <w:r w:rsidRPr="001D200B">
        <w:rPr>
          <w:rFonts w:cstheme="minorHAnsi"/>
        </w:rPr>
        <w:t xml:space="preserve">przy współpracy: </w:t>
      </w:r>
    </w:p>
    <w:p w:rsidR="00CD5341" w:rsidRPr="001D200B" w:rsidRDefault="00CD5341" w:rsidP="00551741">
      <w:pPr>
        <w:pStyle w:val="Tekstpodstawowy2"/>
        <w:rPr>
          <w:rFonts w:cstheme="minorHAnsi"/>
          <w:b/>
        </w:rPr>
      </w:pPr>
    </w:p>
    <w:p w:rsidR="00551741" w:rsidRPr="001D200B" w:rsidRDefault="00551741" w:rsidP="00551741">
      <w:pPr>
        <w:pStyle w:val="Tekstpodstawowy2"/>
        <w:rPr>
          <w:rFonts w:cstheme="minorHAnsi"/>
          <w:b/>
        </w:rPr>
      </w:pPr>
      <w:r w:rsidRPr="001D200B">
        <w:rPr>
          <w:rFonts w:cstheme="minorHAnsi"/>
          <w:b/>
        </w:rPr>
        <w:t xml:space="preserve">Urzędu </w:t>
      </w:r>
      <w:r w:rsidR="00E06635" w:rsidRPr="001D200B">
        <w:rPr>
          <w:rFonts w:cstheme="minorHAnsi"/>
          <w:b/>
        </w:rPr>
        <w:t>M</w:t>
      </w:r>
      <w:r w:rsidR="00E31D0A" w:rsidRPr="001D200B">
        <w:rPr>
          <w:rFonts w:cstheme="minorHAnsi"/>
          <w:b/>
        </w:rPr>
        <w:t xml:space="preserve">iasta </w:t>
      </w:r>
      <w:r w:rsidR="009D129F" w:rsidRPr="001D200B">
        <w:rPr>
          <w:rFonts w:cstheme="minorHAnsi"/>
          <w:b/>
        </w:rPr>
        <w:t xml:space="preserve">i Gminy </w:t>
      </w:r>
      <w:r w:rsidR="003E004A" w:rsidRPr="001D200B">
        <w:rPr>
          <w:rFonts w:cstheme="minorHAnsi"/>
          <w:b/>
        </w:rPr>
        <w:t>Połaniec</w:t>
      </w:r>
    </w:p>
    <w:p w:rsidR="00551741" w:rsidRPr="001D200B" w:rsidRDefault="00551741" w:rsidP="00551741">
      <w:pPr>
        <w:pStyle w:val="Tekstpodstawowy2"/>
        <w:rPr>
          <w:rFonts w:cstheme="minorHAnsi"/>
          <w:b/>
        </w:rPr>
      </w:pPr>
    </w:p>
    <w:p w:rsidR="00CD5341" w:rsidRPr="001D200B" w:rsidRDefault="00CD5341">
      <w:pPr>
        <w:spacing w:line="240" w:lineRule="auto"/>
        <w:jc w:val="left"/>
        <w:rPr>
          <w:rFonts w:cstheme="minorHAnsi"/>
          <w:b/>
          <w:i/>
          <w:highlight w:val="yellow"/>
        </w:rPr>
      </w:pPr>
      <w:r w:rsidRPr="001D200B">
        <w:rPr>
          <w:rFonts w:cstheme="minorHAnsi"/>
          <w:b/>
          <w:i/>
          <w:highlight w:val="yellow"/>
        </w:rPr>
        <w:br w:type="page"/>
      </w:r>
    </w:p>
    <w:p w:rsidR="00551741" w:rsidRPr="001D200B" w:rsidRDefault="00551741" w:rsidP="0098674C">
      <w:pPr>
        <w:pStyle w:val="Nagwekspisutreci"/>
        <w:jc w:val="center"/>
        <w:rPr>
          <w:rFonts w:asciiTheme="minorHAnsi" w:hAnsiTheme="minorHAnsi" w:cstheme="minorHAnsi"/>
          <w:color w:val="auto"/>
          <w:sz w:val="24"/>
          <w:szCs w:val="24"/>
        </w:rPr>
      </w:pPr>
      <w:r w:rsidRPr="001D200B">
        <w:rPr>
          <w:rFonts w:asciiTheme="minorHAnsi" w:hAnsiTheme="minorHAnsi" w:cstheme="minorHAnsi"/>
          <w:color w:val="auto"/>
          <w:sz w:val="24"/>
          <w:szCs w:val="24"/>
        </w:rPr>
        <w:lastRenderedPageBreak/>
        <w:t>Spis treści</w:t>
      </w:r>
    </w:p>
    <w:p w:rsidR="00916C39" w:rsidRPr="001D200B" w:rsidRDefault="005B7234">
      <w:pPr>
        <w:pStyle w:val="Spistreci1"/>
        <w:rPr>
          <w:rFonts w:eastAsiaTheme="minorEastAsia" w:cstheme="minorBidi"/>
          <w:b w:val="0"/>
          <w:bCs w:val="0"/>
          <w:caps w:val="0"/>
          <w:sz w:val="22"/>
          <w:szCs w:val="22"/>
        </w:rPr>
      </w:pPr>
      <w:r w:rsidRPr="001D200B">
        <w:rPr>
          <w:rFonts w:cstheme="minorHAnsi"/>
          <w:spacing w:val="4"/>
          <w:sz w:val="22"/>
          <w:szCs w:val="22"/>
          <w:highlight w:val="yellow"/>
        </w:rPr>
        <w:fldChar w:fldCharType="begin"/>
      </w:r>
      <w:r w:rsidR="00551741" w:rsidRPr="001D200B">
        <w:rPr>
          <w:rFonts w:cstheme="minorHAnsi"/>
          <w:spacing w:val="4"/>
          <w:sz w:val="22"/>
          <w:szCs w:val="22"/>
          <w:highlight w:val="yellow"/>
        </w:rPr>
        <w:instrText xml:space="preserve"> TOC \o "1-3" \h \z \u </w:instrText>
      </w:r>
      <w:r w:rsidRPr="001D200B">
        <w:rPr>
          <w:rFonts w:cstheme="minorHAnsi"/>
          <w:spacing w:val="4"/>
          <w:sz w:val="22"/>
          <w:szCs w:val="22"/>
          <w:highlight w:val="yellow"/>
        </w:rPr>
        <w:fldChar w:fldCharType="separate"/>
      </w:r>
      <w:hyperlink w:anchor="_Toc31972808" w:history="1">
        <w:r w:rsidR="00916C39" w:rsidRPr="001D200B">
          <w:rPr>
            <w:rStyle w:val="Hipercze"/>
            <w:color w:val="auto"/>
          </w:rPr>
          <w:t>I. Informacje ogólne</w:t>
        </w:r>
        <w:r w:rsidR="00916C39" w:rsidRPr="001D200B">
          <w:rPr>
            <w:webHidden/>
          </w:rPr>
          <w:tab/>
        </w:r>
        <w:r w:rsidRPr="001D200B">
          <w:rPr>
            <w:webHidden/>
          </w:rPr>
          <w:fldChar w:fldCharType="begin"/>
        </w:r>
        <w:r w:rsidR="00916C39" w:rsidRPr="001D200B">
          <w:rPr>
            <w:webHidden/>
          </w:rPr>
          <w:instrText xml:space="preserve"> PAGEREF _Toc31972808 \h </w:instrText>
        </w:r>
        <w:r w:rsidRPr="001D200B">
          <w:rPr>
            <w:webHidden/>
          </w:rPr>
        </w:r>
        <w:r w:rsidRPr="001D200B">
          <w:rPr>
            <w:webHidden/>
          </w:rPr>
          <w:fldChar w:fldCharType="separate"/>
        </w:r>
        <w:r w:rsidR="001D200B">
          <w:rPr>
            <w:webHidden/>
          </w:rPr>
          <w:t>9</w:t>
        </w:r>
        <w:r w:rsidRPr="001D200B">
          <w:rPr>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09" w:history="1">
        <w:r w:rsidR="00916C39" w:rsidRPr="001D200B">
          <w:rPr>
            <w:rStyle w:val="Hipercze"/>
            <w:rFonts w:cstheme="minorHAnsi"/>
            <w:noProof/>
            <w:color w:val="auto"/>
          </w:rPr>
          <w:t xml:space="preserve">1.Podstawy prawne opracowania </w:t>
        </w:r>
        <w:r w:rsidR="00916C39" w:rsidRPr="001D200B">
          <w:rPr>
            <w:rStyle w:val="Hipercze"/>
            <w:rFonts w:cstheme="minorHAnsi"/>
            <w:i/>
            <w:noProof/>
            <w:color w:val="auto"/>
          </w:rPr>
          <w:t>Założeń do planu (...)</w:t>
        </w:r>
        <w:r w:rsidR="00916C39" w:rsidRPr="001D200B">
          <w:rPr>
            <w:noProof/>
            <w:webHidden/>
          </w:rPr>
          <w:tab/>
        </w:r>
        <w:r w:rsidRPr="001D200B">
          <w:rPr>
            <w:noProof/>
            <w:webHidden/>
          </w:rPr>
          <w:fldChar w:fldCharType="begin"/>
        </w:r>
        <w:r w:rsidR="00916C39" w:rsidRPr="001D200B">
          <w:rPr>
            <w:noProof/>
            <w:webHidden/>
          </w:rPr>
          <w:instrText xml:space="preserve"> PAGEREF _Toc31972809 \h </w:instrText>
        </w:r>
        <w:r w:rsidRPr="001D200B">
          <w:rPr>
            <w:noProof/>
            <w:webHidden/>
          </w:rPr>
        </w:r>
        <w:r w:rsidRPr="001D200B">
          <w:rPr>
            <w:noProof/>
            <w:webHidden/>
          </w:rPr>
          <w:fldChar w:fldCharType="separate"/>
        </w:r>
        <w:r w:rsidR="001D200B">
          <w:rPr>
            <w:noProof/>
            <w:webHidden/>
          </w:rPr>
          <w:t>9</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10" w:history="1">
        <w:r w:rsidR="00916C39" w:rsidRPr="001D200B">
          <w:rPr>
            <w:rStyle w:val="Hipercze"/>
            <w:rFonts w:cstheme="minorHAnsi"/>
            <w:noProof/>
            <w:color w:val="auto"/>
          </w:rPr>
          <w:t>2. Cel i zakres opracowania</w:t>
        </w:r>
        <w:r w:rsidR="00916C39" w:rsidRPr="001D200B">
          <w:rPr>
            <w:noProof/>
            <w:webHidden/>
          </w:rPr>
          <w:tab/>
        </w:r>
        <w:r w:rsidRPr="001D200B">
          <w:rPr>
            <w:noProof/>
            <w:webHidden/>
          </w:rPr>
          <w:fldChar w:fldCharType="begin"/>
        </w:r>
        <w:r w:rsidR="00916C39" w:rsidRPr="001D200B">
          <w:rPr>
            <w:noProof/>
            <w:webHidden/>
          </w:rPr>
          <w:instrText xml:space="preserve"> PAGEREF _Toc31972810 \h </w:instrText>
        </w:r>
        <w:r w:rsidRPr="001D200B">
          <w:rPr>
            <w:noProof/>
            <w:webHidden/>
          </w:rPr>
        </w:r>
        <w:r w:rsidRPr="001D200B">
          <w:rPr>
            <w:noProof/>
            <w:webHidden/>
          </w:rPr>
          <w:fldChar w:fldCharType="separate"/>
        </w:r>
        <w:r w:rsidR="001D200B">
          <w:rPr>
            <w:noProof/>
            <w:webHidden/>
          </w:rPr>
          <w:t>14</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11" w:history="1">
        <w:r w:rsidR="00916C39" w:rsidRPr="001D200B">
          <w:rPr>
            <w:rStyle w:val="Hipercze"/>
            <w:rFonts w:cstheme="minorHAnsi"/>
            <w:noProof/>
            <w:color w:val="auto"/>
          </w:rPr>
          <w:t>3. Polityka energetyczna państwa/regionu – założenia programowe</w:t>
        </w:r>
        <w:r w:rsidR="00916C39" w:rsidRPr="001D200B">
          <w:rPr>
            <w:noProof/>
            <w:webHidden/>
          </w:rPr>
          <w:tab/>
        </w:r>
        <w:r w:rsidRPr="001D200B">
          <w:rPr>
            <w:noProof/>
            <w:webHidden/>
          </w:rPr>
          <w:fldChar w:fldCharType="begin"/>
        </w:r>
        <w:r w:rsidR="00916C39" w:rsidRPr="001D200B">
          <w:rPr>
            <w:noProof/>
            <w:webHidden/>
          </w:rPr>
          <w:instrText xml:space="preserve"> PAGEREF _Toc31972811 \h </w:instrText>
        </w:r>
        <w:r w:rsidRPr="001D200B">
          <w:rPr>
            <w:noProof/>
            <w:webHidden/>
          </w:rPr>
        </w:r>
        <w:r w:rsidRPr="001D200B">
          <w:rPr>
            <w:noProof/>
            <w:webHidden/>
          </w:rPr>
          <w:fldChar w:fldCharType="separate"/>
        </w:r>
        <w:r w:rsidR="001D200B">
          <w:rPr>
            <w:noProof/>
            <w:webHidden/>
          </w:rPr>
          <w:t>15</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12" w:history="1">
        <w:r w:rsidR="00916C39" w:rsidRPr="001D200B">
          <w:rPr>
            <w:rStyle w:val="Hipercze"/>
            <w:rFonts w:cstheme="minorHAnsi"/>
            <w:noProof/>
            <w:color w:val="auto"/>
          </w:rPr>
          <w:t>4. Energia odnawialna – ogólne informacje</w:t>
        </w:r>
        <w:r w:rsidR="00916C39" w:rsidRPr="001D200B">
          <w:rPr>
            <w:noProof/>
            <w:webHidden/>
          </w:rPr>
          <w:tab/>
        </w:r>
        <w:r w:rsidRPr="001D200B">
          <w:rPr>
            <w:noProof/>
            <w:webHidden/>
          </w:rPr>
          <w:fldChar w:fldCharType="begin"/>
        </w:r>
        <w:r w:rsidR="00916C39" w:rsidRPr="001D200B">
          <w:rPr>
            <w:noProof/>
            <w:webHidden/>
          </w:rPr>
          <w:instrText xml:space="preserve"> PAGEREF _Toc31972812 \h </w:instrText>
        </w:r>
        <w:r w:rsidRPr="001D200B">
          <w:rPr>
            <w:noProof/>
            <w:webHidden/>
          </w:rPr>
        </w:r>
        <w:r w:rsidRPr="001D200B">
          <w:rPr>
            <w:noProof/>
            <w:webHidden/>
          </w:rPr>
          <w:fldChar w:fldCharType="separate"/>
        </w:r>
        <w:r w:rsidR="001D200B">
          <w:rPr>
            <w:noProof/>
            <w:webHidden/>
          </w:rPr>
          <w:t>24</w:t>
        </w:r>
        <w:r w:rsidRPr="001D200B">
          <w:rPr>
            <w:noProof/>
            <w:webHidden/>
          </w:rPr>
          <w:fldChar w:fldCharType="end"/>
        </w:r>
      </w:hyperlink>
    </w:p>
    <w:p w:rsidR="00916C39" w:rsidRPr="001D200B" w:rsidRDefault="005B7234">
      <w:pPr>
        <w:pStyle w:val="Spistreci1"/>
        <w:rPr>
          <w:rFonts w:eastAsiaTheme="minorEastAsia" w:cstheme="minorBidi"/>
          <w:b w:val="0"/>
          <w:bCs w:val="0"/>
          <w:caps w:val="0"/>
          <w:sz w:val="22"/>
          <w:szCs w:val="22"/>
        </w:rPr>
      </w:pPr>
      <w:hyperlink w:anchor="_Toc31972813" w:history="1">
        <w:r w:rsidR="00916C39" w:rsidRPr="001D200B">
          <w:rPr>
            <w:rStyle w:val="Hipercze"/>
            <w:rFonts w:cstheme="minorHAnsi"/>
            <w:color w:val="auto"/>
          </w:rPr>
          <w:t>II. Charakterystyka Miasta i Gminy Połaniec</w:t>
        </w:r>
        <w:r w:rsidR="00916C39" w:rsidRPr="001D200B">
          <w:rPr>
            <w:webHidden/>
          </w:rPr>
          <w:tab/>
        </w:r>
        <w:r w:rsidRPr="001D200B">
          <w:rPr>
            <w:webHidden/>
          </w:rPr>
          <w:fldChar w:fldCharType="begin"/>
        </w:r>
        <w:r w:rsidR="00916C39" w:rsidRPr="001D200B">
          <w:rPr>
            <w:webHidden/>
          </w:rPr>
          <w:instrText xml:space="preserve"> PAGEREF _Toc31972813 \h </w:instrText>
        </w:r>
        <w:r w:rsidRPr="001D200B">
          <w:rPr>
            <w:webHidden/>
          </w:rPr>
        </w:r>
        <w:r w:rsidRPr="001D200B">
          <w:rPr>
            <w:webHidden/>
          </w:rPr>
          <w:fldChar w:fldCharType="separate"/>
        </w:r>
        <w:r w:rsidR="001D200B">
          <w:rPr>
            <w:webHidden/>
          </w:rPr>
          <w:t>26</w:t>
        </w:r>
        <w:r w:rsidRPr="001D200B">
          <w:rPr>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14" w:history="1">
        <w:r w:rsidR="00916C39" w:rsidRPr="001D200B">
          <w:rPr>
            <w:rStyle w:val="Hipercze"/>
            <w:rFonts w:cstheme="minorHAnsi"/>
            <w:noProof/>
            <w:color w:val="auto"/>
          </w:rPr>
          <w:t>1. Informacje ogólne</w:t>
        </w:r>
        <w:r w:rsidR="00916C39" w:rsidRPr="001D200B">
          <w:rPr>
            <w:noProof/>
            <w:webHidden/>
          </w:rPr>
          <w:tab/>
        </w:r>
        <w:r w:rsidRPr="001D200B">
          <w:rPr>
            <w:noProof/>
            <w:webHidden/>
          </w:rPr>
          <w:fldChar w:fldCharType="begin"/>
        </w:r>
        <w:r w:rsidR="00916C39" w:rsidRPr="001D200B">
          <w:rPr>
            <w:noProof/>
            <w:webHidden/>
          </w:rPr>
          <w:instrText xml:space="preserve"> PAGEREF _Toc31972814 \h </w:instrText>
        </w:r>
        <w:r w:rsidRPr="001D200B">
          <w:rPr>
            <w:noProof/>
            <w:webHidden/>
          </w:rPr>
        </w:r>
        <w:r w:rsidRPr="001D200B">
          <w:rPr>
            <w:noProof/>
            <w:webHidden/>
          </w:rPr>
          <w:fldChar w:fldCharType="separate"/>
        </w:r>
        <w:r w:rsidR="001D200B">
          <w:rPr>
            <w:noProof/>
            <w:webHidden/>
          </w:rPr>
          <w:t>26</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15" w:history="1">
        <w:r w:rsidR="00916C39" w:rsidRPr="001D200B">
          <w:rPr>
            <w:rStyle w:val="Hipercze"/>
            <w:rFonts w:cstheme="minorHAnsi"/>
            <w:noProof/>
            <w:color w:val="auto"/>
          </w:rPr>
          <w:t>2. Sytuacja demograficzna</w:t>
        </w:r>
        <w:r w:rsidR="00916C39" w:rsidRPr="001D200B">
          <w:rPr>
            <w:noProof/>
            <w:webHidden/>
          </w:rPr>
          <w:tab/>
        </w:r>
        <w:r w:rsidRPr="001D200B">
          <w:rPr>
            <w:noProof/>
            <w:webHidden/>
          </w:rPr>
          <w:fldChar w:fldCharType="begin"/>
        </w:r>
        <w:r w:rsidR="00916C39" w:rsidRPr="001D200B">
          <w:rPr>
            <w:noProof/>
            <w:webHidden/>
          </w:rPr>
          <w:instrText xml:space="preserve"> PAGEREF _Toc31972815 \h </w:instrText>
        </w:r>
        <w:r w:rsidRPr="001D200B">
          <w:rPr>
            <w:noProof/>
            <w:webHidden/>
          </w:rPr>
        </w:r>
        <w:r w:rsidRPr="001D200B">
          <w:rPr>
            <w:noProof/>
            <w:webHidden/>
          </w:rPr>
          <w:fldChar w:fldCharType="separate"/>
        </w:r>
        <w:r w:rsidR="001D200B">
          <w:rPr>
            <w:noProof/>
            <w:webHidden/>
          </w:rPr>
          <w:t>31</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16" w:history="1">
        <w:r w:rsidR="00916C39" w:rsidRPr="001D200B">
          <w:rPr>
            <w:rStyle w:val="Hipercze"/>
            <w:rFonts w:cstheme="minorHAnsi"/>
            <w:noProof/>
            <w:color w:val="auto"/>
          </w:rPr>
          <w:t>3. Infrastruktura budowlana</w:t>
        </w:r>
        <w:r w:rsidR="00916C39" w:rsidRPr="001D200B">
          <w:rPr>
            <w:noProof/>
            <w:webHidden/>
          </w:rPr>
          <w:tab/>
        </w:r>
        <w:r w:rsidRPr="001D200B">
          <w:rPr>
            <w:noProof/>
            <w:webHidden/>
          </w:rPr>
          <w:fldChar w:fldCharType="begin"/>
        </w:r>
        <w:r w:rsidR="00916C39" w:rsidRPr="001D200B">
          <w:rPr>
            <w:noProof/>
            <w:webHidden/>
          </w:rPr>
          <w:instrText xml:space="preserve"> PAGEREF _Toc31972816 \h </w:instrText>
        </w:r>
        <w:r w:rsidRPr="001D200B">
          <w:rPr>
            <w:noProof/>
            <w:webHidden/>
          </w:rPr>
        </w:r>
        <w:r w:rsidRPr="001D200B">
          <w:rPr>
            <w:noProof/>
            <w:webHidden/>
          </w:rPr>
          <w:fldChar w:fldCharType="separate"/>
        </w:r>
        <w:r w:rsidR="001D200B">
          <w:rPr>
            <w:noProof/>
            <w:webHidden/>
          </w:rPr>
          <w:t>34</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17" w:history="1">
        <w:r w:rsidR="00916C39" w:rsidRPr="001D200B">
          <w:rPr>
            <w:rStyle w:val="Hipercze"/>
            <w:rFonts w:cstheme="minorHAnsi"/>
            <w:noProof/>
            <w:color w:val="auto"/>
          </w:rPr>
          <w:t>4. Charakterystyka infrastruktury technicznej</w:t>
        </w:r>
        <w:r w:rsidR="00916C39" w:rsidRPr="001D200B">
          <w:rPr>
            <w:noProof/>
            <w:webHidden/>
          </w:rPr>
          <w:tab/>
        </w:r>
        <w:r w:rsidRPr="001D200B">
          <w:rPr>
            <w:noProof/>
            <w:webHidden/>
          </w:rPr>
          <w:fldChar w:fldCharType="begin"/>
        </w:r>
        <w:r w:rsidR="00916C39" w:rsidRPr="001D200B">
          <w:rPr>
            <w:noProof/>
            <w:webHidden/>
          </w:rPr>
          <w:instrText xml:space="preserve"> PAGEREF _Toc31972817 \h </w:instrText>
        </w:r>
        <w:r w:rsidRPr="001D200B">
          <w:rPr>
            <w:noProof/>
            <w:webHidden/>
          </w:rPr>
        </w:r>
        <w:r w:rsidRPr="001D200B">
          <w:rPr>
            <w:noProof/>
            <w:webHidden/>
          </w:rPr>
          <w:fldChar w:fldCharType="separate"/>
        </w:r>
        <w:r w:rsidR="001D200B">
          <w:rPr>
            <w:noProof/>
            <w:webHidden/>
          </w:rPr>
          <w:t>39</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18" w:history="1">
        <w:r w:rsidR="00916C39" w:rsidRPr="001D200B">
          <w:rPr>
            <w:rStyle w:val="Hipercze"/>
            <w:rFonts w:cstheme="minorHAnsi"/>
            <w:noProof/>
            <w:color w:val="auto"/>
          </w:rPr>
          <w:t>5. Sfera gospodarcza</w:t>
        </w:r>
        <w:r w:rsidR="00916C39" w:rsidRPr="001D200B">
          <w:rPr>
            <w:noProof/>
            <w:webHidden/>
          </w:rPr>
          <w:tab/>
        </w:r>
        <w:r w:rsidRPr="001D200B">
          <w:rPr>
            <w:noProof/>
            <w:webHidden/>
          </w:rPr>
          <w:fldChar w:fldCharType="begin"/>
        </w:r>
        <w:r w:rsidR="00916C39" w:rsidRPr="001D200B">
          <w:rPr>
            <w:noProof/>
            <w:webHidden/>
          </w:rPr>
          <w:instrText xml:space="preserve"> PAGEREF _Toc31972818 \h </w:instrText>
        </w:r>
        <w:r w:rsidRPr="001D200B">
          <w:rPr>
            <w:noProof/>
            <w:webHidden/>
          </w:rPr>
        </w:r>
        <w:r w:rsidRPr="001D200B">
          <w:rPr>
            <w:noProof/>
            <w:webHidden/>
          </w:rPr>
          <w:fldChar w:fldCharType="separate"/>
        </w:r>
        <w:r w:rsidR="001D200B">
          <w:rPr>
            <w:noProof/>
            <w:webHidden/>
          </w:rPr>
          <w:t>40</w:t>
        </w:r>
        <w:r w:rsidRPr="001D200B">
          <w:rPr>
            <w:noProof/>
            <w:webHidden/>
          </w:rPr>
          <w:fldChar w:fldCharType="end"/>
        </w:r>
      </w:hyperlink>
    </w:p>
    <w:p w:rsidR="00916C39" w:rsidRPr="001D200B" w:rsidRDefault="005B7234">
      <w:pPr>
        <w:pStyle w:val="Spistreci1"/>
        <w:rPr>
          <w:rFonts w:eastAsiaTheme="minorEastAsia" w:cstheme="minorBidi"/>
          <w:b w:val="0"/>
          <w:bCs w:val="0"/>
          <w:caps w:val="0"/>
          <w:sz w:val="22"/>
          <w:szCs w:val="22"/>
        </w:rPr>
      </w:pPr>
      <w:hyperlink w:anchor="_Toc31972819" w:history="1">
        <w:r w:rsidR="00916C39" w:rsidRPr="001D200B">
          <w:rPr>
            <w:rStyle w:val="Hipercze"/>
            <w:rFonts w:cstheme="minorHAnsi"/>
            <w:color w:val="auto"/>
          </w:rPr>
          <w:t>III. Zaopatrzenie w energię cieplną</w:t>
        </w:r>
        <w:r w:rsidR="00916C39" w:rsidRPr="001D200B">
          <w:rPr>
            <w:webHidden/>
          </w:rPr>
          <w:tab/>
        </w:r>
        <w:r w:rsidRPr="001D200B">
          <w:rPr>
            <w:webHidden/>
          </w:rPr>
          <w:fldChar w:fldCharType="begin"/>
        </w:r>
        <w:r w:rsidR="00916C39" w:rsidRPr="001D200B">
          <w:rPr>
            <w:webHidden/>
          </w:rPr>
          <w:instrText xml:space="preserve"> PAGEREF _Toc31972819 \h </w:instrText>
        </w:r>
        <w:r w:rsidRPr="001D200B">
          <w:rPr>
            <w:webHidden/>
          </w:rPr>
        </w:r>
        <w:r w:rsidRPr="001D200B">
          <w:rPr>
            <w:webHidden/>
          </w:rPr>
          <w:fldChar w:fldCharType="separate"/>
        </w:r>
        <w:r w:rsidR="001D200B">
          <w:rPr>
            <w:webHidden/>
          </w:rPr>
          <w:t>44</w:t>
        </w:r>
        <w:r w:rsidRPr="001D200B">
          <w:rPr>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20" w:history="1">
        <w:r w:rsidR="00916C39" w:rsidRPr="001D200B">
          <w:rPr>
            <w:rStyle w:val="Hipercze"/>
            <w:rFonts w:cstheme="minorHAnsi"/>
            <w:noProof/>
            <w:color w:val="auto"/>
          </w:rPr>
          <w:t>1. Charakterystyka stanu obecnego</w:t>
        </w:r>
        <w:r w:rsidR="00916C39" w:rsidRPr="001D200B">
          <w:rPr>
            <w:noProof/>
            <w:webHidden/>
          </w:rPr>
          <w:tab/>
        </w:r>
        <w:r w:rsidRPr="001D200B">
          <w:rPr>
            <w:noProof/>
            <w:webHidden/>
          </w:rPr>
          <w:fldChar w:fldCharType="begin"/>
        </w:r>
        <w:r w:rsidR="00916C39" w:rsidRPr="001D200B">
          <w:rPr>
            <w:noProof/>
            <w:webHidden/>
          </w:rPr>
          <w:instrText xml:space="preserve"> PAGEREF _Toc31972820 \h </w:instrText>
        </w:r>
        <w:r w:rsidRPr="001D200B">
          <w:rPr>
            <w:noProof/>
            <w:webHidden/>
          </w:rPr>
        </w:r>
        <w:r w:rsidRPr="001D200B">
          <w:rPr>
            <w:noProof/>
            <w:webHidden/>
          </w:rPr>
          <w:fldChar w:fldCharType="separate"/>
        </w:r>
        <w:r w:rsidR="001D200B">
          <w:rPr>
            <w:noProof/>
            <w:webHidden/>
          </w:rPr>
          <w:t>44</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21" w:history="1">
        <w:r w:rsidR="00916C39" w:rsidRPr="001D200B">
          <w:rPr>
            <w:rStyle w:val="Hipercze"/>
            <w:rFonts w:cstheme="minorHAnsi"/>
            <w:noProof/>
            <w:color w:val="auto"/>
          </w:rPr>
          <w:t>2. Ocena stanu obecnego. Cele podstawowe</w:t>
        </w:r>
        <w:r w:rsidR="00916C39" w:rsidRPr="001D200B">
          <w:rPr>
            <w:noProof/>
            <w:webHidden/>
          </w:rPr>
          <w:tab/>
        </w:r>
        <w:r w:rsidRPr="001D200B">
          <w:rPr>
            <w:noProof/>
            <w:webHidden/>
          </w:rPr>
          <w:fldChar w:fldCharType="begin"/>
        </w:r>
        <w:r w:rsidR="00916C39" w:rsidRPr="001D200B">
          <w:rPr>
            <w:noProof/>
            <w:webHidden/>
          </w:rPr>
          <w:instrText xml:space="preserve"> PAGEREF _Toc31972821 \h </w:instrText>
        </w:r>
        <w:r w:rsidRPr="001D200B">
          <w:rPr>
            <w:noProof/>
            <w:webHidden/>
          </w:rPr>
        </w:r>
        <w:r w:rsidRPr="001D200B">
          <w:rPr>
            <w:noProof/>
            <w:webHidden/>
          </w:rPr>
          <w:fldChar w:fldCharType="separate"/>
        </w:r>
        <w:r w:rsidR="001D200B">
          <w:rPr>
            <w:noProof/>
            <w:webHidden/>
          </w:rPr>
          <w:t>53</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22" w:history="1">
        <w:r w:rsidR="00916C39" w:rsidRPr="001D200B">
          <w:rPr>
            <w:rStyle w:val="Hipercze"/>
            <w:rFonts w:cstheme="minorHAnsi"/>
            <w:noProof/>
            <w:color w:val="auto"/>
          </w:rPr>
          <w:t>3. Zamierzenia inwestycyjne</w:t>
        </w:r>
        <w:r w:rsidR="00916C39" w:rsidRPr="001D200B">
          <w:rPr>
            <w:noProof/>
            <w:webHidden/>
          </w:rPr>
          <w:tab/>
        </w:r>
        <w:r w:rsidRPr="001D200B">
          <w:rPr>
            <w:noProof/>
            <w:webHidden/>
          </w:rPr>
          <w:fldChar w:fldCharType="begin"/>
        </w:r>
        <w:r w:rsidR="00916C39" w:rsidRPr="001D200B">
          <w:rPr>
            <w:noProof/>
            <w:webHidden/>
          </w:rPr>
          <w:instrText xml:space="preserve"> PAGEREF _Toc31972822 \h </w:instrText>
        </w:r>
        <w:r w:rsidRPr="001D200B">
          <w:rPr>
            <w:noProof/>
            <w:webHidden/>
          </w:rPr>
        </w:r>
        <w:r w:rsidRPr="001D200B">
          <w:rPr>
            <w:noProof/>
            <w:webHidden/>
          </w:rPr>
          <w:fldChar w:fldCharType="separate"/>
        </w:r>
        <w:r w:rsidR="001D200B">
          <w:rPr>
            <w:noProof/>
            <w:webHidden/>
          </w:rPr>
          <w:t>54</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23" w:history="1">
        <w:r w:rsidR="00916C39" w:rsidRPr="001D200B">
          <w:rPr>
            <w:rStyle w:val="Hipercze"/>
            <w:rFonts w:cstheme="minorHAnsi"/>
            <w:noProof/>
            <w:color w:val="auto"/>
          </w:rPr>
          <w:t>4. Prognoza zapotrzebowania mocy i energii cieplnej</w:t>
        </w:r>
        <w:r w:rsidR="00916C39" w:rsidRPr="001D200B">
          <w:rPr>
            <w:noProof/>
            <w:webHidden/>
          </w:rPr>
          <w:tab/>
        </w:r>
        <w:r w:rsidRPr="001D200B">
          <w:rPr>
            <w:noProof/>
            <w:webHidden/>
          </w:rPr>
          <w:fldChar w:fldCharType="begin"/>
        </w:r>
        <w:r w:rsidR="00916C39" w:rsidRPr="001D200B">
          <w:rPr>
            <w:noProof/>
            <w:webHidden/>
          </w:rPr>
          <w:instrText xml:space="preserve"> PAGEREF _Toc31972823 \h </w:instrText>
        </w:r>
        <w:r w:rsidRPr="001D200B">
          <w:rPr>
            <w:noProof/>
            <w:webHidden/>
          </w:rPr>
        </w:r>
        <w:r w:rsidRPr="001D200B">
          <w:rPr>
            <w:noProof/>
            <w:webHidden/>
          </w:rPr>
          <w:fldChar w:fldCharType="separate"/>
        </w:r>
        <w:r w:rsidR="001D200B">
          <w:rPr>
            <w:noProof/>
            <w:webHidden/>
          </w:rPr>
          <w:t>57</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24" w:history="1">
        <w:r w:rsidR="00916C39" w:rsidRPr="001D200B">
          <w:rPr>
            <w:rStyle w:val="Hipercze"/>
            <w:rFonts w:cstheme="minorHAnsi"/>
            <w:noProof/>
            <w:color w:val="auto"/>
          </w:rPr>
          <w:t>5. Zestawienie nośników ciepła</w:t>
        </w:r>
        <w:r w:rsidR="00916C39" w:rsidRPr="001D200B">
          <w:rPr>
            <w:noProof/>
            <w:webHidden/>
          </w:rPr>
          <w:tab/>
        </w:r>
        <w:r w:rsidRPr="001D200B">
          <w:rPr>
            <w:noProof/>
            <w:webHidden/>
          </w:rPr>
          <w:fldChar w:fldCharType="begin"/>
        </w:r>
        <w:r w:rsidR="00916C39" w:rsidRPr="001D200B">
          <w:rPr>
            <w:noProof/>
            <w:webHidden/>
          </w:rPr>
          <w:instrText xml:space="preserve"> PAGEREF _Toc31972824 \h </w:instrText>
        </w:r>
        <w:r w:rsidRPr="001D200B">
          <w:rPr>
            <w:noProof/>
            <w:webHidden/>
          </w:rPr>
        </w:r>
        <w:r w:rsidRPr="001D200B">
          <w:rPr>
            <w:noProof/>
            <w:webHidden/>
          </w:rPr>
          <w:fldChar w:fldCharType="separate"/>
        </w:r>
        <w:r w:rsidR="001D200B">
          <w:rPr>
            <w:noProof/>
            <w:webHidden/>
          </w:rPr>
          <w:t>60</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25" w:history="1">
        <w:r w:rsidR="00916C39" w:rsidRPr="001D200B">
          <w:rPr>
            <w:rStyle w:val="Hipercze"/>
            <w:noProof/>
            <w:color w:val="auto"/>
          </w:rPr>
          <w:t>6. Przedsięwzięcia racjonalizujące użytkowanie ciepła</w:t>
        </w:r>
        <w:r w:rsidR="00916C39" w:rsidRPr="001D200B">
          <w:rPr>
            <w:noProof/>
            <w:webHidden/>
          </w:rPr>
          <w:tab/>
        </w:r>
        <w:r w:rsidRPr="001D200B">
          <w:rPr>
            <w:noProof/>
            <w:webHidden/>
          </w:rPr>
          <w:fldChar w:fldCharType="begin"/>
        </w:r>
        <w:r w:rsidR="00916C39" w:rsidRPr="001D200B">
          <w:rPr>
            <w:noProof/>
            <w:webHidden/>
          </w:rPr>
          <w:instrText xml:space="preserve"> PAGEREF _Toc31972825 \h </w:instrText>
        </w:r>
        <w:r w:rsidRPr="001D200B">
          <w:rPr>
            <w:noProof/>
            <w:webHidden/>
          </w:rPr>
        </w:r>
        <w:r w:rsidRPr="001D200B">
          <w:rPr>
            <w:noProof/>
            <w:webHidden/>
          </w:rPr>
          <w:fldChar w:fldCharType="separate"/>
        </w:r>
        <w:r w:rsidR="001D200B">
          <w:rPr>
            <w:noProof/>
            <w:webHidden/>
          </w:rPr>
          <w:t>60</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26" w:history="1">
        <w:r w:rsidR="00916C39" w:rsidRPr="001D200B">
          <w:rPr>
            <w:rStyle w:val="Hipercze"/>
            <w:rFonts w:cstheme="minorHAnsi"/>
            <w:noProof/>
            <w:color w:val="auto"/>
          </w:rPr>
          <w:t>7. Lokalne nadwyżki oraz zasoby paliw i energii</w:t>
        </w:r>
        <w:r w:rsidR="00916C39" w:rsidRPr="001D200B">
          <w:rPr>
            <w:noProof/>
            <w:webHidden/>
          </w:rPr>
          <w:tab/>
        </w:r>
        <w:r w:rsidRPr="001D200B">
          <w:rPr>
            <w:noProof/>
            <w:webHidden/>
          </w:rPr>
          <w:fldChar w:fldCharType="begin"/>
        </w:r>
        <w:r w:rsidR="00916C39" w:rsidRPr="001D200B">
          <w:rPr>
            <w:noProof/>
            <w:webHidden/>
          </w:rPr>
          <w:instrText xml:space="preserve"> PAGEREF _Toc31972826 \h </w:instrText>
        </w:r>
        <w:r w:rsidRPr="001D200B">
          <w:rPr>
            <w:noProof/>
            <w:webHidden/>
          </w:rPr>
        </w:r>
        <w:r w:rsidRPr="001D200B">
          <w:rPr>
            <w:noProof/>
            <w:webHidden/>
          </w:rPr>
          <w:fldChar w:fldCharType="separate"/>
        </w:r>
        <w:r w:rsidR="001D200B">
          <w:rPr>
            <w:noProof/>
            <w:webHidden/>
          </w:rPr>
          <w:t>61</w:t>
        </w:r>
        <w:r w:rsidRPr="001D200B">
          <w:rPr>
            <w:noProof/>
            <w:webHidden/>
          </w:rPr>
          <w:fldChar w:fldCharType="end"/>
        </w:r>
      </w:hyperlink>
    </w:p>
    <w:p w:rsidR="00916C39" w:rsidRPr="001D200B" w:rsidRDefault="005B7234">
      <w:pPr>
        <w:pStyle w:val="Spistreci1"/>
        <w:rPr>
          <w:rFonts w:eastAsiaTheme="minorEastAsia" w:cstheme="minorBidi"/>
          <w:b w:val="0"/>
          <w:bCs w:val="0"/>
          <w:caps w:val="0"/>
          <w:sz w:val="22"/>
          <w:szCs w:val="22"/>
        </w:rPr>
      </w:pPr>
      <w:hyperlink w:anchor="_Toc31972827" w:history="1">
        <w:r w:rsidR="00916C39" w:rsidRPr="001D200B">
          <w:rPr>
            <w:rStyle w:val="Hipercze"/>
            <w:rFonts w:cstheme="minorHAnsi"/>
            <w:color w:val="auto"/>
          </w:rPr>
          <w:t>IV. Zaopatrzenie w energię elektryczną</w:t>
        </w:r>
        <w:r w:rsidR="00916C39" w:rsidRPr="001D200B">
          <w:rPr>
            <w:webHidden/>
          </w:rPr>
          <w:tab/>
        </w:r>
        <w:r w:rsidRPr="001D200B">
          <w:rPr>
            <w:webHidden/>
          </w:rPr>
          <w:fldChar w:fldCharType="begin"/>
        </w:r>
        <w:r w:rsidR="00916C39" w:rsidRPr="001D200B">
          <w:rPr>
            <w:webHidden/>
          </w:rPr>
          <w:instrText xml:space="preserve"> PAGEREF _Toc31972827 \h </w:instrText>
        </w:r>
        <w:r w:rsidRPr="001D200B">
          <w:rPr>
            <w:webHidden/>
          </w:rPr>
        </w:r>
        <w:r w:rsidRPr="001D200B">
          <w:rPr>
            <w:webHidden/>
          </w:rPr>
          <w:fldChar w:fldCharType="separate"/>
        </w:r>
        <w:r w:rsidR="001D200B">
          <w:rPr>
            <w:webHidden/>
          </w:rPr>
          <w:t>62</w:t>
        </w:r>
        <w:r w:rsidRPr="001D200B">
          <w:rPr>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28" w:history="1">
        <w:r w:rsidR="00916C39" w:rsidRPr="001D200B">
          <w:rPr>
            <w:rStyle w:val="Hipercze"/>
            <w:rFonts w:cstheme="minorHAnsi"/>
            <w:noProof/>
            <w:color w:val="auto"/>
          </w:rPr>
          <w:t>1. Charakterystyka stanu obecnego</w:t>
        </w:r>
        <w:r w:rsidR="00916C39" w:rsidRPr="001D200B">
          <w:rPr>
            <w:noProof/>
            <w:webHidden/>
          </w:rPr>
          <w:tab/>
        </w:r>
        <w:r w:rsidRPr="001D200B">
          <w:rPr>
            <w:noProof/>
            <w:webHidden/>
          </w:rPr>
          <w:fldChar w:fldCharType="begin"/>
        </w:r>
        <w:r w:rsidR="00916C39" w:rsidRPr="001D200B">
          <w:rPr>
            <w:noProof/>
            <w:webHidden/>
          </w:rPr>
          <w:instrText xml:space="preserve"> PAGEREF _Toc31972828 \h </w:instrText>
        </w:r>
        <w:r w:rsidRPr="001D200B">
          <w:rPr>
            <w:noProof/>
            <w:webHidden/>
          </w:rPr>
        </w:r>
        <w:r w:rsidRPr="001D200B">
          <w:rPr>
            <w:noProof/>
            <w:webHidden/>
          </w:rPr>
          <w:fldChar w:fldCharType="separate"/>
        </w:r>
        <w:r w:rsidR="001D200B">
          <w:rPr>
            <w:noProof/>
            <w:webHidden/>
          </w:rPr>
          <w:t>63</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29" w:history="1">
        <w:r w:rsidR="00916C39" w:rsidRPr="001D200B">
          <w:rPr>
            <w:rStyle w:val="Hipercze"/>
            <w:rFonts w:cstheme="minorHAnsi"/>
            <w:noProof/>
            <w:color w:val="auto"/>
          </w:rPr>
          <w:t>2. Ocena stanu obecnego. Cele podstawowe</w:t>
        </w:r>
        <w:r w:rsidR="00916C39" w:rsidRPr="001D200B">
          <w:rPr>
            <w:noProof/>
            <w:webHidden/>
          </w:rPr>
          <w:tab/>
        </w:r>
        <w:r w:rsidRPr="001D200B">
          <w:rPr>
            <w:noProof/>
            <w:webHidden/>
          </w:rPr>
          <w:fldChar w:fldCharType="begin"/>
        </w:r>
        <w:r w:rsidR="00916C39" w:rsidRPr="001D200B">
          <w:rPr>
            <w:noProof/>
            <w:webHidden/>
          </w:rPr>
          <w:instrText xml:space="preserve"> PAGEREF _Toc31972829 \h </w:instrText>
        </w:r>
        <w:r w:rsidRPr="001D200B">
          <w:rPr>
            <w:noProof/>
            <w:webHidden/>
          </w:rPr>
        </w:r>
        <w:r w:rsidRPr="001D200B">
          <w:rPr>
            <w:noProof/>
            <w:webHidden/>
          </w:rPr>
          <w:fldChar w:fldCharType="separate"/>
        </w:r>
        <w:r w:rsidR="001D200B">
          <w:rPr>
            <w:noProof/>
            <w:webHidden/>
          </w:rPr>
          <w:t>69</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30" w:history="1">
        <w:r w:rsidR="00916C39" w:rsidRPr="001D200B">
          <w:rPr>
            <w:rStyle w:val="Hipercze"/>
            <w:rFonts w:cstheme="minorHAnsi"/>
            <w:noProof/>
            <w:color w:val="auto"/>
          </w:rPr>
          <w:t>3. Prognoza zapotrzebowania na moc i energię elektryczną</w:t>
        </w:r>
        <w:r w:rsidR="00916C39" w:rsidRPr="001D200B">
          <w:rPr>
            <w:noProof/>
            <w:webHidden/>
          </w:rPr>
          <w:tab/>
        </w:r>
        <w:r w:rsidRPr="001D200B">
          <w:rPr>
            <w:noProof/>
            <w:webHidden/>
          </w:rPr>
          <w:fldChar w:fldCharType="begin"/>
        </w:r>
        <w:r w:rsidR="00916C39" w:rsidRPr="001D200B">
          <w:rPr>
            <w:noProof/>
            <w:webHidden/>
          </w:rPr>
          <w:instrText xml:space="preserve"> PAGEREF _Toc31972830 \h </w:instrText>
        </w:r>
        <w:r w:rsidRPr="001D200B">
          <w:rPr>
            <w:noProof/>
            <w:webHidden/>
          </w:rPr>
        </w:r>
        <w:r w:rsidRPr="001D200B">
          <w:rPr>
            <w:noProof/>
            <w:webHidden/>
          </w:rPr>
          <w:fldChar w:fldCharType="separate"/>
        </w:r>
        <w:r w:rsidR="001D200B">
          <w:rPr>
            <w:noProof/>
            <w:webHidden/>
          </w:rPr>
          <w:t>70</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31" w:history="1">
        <w:r w:rsidR="00916C39" w:rsidRPr="001D200B">
          <w:rPr>
            <w:rStyle w:val="Hipercze"/>
            <w:rFonts w:cstheme="minorHAnsi"/>
            <w:noProof/>
            <w:color w:val="auto"/>
          </w:rPr>
          <w:t>4. Zamierzenia modernizacyjne i inwestycyjne</w:t>
        </w:r>
        <w:r w:rsidR="00916C39" w:rsidRPr="001D200B">
          <w:rPr>
            <w:noProof/>
            <w:webHidden/>
          </w:rPr>
          <w:tab/>
        </w:r>
        <w:r w:rsidRPr="001D200B">
          <w:rPr>
            <w:noProof/>
            <w:webHidden/>
          </w:rPr>
          <w:fldChar w:fldCharType="begin"/>
        </w:r>
        <w:r w:rsidR="00916C39" w:rsidRPr="001D200B">
          <w:rPr>
            <w:noProof/>
            <w:webHidden/>
          </w:rPr>
          <w:instrText xml:space="preserve"> PAGEREF _Toc31972831 \h </w:instrText>
        </w:r>
        <w:r w:rsidRPr="001D200B">
          <w:rPr>
            <w:noProof/>
            <w:webHidden/>
          </w:rPr>
        </w:r>
        <w:r w:rsidRPr="001D200B">
          <w:rPr>
            <w:noProof/>
            <w:webHidden/>
          </w:rPr>
          <w:fldChar w:fldCharType="separate"/>
        </w:r>
        <w:r w:rsidR="001D200B">
          <w:rPr>
            <w:noProof/>
            <w:webHidden/>
          </w:rPr>
          <w:t>73</w:t>
        </w:r>
        <w:r w:rsidRPr="001D200B">
          <w:rPr>
            <w:noProof/>
            <w:webHidden/>
          </w:rPr>
          <w:fldChar w:fldCharType="end"/>
        </w:r>
      </w:hyperlink>
    </w:p>
    <w:p w:rsidR="00916C39" w:rsidRPr="001D200B" w:rsidRDefault="005B7234">
      <w:pPr>
        <w:pStyle w:val="Spistreci2"/>
        <w:tabs>
          <w:tab w:val="left" w:pos="720"/>
          <w:tab w:val="right" w:leader="dot" w:pos="9060"/>
        </w:tabs>
        <w:rPr>
          <w:rFonts w:asciiTheme="minorHAnsi" w:eastAsiaTheme="minorEastAsia" w:hAnsiTheme="minorHAnsi" w:cstheme="minorBidi"/>
          <w:smallCaps w:val="0"/>
          <w:noProof/>
          <w:sz w:val="22"/>
          <w:szCs w:val="22"/>
        </w:rPr>
      </w:pPr>
      <w:hyperlink w:anchor="_Toc31972832" w:history="1">
        <w:r w:rsidR="00916C39" w:rsidRPr="001D200B">
          <w:rPr>
            <w:rStyle w:val="Hipercze"/>
            <w:noProof/>
            <w:color w:val="auto"/>
          </w:rPr>
          <w:t>5.</w:t>
        </w:r>
        <w:r w:rsidR="00916C39" w:rsidRPr="001D200B">
          <w:rPr>
            <w:rFonts w:asciiTheme="minorHAnsi" w:eastAsiaTheme="minorEastAsia" w:hAnsiTheme="minorHAnsi" w:cstheme="minorBidi"/>
            <w:smallCaps w:val="0"/>
            <w:noProof/>
            <w:sz w:val="22"/>
            <w:szCs w:val="22"/>
          </w:rPr>
          <w:tab/>
        </w:r>
        <w:r w:rsidR="00916C39" w:rsidRPr="001D200B">
          <w:rPr>
            <w:rStyle w:val="Hipercze"/>
            <w:noProof/>
            <w:color w:val="auto"/>
          </w:rPr>
          <w:t>Tereny rozwojowe gminy Połaniec</w:t>
        </w:r>
        <w:r w:rsidR="00916C39" w:rsidRPr="001D200B">
          <w:rPr>
            <w:noProof/>
            <w:webHidden/>
          </w:rPr>
          <w:tab/>
        </w:r>
        <w:r w:rsidRPr="001D200B">
          <w:rPr>
            <w:noProof/>
            <w:webHidden/>
          </w:rPr>
          <w:fldChar w:fldCharType="begin"/>
        </w:r>
        <w:r w:rsidR="00916C39" w:rsidRPr="001D200B">
          <w:rPr>
            <w:noProof/>
            <w:webHidden/>
          </w:rPr>
          <w:instrText xml:space="preserve"> PAGEREF _Toc31972832 \h </w:instrText>
        </w:r>
        <w:r w:rsidRPr="001D200B">
          <w:rPr>
            <w:noProof/>
            <w:webHidden/>
          </w:rPr>
        </w:r>
        <w:r w:rsidRPr="001D200B">
          <w:rPr>
            <w:noProof/>
            <w:webHidden/>
          </w:rPr>
          <w:fldChar w:fldCharType="separate"/>
        </w:r>
        <w:r w:rsidR="001D200B">
          <w:rPr>
            <w:noProof/>
            <w:webHidden/>
          </w:rPr>
          <w:t>75</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33" w:history="1">
        <w:r w:rsidR="00916C39" w:rsidRPr="001D200B">
          <w:rPr>
            <w:rStyle w:val="Hipercze"/>
            <w:rFonts w:cstheme="minorHAnsi"/>
            <w:noProof/>
            <w:color w:val="auto"/>
          </w:rPr>
          <w:t>5. Lokalne nadwyżki oraz zasoby paliw i energii</w:t>
        </w:r>
        <w:r w:rsidR="00916C39" w:rsidRPr="001D200B">
          <w:rPr>
            <w:noProof/>
            <w:webHidden/>
          </w:rPr>
          <w:tab/>
        </w:r>
        <w:r w:rsidRPr="001D200B">
          <w:rPr>
            <w:noProof/>
            <w:webHidden/>
          </w:rPr>
          <w:fldChar w:fldCharType="begin"/>
        </w:r>
        <w:r w:rsidR="00916C39" w:rsidRPr="001D200B">
          <w:rPr>
            <w:noProof/>
            <w:webHidden/>
          </w:rPr>
          <w:instrText xml:space="preserve"> PAGEREF _Toc31972833 \h </w:instrText>
        </w:r>
        <w:r w:rsidRPr="001D200B">
          <w:rPr>
            <w:noProof/>
            <w:webHidden/>
          </w:rPr>
        </w:r>
        <w:r w:rsidRPr="001D200B">
          <w:rPr>
            <w:noProof/>
            <w:webHidden/>
          </w:rPr>
          <w:fldChar w:fldCharType="separate"/>
        </w:r>
        <w:r w:rsidR="001D200B">
          <w:rPr>
            <w:noProof/>
            <w:webHidden/>
          </w:rPr>
          <w:t>82</w:t>
        </w:r>
        <w:r w:rsidRPr="001D200B">
          <w:rPr>
            <w:noProof/>
            <w:webHidden/>
          </w:rPr>
          <w:fldChar w:fldCharType="end"/>
        </w:r>
      </w:hyperlink>
    </w:p>
    <w:p w:rsidR="00916C39" w:rsidRPr="001D200B" w:rsidRDefault="005B7234">
      <w:pPr>
        <w:pStyle w:val="Spistreci1"/>
        <w:rPr>
          <w:rFonts w:eastAsiaTheme="minorEastAsia" w:cstheme="minorBidi"/>
          <w:b w:val="0"/>
          <w:bCs w:val="0"/>
          <w:caps w:val="0"/>
          <w:sz w:val="22"/>
          <w:szCs w:val="22"/>
        </w:rPr>
      </w:pPr>
      <w:hyperlink w:anchor="_Toc31972834" w:history="1">
        <w:r w:rsidR="00916C39" w:rsidRPr="001D200B">
          <w:rPr>
            <w:rStyle w:val="Hipercze"/>
            <w:rFonts w:cstheme="minorHAnsi"/>
            <w:color w:val="auto"/>
          </w:rPr>
          <w:t>V. Zaopatrzenie w paliwa gazowe</w:t>
        </w:r>
        <w:r w:rsidR="00916C39" w:rsidRPr="001D200B">
          <w:rPr>
            <w:webHidden/>
          </w:rPr>
          <w:tab/>
        </w:r>
        <w:r w:rsidRPr="001D200B">
          <w:rPr>
            <w:webHidden/>
          </w:rPr>
          <w:fldChar w:fldCharType="begin"/>
        </w:r>
        <w:r w:rsidR="00916C39" w:rsidRPr="001D200B">
          <w:rPr>
            <w:webHidden/>
          </w:rPr>
          <w:instrText xml:space="preserve"> PAGEREF _Toc31972834 \h </w:instrText>
        </w:r>
        <w:r w:rsidRPr="001D200B">
          <w:rPr>
            <w:webHidden/>
          </w:rPr>
        </w:r>
        <w:r w:rsidRPr="001D200B">
          <w:rPr>
            <w:webHidden/>
          </w:rPr>
          <w:fldChar w:fldCharType="separate"/>
        </w:r>
        <w:r w:rsidR="001D200B">
          <w:rPr>
            <w:webHidden/>
          </w:rPr>
          <w:t>83</w:t>
        </w:r>
        <w:r w:rsidRPr="001D200B">
          <w:rPr>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35" w:history="1">
        <w:r w:rsidR="00916C39" w:rsidRPr="001D200B">
          <w:rPr>
            <w:rStyle w:val="Hipercze"/>
            <w:rFonts w:cstheme="minorHAnsi"/>
            <w:noProof/>
            <w:color w:val="auto"/>
          </w:rPr>
          <w:t>1. Charakterystyka stanu obecnego</w:t>
        </w:r>
        <w:r w:rsidR="00916C39" w:rsidRPr="001D200B">
          <w:rPr>
            <w:noProof/>
            <w:webHidden/>
          </w:rPr>
          <w:tab/>
        </w:r>
        <w:r w:rsidRPr="001D200B">
          <w:rPr>
            <w:noProof/>
            <w:webHidden/>
          </w:rPr>
          <w:fldChar w:fldCharType="begin"/>
        </w:r>
        <w:r w:rsidR="00916C39" w:rsidRPr="001D200B">
          <w:rPr>
            <w:noProof/>
            <w:webHidden/>
          </w:rPr>
          <w:instrText xml:space="preserve"> PAGEREF _Toc31972835 \h </w:instrText>
        </w:r>
        <w:r w:rsidRPr="001D200B">
          <w:rPr>
            <w:noProof/>
            <w:webHidden/>
          </w:rPr>
        </w:r>
        <w:r w:rsidRPr="001D200B">
          <w:rPr>
            <w:noProof/>
            <w:webHidden/>
          </w:rPr>
          <w:fldChar w:fldCharType="separate"/>
        </w:r>
        <w:r w:rsidR="001D200B">
          <w:rPr>
            <w:noProof/>
            <w:webHidden/>
          </w:rPr>
          <w:t>83</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36" w:history="1">
        <w:r w:rsidR="00916C39" w:rsidRPr="001D200B">
          <w:rPr>
            <w:rStyle w:val="Hipercze"/>
            <w:rFonts w:cstheme="minorHAnsi"/>
            <w:noProof/>
            <w:color w:val="auto"/>
          </w:rPr>
          <w:t>2. Ocena stanu obecnego. Cele podstawowe.</w:t>
        </w:r>
        <w:r w:rsidR="00916C39" w:rsidRPr="001D200B">
          <w:rPr>
            <w:noProof/>
            <w:webHidden/>
          </w:rPr>
          <w:tab/>
        </w:r>
        <w:r w:rsidRPr="001D200B">
          <w:rPr>
            <w:noProof/>
            <w:webHidden/>
          </w:rPr>
          <w:fldChar w:fldCharType="begin"/>
        </w:r>
        <w:r w:rsidR="00916C39" w:rsidRPr="001D200B">
          <w:rPr>
            <w:noProof/>
            <w:webHidden/>
          </w:rPr>
          <w:instrText xml:space="preserve"> PAGEREF _Toc31972836 \h </w:instrText>
        </w:r>
        <w:r w:rsidRPr="001D200B">
          <w:rPr>
            <w:noProof/>
            <w:webHidden/>
          </w:rPr>
        </w:r>
        <w:r w:rsidRPr="001D200B">
          <w:rPr>
            <w:noProof/>
            <w:webHidden/>
          </w:rPr>
          <w:fldChar w:fldCharType="separate"/>
        </w:r>
        <w:r w:rsidR="001D200B">
          <w:rPr>
            <w:noProof/>
            <w:webHidden/>
          </w:rPr>
          <w:t>88</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37" w:history="1">
        <w:r w:rsidR="00916C39" w:rsidRPr="001D200B">
          <w:rPr>
            <w:rStyle w:val="Hipercze"/>
            <w:rFonts w:cstheme="minorHAnsi"/>
            <w:noProof/>
            <w:color w:val="auto"/>
          </w:rPr>
          <w:t>3. Prognoza zapotrzebowania na paliwa gazowe i możliwości rozwoju sieci gazociągowej</w:t>
        </w:r>
        <w:r w:rsidR="00916C39" w:rsidRPr="001D200B">
          <w:rPr>
            <w:noProof/>
            <w:webHidden/>
          </w:rPr>
          <w:tab/>
        </w:r>
        <w:r w:rsidRPr="001D200B">
          <w:rPr>
            <w:noProof/>
            <w:webHidden/>
          </w:rPr>
          <w:fldChar w:fldCharType="begin"/>
        </w:r>
        <w:r w:rsidR="00916C39" w:rsidRPr="001D200B">
          <w:rPr>
            <w:noProof/>
            <w:webHidden/>
          </w:rPr>
          <w:instrText xml:space="preserve"> PAGEREF _Toc31972837 \h </w:instrText>
        </w:r>
        <w:r w:rsidRPr="001D200B">
          <w:rPr>
            <w:noProof/>
            <w:webHidden/>
          </w:rPr>
        </w:r>
        <w:r w:rsidRPr="001D200B">
          <w:rPr>
            <w:noProof/>
            <w:webHidden/>
          </w:rPr>
          <w:fldChar w:fldCharType="separate"/>
        </w:r>
        <w:r w:rsidR="001D200B">
          <w:rPr>
            <w:noProof/>
            <w:webHidden/>
          </w:rPr>
          <w:t>89</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38" w:history="1">
        <w:r w:rsidR="00916C39" w:rsidRPr="001D200B">
          <w:rPr>
            <w:rStyle w:val="Hipercze"/>
            <w:rFonts w:cstheme="minorHAnsi"/>
            <w:noProof/>
            <w:color w:val="auto"/>
          </w:rPr>
          <w:t>4. Zamierzenia inwestycyjne</w:t>
        </w:r>
        <w:r w:rsidR="00916C39" w:rsidRPr="001D200B">
          <w:rPr>
            <w:noProof/>
            <w:webHidden/>
          </w:rPr>
          <w:tab/>
        </w:r>
        <w:r w:rsidRPr="001D200B">
          <w:rPr>
            <w:noProof/>
            <w:webHidden/>
          </w:rPr>
          <w:fldChar w:fldCharType="begin"/>
        </w:r>
        <w:r w:rsidR="00916C39" w:rsidRPr="001D200B">
          <w:rPr>
            <w:noProof/>
            <w:webHidden/>
          </w:rPr>
          <w:instrText xml:space="preserve"> PAGEREF _Toc31972838 \h </w:instrText>
        </w:r>
        <w:r w:rsidRPr="001D200B">
          <w:rPr>
            <w:noProof/>
            <w:webHidden/>
          </w:rPr>
        </w:r>
        <w:r w:rsidRPr="001D200B">
          <w:rPr>
            <w:noProof/>
            <w:webHidden/>
          </w:rPr>
          <w:fldChar w:fldCharType="separate"/>
        </w:r>
        <w:r w:rsidR="001D200B">
          <w:rPr>
            <w:noProof/>
            <w:webHidden/>
          </w:rPr>
          <w:t>91</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39" w:history="1">
        <w:r w:rsidR="00916C39" w:rsidRPr="001D200B">
          <w:rPr>
            <w:rStyle w:val="Hipercze"/>
            <w:noProof/>
            <w:color w:val="auto"/>
          </w:rPr>
          <w:t>5. Lokalne nadwyżki oraz zasoby paliw gazowych</w:t>
        </w:r>
        <w:r w:rsidR="00916C39" w:rsidRPr="001D200B">
          <w:rPr>
            <w:noProof/>
            <w:webHidden/>
          </w:rPr>
          <w:tab/>
        </w:r>
        <w:r w:rsidRPr="001D200B">
          <w:rPr>
            <w:noProof/>
            <w:webHidden/>
          </w:rPr>
          <w:fldChar w:fldCharType="begin"/>
        </w:r>
        <w:r w:rsidR="00916C39" w:rsidRPr="001D200B">
          <w:rPr>
            <w:noProof/>
            <w:webHidden/>
          </w:rPr>
          <w:instrText xml:space="preserve"> PAGEREF _Toc31972839 \h </w:instrText>
        </w:r>
        <w:r w:rsidRPr="001D200B">
          <w:rPr>
            <w:noProof/>
            <w:webHidden/>
          </w:rPr>
        </w:r>
        <w:r w:rsidRPr="001D200B">
          <w:rPr>
            <w:noProof/>
            <w:webHidden/>
          </w:rPr>
          <w:fldChar w:fldCharType="separate"/>
        </w:r>
        <w:r w:rsidR="001D200B">
          <w:rPr>
            <w:noProof/>
            <w:webHidden/>
          </w:rPr>
          <w:t>92</w:t>
        </w:r>
        <w:r w:rsidRPr="001D200B">
          <w:rPr>
            <w:noProof/>
            <w:webHidden/>
          </w:rPr>
          <w:fldChar w:fldCharType="end"/>
        </w:r>
      </w:hyperlink>
    </w:p>
    <w:p w:rsidR="00916C39" w:rsidRPr="001D200B" w:rsidRDefault="005B7234">
      <w:pPr>
        <w:pStyle w:val="Spistreci1"/>
        <w:rPr>
          <w:rFonts w:eastAsiaTheme="minorEastAsia" w:cstheme="minorBidi"/>
          <w:b w:val="0"/>
          <w:bCs w:val="0"/>
          <w:caps w:val="0"/>
          <w:sz w:val="22"/>
          <w:szCs w:val="22"/>
        </w:rPr>
      </w:pPr>
      <w:hyperlink w:anchor="_Toc31972840" w:history="1">
        <w:r w:rsidR="00916C39" w:rsidRPr="001D200B">
          <w:rPr>
            <w:rStyle w:val="Hipercze"/>
            <w:rFonts w:cstheme="minorHAnsi"/>
            <w:color w:val="auto"/>
          </w:rPr>
          <w:t xml:space="preserve">VI. </w:t>
        </w:r>
        <w:r w:rsidR="00916C39" w:rsidRPr="001D200B">
          <w:rPr>
            <w:rStyle w:val="Hipercze"/>
            <w:rFonts w:cstheme="minorHAnsi"/>
            <w:snapToGrid w:val="0"/>
            <w:color w:val="auto"/>
          </w:rPr>
          <w:t>Przedsięwzięcia racjonalizujące użytkowanie ciepła, energii elektrycznej i paliw gazowych oraz ocena możliwości stosowania środków poprawy efektywności energetycznej</w:t>
        </w:r>
        <w:r w:rsidR="00916C39" w:rsidRPr="001D200B">
          <w:rPr>
            <w:webHidden/>
          </w:rPr>
          <w:tab/>
        </w:r>
        <w:r w:rsidRPr="001D200B">
          <w:rPr>
            <w:webHidden/>
          </w:rPr>
          <w:fldChar w:fldCharType="begin"/>
        </w:r>
        <w:r w:rsidR="00916C39" w:rsidRPr="001D200B">
          <w:rPr>
            <w:webHidden/>
          </w:rPr>
          <w:instrText xml:space="preserve"> PAGEREF _Toc31972840 \h </w:instrText>
        </w:r>
        <w:r w:rsidRPr="001D200B">
          <w:rPr>
            <w:webHidden/>
          </w:rPr>
        </w:r>
        <w:r w:rsidRPr="001D200B">
          <w:rPr>
            <w:webHidden/>
          </w:rPr>
          <w:fldChar w:fldCharType="separate"/>
        </w:r>
        <w:r w:rsidR="001D200B">
          <w:rPr>
            <w:webHidden/>
          </w:rPr>
          <w:t>93</w:t>
        </w:r>
        <w:r w:rsidRPr="001D200B">
          <w:rPr>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41" w:history="1">
        <w:r w:rsidR="00916C39" w:rsidRPr="001D200B">
          <w:rPr>
            <w:rStyle w:val="Hipercze"/>
            <w:rFonts w:cstheme="minorHAnsi"/>
            <w:noProof/>
            <w:color w:val="auto"/>
          </w:rPr>
          <w:t>1. Przedsięwzięcia racjonalizujące użytkowanie ciepła, energii elektrycznej i paliw gazowych</w:t>
        </w:r>
        <w:r w:rsidR="00916C39" w:rsidRPr="001D200B">
          <w:rPr>
            <w:noProof/>
            <w:webHidden/>
          </w:rPr>
          <w:tab/>
        </w:r>
        <w:r w:rsidRPr="001D200B">
          <w:rPr>
            <w:noProof/>
            <w:webHidden/>
          </w:rPr>
          <w:fldChar w:fldCharType="begin"/>
        </w:r>
        <w:r w:rsidR="00916C39" w:rsidRPr="001D200B">
          <w:rPr>
            <w:noProof/>
            <w:webHidden/>
          </w:rPr>
          <w:instrText xml:space="preserve"> PAGEREF _Toc31972841 \h </w:instrText>
        </w:r>
        <w:r w:rsidRPr="001D200B">
          <w:rPr>
            <w:noProof/>
            <w:webHidden/>
          </w:rPr>
        </w:r>
        <w:r w:rsidRPr="001D200B">
          <w:rPr>
            <w:noProof/>
            <w:webHidden/>
          </w:rPr>
          <w:fldChar w:fldCharType="separate"/>
        </w:r>
        <w:r w:rsidR="001D200B">
          <w:rPr>
            <w:noProof/>
            <w:webHidden/>
          </w:rPr>
          <w:t>93</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42" w:history="1">
        <w:r w:rsidR="00916C39" w:rsidRPr="001D200B">
          <w:rPr>
            <w:rStyle w:val="Hipercze"/>
            <w:rFonts w:cstheme="minorHAnsi"/>
            <w:noProof/>
            <w:color w:val="auto"/>
          </w:rPr>
          <w:t>2. Możliwości stosowania środków poprawy efektywności energetycznej</w:t>
        </w:r>
        <w:r w:rsidR="00916C39" w:rsidRPr="001D200B">
          <w:rPr>
            <w:noProof/>
            <w:webHidden/>
          </w:rPr>
          <w:tab/>
        </w:r>
        <w:r w:rsidRPr="001D200B">
          <w:rPr>
            <w:noProof/>
            <w:webHidden/>
          </w:rPr>
          <w:fldChar w:fldCharType="begin"/>
        </w:r>
        <w:r w:rsidR="00916C39" w:rsidRPr="001D200B">
          <w:rPr>
            <w:noProof/>
            <w:webHidden/>
          </w:rPr>
          <w:instrText xml:space="preserve"> PAGEREF _Toc31972842 \h </w:instrText>
        </w:r>
        <w:r w:rsidRPr="001D200B">
          <w:rPr>
            <w:noProof/>
            <w:webHidden/>
          </w:rPr>
        </w:r>
        <w:r w:rsidRPr="001D200B">
          <w:rPr>
            <w:noProof/>
            <w:webHidden/>
          </w:rPr>
          <w:fldChar w:fldCharType="separate"/>
        </w:r>
        <w:r w:rsidR="001D200B">
          <w:rPr>
            <w:noProof/>
            <w:webHidden/>
          </w:rPr>
          <w:t>95</w:t>
        </w:r>
        <w:r w:rsidRPr="001D200B">
          <w:rPr>
            <w:noProof/>
            <w:webHidden/>
          </w:rPr>
          <w:fldChar w:fldCharType="end"/>
        </w:r>
      </w:hyperlink>
    </w:p>
    <w:p w:rsidR="00916C39" w:rsidRPr="001D200B" w:rsidRDefault="005B7234">
      <w:pPr>
        <w:pStyle w:val="Spistreci1"/>
        <w:rPr>
          <w:rFonts w:eastAsiaTheme="minorEastAsia" w:cstheme="minorBidi"/>
          <w:b w:val="0"/>
          <w:bCs w:val="0"/>
          <w:caps w:val="0"/>
          <w:sz w:val="22"/>
          <w:szCs w:val="22"/>
        </w:rPr>
      </w:pPr>
      <w:hyperlink w:anchor="_Toc31972843" w:history="1">
        <w:r w:rsidR="00916C39" w:rsidRPr="001D200B">
          <w:rPr>
            <w:rStyle w:val="Hipercze"/>
            <w:rFonts w:cstheme="minorHAnsi"/>
            <w:color w:val="auto"/>
          </w:rPr>
          <w:t xml:space="preserve">VII. </w:t>
        </w:r>
        <w:r w:rsidR="00916C39" w:rsidRPr="001D200B">
          <w:rPr>
            <w:rStyle w:val="Hipercze"/>
            <w:snapToGrid w:val="0"/>
            <w:color w:val="auto"/>
          </w:rPr>
          <w:t>Możliwości wykorzystania istniejących nadwyżek i lokalnych zasobów paliw i energii, z uwzględnieniem energii elektrycznej i ciepła wytwarzanych w odnawialnych źródłach energii, energii elektrycznej i ciepła użytkowego wytwarzanych w kogeneracji oraz zagospodarowania ciepła odpadowego z instalacji przemysłowych</w:t>
        </w:r>
        <w:r w:rsidR="00916C39" w:rsidRPr="001D200B">
          <w:rPr>
            <w:webHidden/>
          </w:rPr>
          <w:tab/>
        </w:r>
        <w:r w:rsidRPr="001D200B">
          <w:rPr>
            <w:webHidden/>
          </w:rPr>
          <w:fldChar w:fldCharType="begin"/>
        </w:r>
        <w:r w:rsidR="00916C39" w:rsidRPr="001D200B">
          <w:rPr>
            <w:webHidden/>
          </w:rPr>
          <w:instrText xml:space="preserve"> PAGEREF _Toc31972843 \h </w:instrText>
        </w:r>
        <w:r w:rsidRPr="001D200B">
          <w:rPr>
            <w:webHidden/>
          </w:rPr>
        </w:r>
        <w:r w:rsidRPr="001D200B">
          <w:rPr>
            <w:webHidden/>
          </w:rPr>
          <w:fldChar w:fldCharType="separate"/>
        </w:r>
        <w:r w:rsidR="001D200B">
          <w:rPr>
            <w:webHidden/>
          </w:rPr>
          <w:t>99</w:t>
        </w:r>
        <w:r w:rsidRPr="001D200B">
          <w:rPr>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44" w:history="1">
        <w:r w:rsidR="00916C39" w:rsidRPr="001D200B">
          <w:rPr>
            <w:rStyle w:val="Hipercze"/>
            <w:rFonts w:cstheme="minorHAnsi"/>
            <w:noProof/>
            <w:color w:val="auto"/>
          </w:rPr>
          <w:t>1. Wstęp</w:t>
        </w:r>
        <w:r w:rsidR="00916C39" w:rsidRPr="001D200B">
          <w:rPr>
            <w:noProof/>
            <w:webHidden/>
          </w:rPr>
          <w:tab/>
        </w:r>
        <w:r w:rsidRPr="001D200B">
          <w:rPr>
            <w:noProof/>
            <w:webHidden/>
          </w:rPr>
          <w:fldChar w:fldCharType="begin"/>
        </w:r>
        <w:r w:rsidR="00916C39" w:rsidRPr="001D200B">
          <w:rPr>
            <w:noProof/>
            <w:webHidden/>
          </w:rPr>
          <w:instrText xml:space="preserve"> PAGEREF _Toc31972844 \h </w:instrText>
        </w:r>
        <w:r w:rsidRPr="001D200B">
          <w:rPr>
            <w:noProof/>
            <w:webHidden/>
          </w:rPr>
        </w:r>
        <w:r w:rsidRPr="001D200B">
          <w:rPr>
            <w:noProof/>
            <w:webHidden/>
          </w:rPr>
          <w:fldChar w:fldCharType="separate"/>
        </w:r>
        <w:r w:rsidR="001D200B">
          <w:rPr>
            <w:noProof/>
            <w:webHidden/>
          </w:rPr>
          <w:t>99</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45" w:history="1">
        <w:r w:rsidR="00916C39" w:rsidRPr="001D200B">
          <w:rPr>
            <w:rStyle w:val="Hipercze"/>
            <w:rFonts w:cstheme="minorHAnsi"/>
            <w:noProof/>
            <w:color w:val="auto"/>
          </w:rPr>
          <w:t>2. Możliwości wykorzystania i zastosowania odnawialnych źródeł energii</w:t>
        </w:r>
        <w:r w:rsidR="00916C39" w:rsidRPr="001D200B">
          <w:rPr>
            <w:noProof/>
            <w:webHidden/>
          </w:rPr>
          <w:tab/>
        </w:r>
        <w:r w:rsidRPr="001D200B">
          <w:rPr>
            <w:noProof/>
            <w:webHidden/>
          </w:rPr>
          <w:fldChar w:fldCharType="begin"/>
        </w:r>
        <w:r w:rsidR="00916C39" w:rsidRPr="001D200B">
          <w:rPr>
            <w:noProof/>
            <w:webHidden/>
          </w:rPr>
          <w:instrText xml:space="preserve"> PAGEREF _Toc31972845 \h </w:instrText>
        </w:r>
        <w:r w:rsidRPr="001D200B">
          <w:rPr>
            <w:noProof/>
            <w:webHidden/>
          </w:rPr>
        </w:r>
        <w:r w:rsidRPr="001D200B">
          <w:rPr>
            <w:noProof/>
            <w:webHidden/>
          </w:rPr>
          <w:fldChar w:fldCharType="separate"/>
        </w:r>
        <w:r w:rsidR="001D200B">
          <w:rPr>
            <w:noProof/>
            <w:webHidden/>
          </w:rPr>
          <w:t>100</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46" w:history="1">
        <w:r w:rsidR="00916C39" w:rsidRPr="001D200B">
          <w:rPr>
            <w:rStyle w:val="Hipercze"/>
            <w:rFonts w:cstheme="minorHAnsi"/>
            <w:noProof/>
            <w:color w:val="auto"/>
          </w:rPr>
          <w:t>2.1. Hydroenergetyka</w:t>
        </w:r>
        <w:r w:rsidR="00916C39" w:rsidRPr="001D200B">
          <w:rPr>
            <w:noProof/>
            <w:webHidden/>
          </w:rPr>
          <w:tab/>
        </w:r>
        <w:r w:rsidRPr="001D200B">
          <w:rPr>
            <w:noProof/>
            <w:webHidden/>
          </w:rPr>
          <w:fldChar w:fldCharType="begin"/>
        </w:r>
        <w:r w:rsidR="00916C39" w:rsidRPr="001D200B">
          <w:rPr>
            <w:noProof/>
            <w:webHidden/>
          </w:rPr>
          <w:instrText xml:space="preserve"> PAGEREF _Toc31972846 \h </w:instrText>
        </w:r>
        <w:r w:rsidRPr="001D200B">
          <w:rPr>
            <w:noProof/>
            <w:webHidden/>
          </w:rPr>
        </w:r>
        <w:r w:rsidRPr="001D200B">
          <w:rPr>
            <w:noProof/>
            <w:webHidden/>
          </w:rPr>
          <w:fldChar w:fldCharType="separate"/>
        </w:r>
        <w:r w:rsidR="001D200B">
          <w:rPr>
            <w:noProof/>
            <w:webHidden/>
          </w:rPr>
          <w:t>100</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47" w:history="1">
        <w:r w:rsidR="00916C39" w:rsidRPr="001D200B">
          <w:rPr>
            <w:rStyle w:val="Hipercze"/>
            <w:rFonts w:cstheme="minorHAnsi"/>
            <w:noProof/>
            <w:color w:val="auto"/>
          </w:rPr>
          <w:t>2.2. Ciepło geotermalne/ pompy ciepła</w:t>
        </w:r>
        <w:r w:rsidR="00916C39" w:rsidRPr="001D200B">
          <w:rPr>
            <w:noProof/>
            <w:webHidden/>
          </w:rPr>
          <w:tab/>
        </w:r>
        <w:r w:rsidRPr="001D200B">
          <w:rPr>
            <w:noProof/>
            <w:webHidden/>
          </w:rPr>
          <w:fldChar w:fldCharType="begin"/>
        </w:r>
        <w:r w:rsidR="00916C39" w:rsidRPr="001D200B">
          <w:rPr>
            <w:noProof/>
            <w:webHidden/>
          </w:rPr>
          <w:instrText xml:space="preserve"> PAGEREF _Toc31972847 \h </w:instrText>
        </w:r>
        <w:r w:rsidRPr="001D200B">
          <w:rPr>
            <w:noProof/>
            <w:webHidden/>
          </w:rPr>
        </w:r>
        <w:r w:rsidRPr="001D200B">
          <w:rPr>
            <w:noProof/>
            <w:webHidden/>
          </w:rPr>
          <w:fldChar w:fldCharType="separate"/>
        </w:r>
        <w:r w:rsidR="001D200B">
          <w:rPr>
            <w:noProof/>
            <w:webHidden/>
          </w:rPr>
          <w:t>101</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48" w:history="1">
        <w:r w:rsidR="00916C39" w:rsidRPr="001D200B">
          <w:rPr>
            <w:rStyle w:val="Hipercze"/>
            <w:rFonts w:cstheme="minorHAnsi"/>
            <w:noProof/>
            <w:color w:val="auto"/>
          </w:rPr>
          <w:t>2.3. Energia wiatru</w:t>
        </w:r>
        <w:r w:rsidR="00916C39" w:rsidRPr="001D200B">
          <w:rPr>
            <w:noProof/>
            <w:webHidden/>
          </w:rPr>
          <w:tab/>
        </w:r>
        <w:r w:rsidRPr="001D200B">
          <w:rPr>
            <w:noProof/>
            <w:webHidden/>
          </w:rPr>
          <w:fldChar w:fldCharType="begin"/>
        </w:r>
        <w:r w:rsidR="00916C39" w:rsidRPr="001D200B">
          <w:rPr>
            <w:noProof/>
            <w:webHidden/>
          </w:rPr>
          <w:instrText xml:space="preserve"> PAGEREF _Toc31972848 \h </w:instrText>
        </w:r>
        <w:r w:rsidRPr="001D200B">
          <w:rPr>
            <w:noProof/>
            <w:webHidden/>
          </w:rPr>
        </w:r>
        <w:r w:rsidRPr="001D200B">
          <w:rPr>
            <w:noProof/>
            <w:webHidden/>
          </w:rPr>
          <w:fldChar w:fldCharType="separate"/>
        </w:r>
        <w:r w:rsidR="001D200B">
          <w:rPr>
            <w:noProof/>
            <w:webHidden/>
          </w:rPr>
          <w:t>101</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49" w:history="1">
        <w:r w:rsidR="00916C39" w:rsidRPr="001D200B">
          <w:rPr>
            <w:rStyle w:val="Hipercze"/>
            <w:rFonts w:cstheme="minorHAnsi"/>
            <w:noProof/>
            <w:color w:val="auto"/>
          </w:rPr>
          <w:t>2.4. Energia słoneczna</w:t>
        </w:r>
        <w:r w:rsidR="00916C39" w:rsidRPr="001D200B">
          <w:rPr>
            <w:noProof/>
            <w:webHidden/>
          </w:rPr>
          <w:tab/>
        </w:r>
        <w:r w:rsidRPr="001D200B">
          <w:rPr>
            <w:noProof/>
            <w:webHidden/>
          </w:rPr>
          <w:fldChar w:fldCharType="begin"/>
        </w:r>
        <w:r w:rsidR="00916C39" w:rsidRPr="001D200B">
          <w:rPr>
            <w:noProof/>
            <w:webHidden/>
          </w:rPr>
          <w:instrText xml:space="preserve"> PAGEREF _Toc31972849 \h </w:instrText>
        </w:r>
        <w:r w:rsidRPr="001D200B">
          <w:rPr>
            <w:noProof/>
            <w:webHidden/>
          </w:rPr>
        </w:r>
        <w:r w:rsidRPr="001D200B">
          <w:rPr>
            <w:noProof/>
            <w:webHidden/>
          </w:rPr>
          <w:fldChar w:fldCharType="separate"/>
        </w:r>
        <w:r w:rsidR="001D200B">
          <w:rPr>
            <w:noProof/>
            <w:webHidden/>
          </w:rPr>
          <w:t>102</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50" w:history="1">
        <w:r w:rsidR="00916C39" w:rsidRPr="001D200B">
          <w:rPr>
            <w:rStyle w:val="Hipercze"/>
            <w:rFonts w:cstheme="minorHAnsi"/>
            <w:noProof/>
            <w:color w:val="auto"/>
          </w:rPr>
          <w:t>2.5. Biogaz</w:t>
        </w:r>
        <w:r w:rsidR="00916C39" w:rsidRPr="001D200B">
          <w:rPr>
            <w:noProof/>
            <w:webHidden/>
          </w:rPr>
          <w:tab/>
        </w:r>
        <w:r w:rsidRPr="001D200B">
          <w:rPr>
            <w:noProof/>
            <w:webHidden/>
          </w:rPr>
          <w:fldChar w:fldCharType="begin"/>
        </w:r>
        <w:r w:rsidR="00916C39" w:rsidRPr="001D200B">
          <w:rPr>
            <w:noProof/>
            <w:webHidden/>
          </w:rPr>
          <w:instrText xml:space="preserve"> PAGEREF _Toc31972850 \h </w:instrText>
        </w:r>
        <w:r w:rsidRPr="001D200B">
          <w:rPr>
            <w:noProof/>
            <w:webHidden/>
          </w:rPr>
        </w:r>
        <w:r w:rsidRPr="001D200B">
          <w:rPr>
            <w:noProof/>
            <w:webHidden/>
          </w:rPr>
          <w:fldChar w:fldCharType="separate"/>
        </w:r>
        <w:r w:rsidR="001D200B">
          <w:rPr>
            <w:noProof/>
            <w:webHidden/>
          </w:rPr>
          <w:t>104</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51" w:history="1">
        <w:r w:rsidR="00916C39" w:rsidRPr="001D200B">
          <w:rPr>
            <w:rStyle w:val="Hipercze"/>
            <w:rFonts w:cstheme="minorHAnsi"/>
            <w:noProof/>
            <w:color w:val="auto"/>
          </w:rPr>
          <w:t>2.6. Biomasa</w:t>
        </w:r>
        <w:r w:rsidR="00916C39" w:rsidRPr="001D200B">
          <w:rPr>
            <w:noProof/>
            <w:webHidden/>
          </w:rPr>
          <w:tab/>
        </w:r>
        <w:r w:rsidRPr="001D200B">
          <w:rPr>
            <w:noProof/>
            <w:webHidden/>
          </w:rPr>
          <w:fldChar w:fldCharType="begin"/>
        </w:r>
        <w:r w:rsidR="00916C39" w:rsidRPr="001D200B">
          <w:rPr>
            <w:noProof/>
            <w:webHidden/>
          </w:rPr>
          <w:instrText xml:space="preserve"> PAGEREF _Toc31972851 \h </w:instrText>
        </w:r>
        <w:r w:rsidRPr="001D200B">
          <w:rPr>
            <w:noProof/>
            <w:webHidden/>
          </w:rPr>
        </w:r>
        <w:r w:rsidRPr="001D200B">
          <w:rPr>
            <w:noProof/>
            <w:webHidden/>
          </w:rPr>
          <w:fldChar w:fldCharType="separate"/>
        </w:r>
        <w:r w:rsidR="001D200B">
          <w:rPr>
            <w:noProof/>
            <w:webHidden/>
          </w:rPr>
          <w:t>105</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52" w:history="1">
        <w:r w:rsidR="00916C39" w:rsidRPr="001D200B">
          <w:rPr>
            <w:rStyle w:val="Hipercze"/>
            <w:noProof/>
            <w:color w:val="auto"/>
          </w:rPr>
          <w:t>2.7. Wytwarzanie energii w skojarzeniu</w:t>
        </w:r>
        <w:r w:rsidR="00916C39" w:rsidRPr="001D200B">
          <w:rPr>
            <w:noProof/>
            <w:webHidden/>
          </w:rPr>
          <w:tab/>
        </w:r>
        <w:r w:rsidRPr="001D200B">
          <w:rPr>
            <w:noProof/>
            <w:webHidden/>
          </w:rPr>
          <w:fldChar w:fldCharType="begin"/>
        </w:r>
        <w:r w:rsidR="00916C39" w:rsidRPr="001D200B">
          <w:rPr>
            <w:noProof/>
            <w:webHidden/>
          </w:rPr>
          <w:instrText xml:space="preserve"> PAGEREF _Toc31972852 \h </w:instrText>
        </w:r>
        <w:r w:rsidRPr="001D200B">
          <w:rPr>
            <w:noProof/>
            <w:webHidden/>
          </w:rPr>
        </w:r>
        <w:r w:rsidRPr="001D200B">
          <w:rPr>
            <w:noProof/>
            <w:webHidden/>
          </w:rPr>
          <w:fldChar w:fldCharType="separate"/>
        </w:r>
        <w:r w:rsidR="001D200B">
          <w:rPr>
            <w:noProof/>
            <w:webHidden/>
          </w:rPr>
          <w:t>107</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53" w:history="1">
        <w:r w:rsidR="00916C39" w:rsidRPr="001D200B">
          <w:rPr>
            <w:rStyle w:val="Hipercze"/>
            <w:rFonts w:cstheme="minorHAnsi"/>
            <w:noProof/>
            <w:color w:val="auto"/>
          </w:rPr>
          <w:t>2.8. Podsumowanie</w:t>
        </w:r>
        <w:r w:rsidR="00916C39" w:rsidRPr="001D200B">
          <w:rPr>
            <w:noProof/>
            <w:webHidden/>
          </w:rPr>
          <w:tab/>
        </w:r>
        <w:r w:rsidRPr="001D200B">
          <w:rPr>
            <w:noProof/>
            <w:webHidden/>
          </w:rPr>
          <w:fldChar w:fldCharType="begin"/>
        </w:r>
        <w:r w:rsidR="00916C39" w:rsidRPr="001D200B">
          <w:rPr>
            <w:noProof/>
            <w:webHidden/>
          </w:rPr>
          <w:instrText xml:space="preserve"> PAGEREF _Toc31972853 \h </w:instrText>
        </w:r>
        <w:r w:rsidRPr="001D200B">
          <w:rPr>
            <w:noProof/>
            <w:webHidden/>
          </w:rPr>
        </w:r>
        <w:r w:rsidRPr="001D200B">
          <w:rPr>
            <w:noProof/>
            <w:webHidden/>
          </w:rPr>
          <w:fldChar w:fldCharType="separate"/>
        </w:r>
        <w:r w:rsidR="001D200B">
          <w:rPr>
            <w:noProof/>
            <w:webHidden/>
          </w:rPr>
          <w:t>107</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54" w:history="1">
        <w:r w:rsidR="00916C39" w:rsidRPr="001D200B">
          <w:rPr>
            <w:rStyle w:val="Hipercze"/>
            <w:noProof/>
            <w:color w:val="auto"/>
          </w:rPr>
          <w:t>3. Możliwości finansowania i wdrażania OZE i efektywności energetycznej</w:t>
        </w:r>
        <w:r w:rsidR="00916C39" w:rsidRPr="001D200B">
          <w:rPr>
            <w:noProof/>
            <w:webHidden/>
          </w:rPr>
          <w:tab/>
        </w:r>
        <w:r w:rsidRPr="001D200B">
          <w:rPr>
            <w:noProof/>
            <w:webHidden/>
          </w:rPr>
          <w:fldChar w:fldCharType="begin"/>
        </w:r>
        <w:r w:rsidR="00916C39" w:rsidRPr="001D200B">
          <w:rPr>
            <w:noProof/>
            <w:webHidden/>
          </w:rPr>
          <w:instrText xml:space="preserve"> PAGEREF _Toc31972854 \h </w:instrText>
        </w:r>
        <w:r w:rsidRPr="001D200B">
          <w:rPr>
            <w:noProof/>
            <w:webHidden/>
          </w:rPr>
        </w:r>
        <w:r w:rsidRPr="001D200B">
          <w:rPr>
            <w:noProof/>
            <w:webHidden/>
          </w:rPr>
          <w:fldChar w:fldCharType="separate"/>
        </w:r>
        <w:r w:rsidR="001D200B">
          <w:rPr>
            <w:noProof/>
            <w:webHidden/>
          </w:rPr>
          <w:t>107</w:t>
        </w:r>
        <w:r w:rsidRPr="001D200B">
          <w:rPr>
            <w:noProof/>
            <w:webHidden/>
          </w:rPr>
          <w:fldChar w:fldCharType="end"/>
        </w:r>
      </w:hyperlink>
    </w:p>
    <w:p w:rsidR="00916C39" w:rsidRPr="001D200B" w:rsidRDefault="005B7234">
      <w:pPr>
        <w:pStyle w:val="Spistreci1"/>
        <w:rPr>
          <w:rFonts w:eastAsiaTheme="minorEastAsia" w:cstheme="minorBidi"/>
          <w:b w:val="0"/>
          <w:bCs w:val="0"/>
          <w:caps w:val="0"/>
          <w:sz w:val="22"/>
          <w:szCs w:val="22"/>
        </w:rPr>
      </w:pPr>
      <w:hyperlink w:anchor="_Toc31972855" w:history="1">
        <w:r w:rsidR="00916C39" w:rsidRPr="001D200B">
          <w:rPr>
            <w:rStyle w:val="Hipercze"/>
            <w:rFonts w:cstheme="minorHAnsi"/>
            <w:color w:val="auto"/>
          </w:rPr>
          <w:t>VIII. Współpraca z innymi gminami</w:t>
        </w:r>
        <w:r w:rsidR="00916C39" w:rsidRPr="001D200B">
          <w:rPr>
            <w:webHidden/>
          </w:rPr>
          <w:tab/>
        </w:r>
        <w:r w:rsidRPr="001D200B">
          <w:rPr>
            <w:webHidden/>
          </w:rPr>
          <w:fldChar w:fldCharType="begin"/>
        </w:r>
        <w:r w:rsidR="00916C39" w:rsidRPr="001D200B">
          <w:rPr>
            <w:webHidden/>
          </w:rPr>
          <w:instrText xml:space="preserve"> PAGEREF _Toc31972855 \h </w:instrText>
        </w:r>
        <w:r w:rsidRPr="001D200B">
          <w:rPr>
            <w:webHidden/>
          </w:rPr>
        </w:r>
        <w:r w:rsidRPr="001D200B">
          <w:rPr>
            <w:webHidden/>
          </w:rPr>
          <w:fldChar w:fldCharType="separate"/>
        </w:r>
        <w:r w:rsidR="001D200B">
          <w:rPr>
            <w:webHidden/>
          </w:rPr>
          <w:t>110</w:t>
        </w:r>
        <w:r w:rsidRPr="001D200B">
          <w:rPr>
            <w:webHidden/>
          </w:rPr>
          <w:fldChar w:fldCharType="end"/>
        </w:r>
      </w:hyperlink>
    </w:p>
    <w:p w:rsidR="00916C39" w:rsidRPr="001D200B" w:rsidRDefault="005B7234">
      <w:pPr>
        <w:pStyle w:val="Spistreci1"/>
        <w:rPr>
          <w:rFonts w:eastAsiaTheme="minorEastAsia" w:cstheme="minorBidi"/>
          <w:b w:val="0"/>
          <w:bCs w:val="0"/>
          <w:caps w:val="0"/>
          <w:sz w:val="22"/>
          <w:szCs w:val="22"/>
        </w:rPr>
      </w:pPr>
      <w:hyperlink w:anchor="_Toc31972856" w:history="1">
        <w:r w:rsidR="00916C39" w:rsidRPr="001D200B">
          <w:rPr>
            <w:rStyle w:val="Hipercze"/>
            <w:rFonts w:cstheme="minorHAnsi"/>
            <w:color w:val="auto"/>
          </w:rPr>
          <w:t>IX. Podsumowanie, wnioski, zalecenia</w:t>
        </w:r>
        <w:r w:rsidR="00916C39" w:rsidRPr="001D200B">
          <w:rPr>
            <w:webHidden/>
          </w:rPr>
          <w:tab/>
        </w:r>
        <w:r w:rsidRPr="001D200B">
          <w:rPr>
            <w:webHidden/>
          </w:rPr>
          <w:fldChar w:fldCharType="begin"/>
        </w:r>
        <w:r w:rsidR="00916C39" w:rsidRPr="001D200B">
          <w:rPr>
            <w:webHidden/>
          </w:rPr>
          <w:instrText xml:space="preserve"> PAGEREF _Toc31972856 \h </w:instrText>
        </w:r>
        <w:r w:rsidRPr="001D200B">
          <w:rPr>
            <w:webHidden/>
          </w:rPr>
        </w:r>
        <w:r w:rsidRPr="001D200B">
          <w:rPr>
            <w:webHidden/>
          </w:rPr>
          <w:fldChar w:fldCharType="separate"/>
        </w:r>
        <w:r w:rsidR="001D200B">
          <w:rPr>
            <w:webHidden/>
          </w:rPr>
          <w:t>112</w:t>
        </w:r>
        <w:r w:rsidRPr="001D200B">
          <w:rPr>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57" w:history="1">
        <w:r w:rsidR="00916C39" w:rsidRPr="001D200B">
          <w:rPr>
            <w:rStyle w:val="Hipercze"/>
            <w:rFonts w:cstheme="minorHAnsi"/>
            <w:noProof/>
            <w:color w:val="auto"/>
          </w:rPr>
          <w:t>1. Stan środowiska naturalnego – jakość powietrza</w:t>
        </w:r>
        <w:r w:rsidR="00916C39" w:rsidRPr="001D200B">
          <w:rPr>
            <w:noProof/>
            <w:webHidden/>
          </w:rPr>
          <w:tab/>
        </w:r>
        <w:r w:rsidRPr="001D200B">
          <w:rPr>
            <w:noProof/>
            <w:webHidden/>
          </w:rPr>
          <w:fldChar w:fldCharType="begin"/>
        </w:r>
        <w:r w:rsidR="00916C39" w:rsidRPr="001D200B">
          <w:rPr>
            <w:noProof/>
            <w:webHidden/>
          </w:rPr>
          <w:instrText xml:space="preserve"> PAGEREF _Toc31972857 \h </w:instrText>
        </w:r>
        <w:r w:rsidRPr="001D200B">
          <w:rPr>
            <w:noProof/>
            <w:webHidden/>
          </w:rPr>
        </w:r>
        <w:r w:rsidRPr="001D200B">
          <w:rPr>
            <w:noProof/>
            <w:webHidden/>
          </w:rPr>
          <w:fldChar w:fldCharType="separate"/>
        </w:r>
        <w:r w:rsidR="001D200B">
          <w:rPr>
            <w:noProof/>
            <w:webHidden/>
          </w:rPr>
          <w:t>112</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58" w:history="1">
        <w:r w:rsidR="00916C39" w:rsidRPr="001D200B">
          <w:rPr>
            <w:rStyle w:val="Hipercze"/>
            <w:rFonts w:cstheme="minorHAnsi"/>
            <w:noProof/>
            <w:color w:val="auto"/>
          </w:rPr>
          <w:t>2. Zaopatrzenie w ciepło</w:t>
        </w:r>
        <w:r w:rsidR="00916C39" w:rsidRPr="001D200B">
          <w:rPr>
            <w:noProof/>
            <w:webHidden/>
          </w:rPr>
          <w:tab/>
        </w:r>
        <w:r w:rsidRPr="001D200B">
          <w:rPr>
            <w:noProof/>
            <w:webHidden/>
          </w:rPr>
          <w:fldChar w:fldCharType="begin"/>
        </w:r>
        <w:r w:rsidR="00916C39" w:rsidRPr="001D200B">
          <w:rPr>
            <w:noProof/>
            <w:webHidden/>
          </w:rPr>
          <w:instrText xml:space="preserve"> PAGEREF _Toc31972858 \h </w:instrText>
        </w:r>
        <w:r w:rsidRPr="001D200B">
          <w:rPr>
            <w:noProof/>
            <w:webHidden/>
          </w:rPr>
        </w:r>
        <w:r w:rsidRPr="001D200B">
          <w:rPr>
            <w:noProof/>
            <w:webHidden/>
          </w:rPr>
          <w:fldChar w:fldCharType="separate"/>
        </w:r>
        <w:r w:rsidR="001D200B">
          <w:rPr>
            <w:noProof/>
            <w:webHidden/>
          </w:rPr>
          <w:t>117</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59" w:history="1">
        <w:r w:rsidR="00916C39" w:rsidRPr="001D200B">
          <w:rPr>
            <w:rStyle w:val="Hipercze"/>
            <w:rFonts w:cstheme="minorHAnsi"/>
            <w:noProof/>
            <w:color w:val="auto"/>
          </w:rPr>
          <w:t>3. Zaopatrzenie w energię elektryczną</w:t>
        </w:r>
        <w:r w:rsidR="00916C39" w:rsidRPr="001D200B">
          <w:rPr>
            <w:noProof/>
            <w:webHidden/>
          </w:rPr>
          <w:tab/>
        </w:r>
        <w:r w:rsidRPr="001D200B">
          <w:rPr>
            <w:noProof/>
            <w:webHidden/>
          </w:rPr>
          <w:fldChar w:fldCharType="begin"/>
        </w:r>
        <w:r w:rsidR="00916C39" w:rsidRPr="001D200B">
          <w:rPr>
            <w:noProof/>
            <w:webHidden/>
          </w:rPr>
          <w:instrText xml:space="preserve"> PAGEREF _Toc31972859 \h </w:instrText>
        </w:r>
        <w:r w:rsidRPr="001D200B">
          <w:rPr>
            <w:noProof/>
            <w:webHidden/>
          </w:rPr>
        </w:r>
        <w:r w:rsidRPr="001D200B">
          <w:rPr>
            <w:noProof/>
            <w:webHidden/>
          </w:rPr>
          <w:fldChar w:fldCharType="separate"/>
        </w:r>
        <w:r w:rsidR="001D200B">
          <w:rPr>
            <w:noProof/>
            <w:webHidden/>
          </w:rPr>
          <w:t>117</w:t>
        </w:r>
        <w:r w:rsidRPr="001D200B">
          <w:rPr>
            <w:noProof/>
            <w:webHidden/>
          </w:rPr>
          <w:fldChar w:fldCharType="end"/>
        </w:r>
      </w:hyperlink>
    </w:p>
    <w:p w:rsidR="00916C39" w:rsidRPr="001D200B" w:rsidRDefault="005B7234">
      <w:pPr>
        <w:pStyle w:val="Spistreci2"/>
        <w:tabs>
          <w:tab w:val="right" w:leader="dot" w:pos="9060"/>
        </w:tabs>
        <w:rPr>
          <w:rFonts w:asciiTheme="minorHAnsi" w:eastAsiaTheme="minorEastAsia" w:hAnsiTheme="minorHAnsi" w:cstheme="minorBidi"/>
          <w:smallCaps w:val="0"/>
          <w:noProof/>
          <w:sz w:val="22"/>
          <w:szCs w:val="22"/>
        </w:rPr>
      </w:pPr>
      <w:hyperlink w:anchor="_Toc31972860" w:history="1">
        <w:r w:rsidR="00916C39" w:rsidRPr="001D200B">
          <w:rPr>
            <w:rStyle w:val="Hipercze"/>
            <w:rFonts w:cstheme="minorHAnsi"/>
            <w:noProof/>
            <w:color w:val="auto"/>
          </w:rPr>
          <w:t>4. Zaopatrzenie w gaz</w:t>
        </w:r>
        <w:r w:rsidR="00916C39" w:rsidRPr="001D200B">
          <w:rPr>
            <w:noProof/>
            <w:webHidden/>
          </w:rPr>
          <w:tab/>
        </w:r>
        <w:r w:rsidRPr="001D200B">
          <w:rPr>
            <w:noProof/>
            <w:webHidden/>
          </w:rPr>
          <w:fldChar w:fldCharType="begin"/>
        </w:r>
        <w:r w:rsidR="00916C39" w:rsidRPr="001D200B">
          <w:rPr>
            <w:noProof/>
            <w:webHidden/>
          </w:rPr>
          <w:instrText xml:space="preserve"> PAGEREF _Toc31972860 \h </w:instrText>
        </w:r>
        <w:r w:rsidRPr="001D200B">
          <w:rPr>
            <w:noProof/>
            <w:webHidden/>
          </w:rPr>
        </w:r>
        <w:r w:rsidRPr="001D200B">
          <w:rPr>
            <w:noProof/>
            <w:webHidden/>
          </w:rPr>
          <w:fldChar w:fldCharType="separate"/>
        </w:r>
        <w:r w:rsidR="001D200B">
          <w:rPr>
            <w:noProof/>
            <w:webHidden/>
          </w:rPr>
          <w:t>118</w:t>
        </w:r>
        <w:r w:rsidRPr="001D200B">
          <w:rPr>
            <w:noProof/>
            <w:webHidden/>
          </w:rPr>
          <w:fldChar w:fldCharType="end"/>
        </w:r>
      </w:hyperlink>
    </w:p>
    <w:p w:rsidR="00916C39" w:rsidRPr="001D200B" w:rsidRDefault="005B7234">
      <w:pPr>
        <w:pStyle w:val="Spistreci1"/>
        <w:rPr>
          <w:rFonts w:eastAsiaTheme="minorEastAsia" w:cstheme="minorBidi"/>
          <w:b w:val="0"/>
          <w:bCs w:val="0"/>
          <w:caps w:val="0"/>
          <w:sz w:val="22"/>
          <w:szCs w:val="22"/>
        </w:rPr>
      </w:pPr>
      <w:hyperlink w:anchor="_Toc31972861" w:history="1">
        <w:r w:rsidR="00916C39" w:rsidRPr="001D200B">
          <w:rPr>
            <w:rStyle w:val="Hipercze"/>
            <w:rFonts w:cstheme="minorHAnsi"/>
            <w:color w:val="auto"/>
          </w:rPr>
          <w:t>X. Wykaz materiałów wykorzystanych przy opracowaniu</w:t>
        </w:r>
        <w:r w:rsidR="00916C39" w:rsidRPr="001D200B">
          <w:rPr>
            <w:webHidden/>
          </w:rPr>
          <w:tab/>
        </w:r>
        <w:r w:rsidRPr="001D200B">
          <w:rPr>
            <w:webHidden/>
          </w:rPr>
          <w:fldChar w:fldCharType="begin"/>
        </w:r>
        <w:r w:rsidR="00916C39" w:rsidRPr="001D200B">
          <w:rPr>
            <w:webHidden/>
          </w:rPr>
          <w:instrText xml:space="preserve"> PAGEREF _Toc31972861 \h </w:instrText>
        </w:r>
        <w:r w:rsidRPr="001D200B">
          <w:rPr>
            <w:webHidden/>
          </w:rPr>
        </w:r>
        <w:r w:rsidRPr="001D200B">
          <w:rPr>
            <w:webHidden/>
          </w:rPr>
          <w:fldChar w:fldCharType="separate"/>
        </w:r>
        <w:r w:rsidR="001D200B">
          <w:rPr>
            <w:webHidden/>
          </w:rPr>
          <w:t>120</w:t>
        </w:r>
        <w:r w:rsidRPr="001D200B">
          <w:rPr>
            <w:webHidden/>
          </w:rPr>
          <w:fldChar w:fldCharType="end"/>
        </w:r>
      </w:hyperlink>
    </w:p>
    <w:p w:rsidR="00916C39" w:rsidRPr="001D200B" w:rsidRDefault="005B7234">
      <w:pPr>
        <w:pStyle w:val="Spistreci1"/>
        <w:rPr>
          <w:rFonts w:eastAsiaTheme="minorEastAsia" w:cstheme="minorBidi"/>
          <w:b w:val="0"/>
          <w:bCs w:val="0"/>
          <w:caps w:val="0"/>
          <w:sz w:val="22"/>
          <w:szCs w:val="22"/>
        </w:rPr>
      </w:pPr>
      <w:hyperlink w:anchor="_Toc31972862" w:history="1">
        <w:r w:rsidR="00916C39" w:rsidRPr="001D200B">
          <w:rPr>
            <w:rStyle w:val="Hipercze"/>
            <w:rFonts w:cstheme="minorHAnsi"/>
            <w:color w:val="auto"/>
          </w:rPr>
          <w:t>XI. Mapa Gminy Połaniec</w:t>
        </w:r>
        <w:r w:rsidR="00916C39" w:rsidRPr="001D200B">
          <w:rPr>
            <w:webHidden/>
          </w:rPr>
          <w:tab/>
        </w:r>
        <w:r w:rsidRPr="001D200B">
          <w:rPr>
            <w:webHidden/>
          </w:rPr>
          <w:fldChar w:fldCharType="begin"/>
        </w:r>
        <w:r w:rsidR="00916C39" w:rsidRPr="001D200B">
          <w:rPr>
            <w:webHidden/>
          </w:rPr>
          <w:instrText xml:space="preserve"> PAGEREF _Toc31972862 \h </w:instrText>
        </w:r>
        <w:r w:rsidRPr="001D200B">
          <w:rPr>
            <w:webHidden/>
          </w:rPr>
        </w:r>
        <w:r w:rsidRPr="001D200B">
          <w:rPr>
            <w:webHidden/>
          </w:rPr>
          <w:fldChar w:fldCharType="separate"/>
        </w:r>
        <w:r w:rsidR="001D200B">
          <w:rPr>
            <w:webHidden/>
          </w:rPr>
          <w:t>121</w:t>
        </w:r>
        <w:r w:rsidRPr="001D200B">
          <w:rPr>
            <w:webHidden/>
          </w:rPr>
          <w:fldChar w:fldCharType="end"/>
        </w:r>
      </w:hyperlink>
    </w:p>
    <w:p w:rsidR="00916C39" w:rsidRPr="001D200B" w:rsidRDefault="005B7234">
      <w:pPr>
        <w:pStyle w:val="Spistreci1"/>
        <w:rPr>
          <w:rFonts w:eastAsiaTheme="minorEastAsia" w:cstheme="minorBidi"/>
          <w:b w:val="0"/>
          <w:bCs w:val="0"/>
          <w:caps w:val="0"/>
          <w:sz w:val="22"/>
          <w:szCs w:val="22"/>
        </w:rPr>
      </w:pPr>
      <w:hyperlink w:anchor="_Toc31972863" w:history="1">
        <w:r w:rsidR="00916C39" w:rsidRPr="001D200B">
          <w:rPr>
            <w:rStyle w:val="Hipercze"/>
            <w:rFonts w:cstheme="minorHAnsi"/>
            <w:color w:val="auto"/>
          </w:rPr>
          <w:t>XII. Załączniki</w:t>
        </w:r>
        <w:r w:rsidR="00916C39" w:rsidRPr="001D200B">
          <w:rPr>
            <w:webHidden/>
          </w:rPr>
          <w:tab/>
        </w:r>
        <w:r w:rsidRPr="001D200B">
          <w:rPr>
            <w:webHidden/>
          </w:rPr>
          <w:fldChar w:fldCharType="begin"/>
        </w:r>
        <w:r w:rsidR="00916C39" w:rsidRPr="001D200B">
          <w:rPr>
            <w:webHidden/>
          </w:rPr>
          <w:instrText xml:space="preserve"> PAGEREF _Toc31972863 \h </w:instrText>
        </w:r>
        <w:r w:rsidRPr="001D200B">
          <w:rPr>
            <w:webHidden/>
          </w:rPr>
        </w:r>
        <w:r w:rsidRPr="001D200B">
          <w:rPr>
            <w:webHidden/>
          </w:rPr>
          <w:fldChar w:fldCharType="separate"/>
        </w:r>
        <w:r w:rsidR="001D200B">
          <w:rPr>
            <w:webHidden/>
          </w:rPr>
          <w:t>122</w:t>
        </w:r>
        <w:r w:rsidRPr="001D200B">
          <w:rPr>
            <w:webHidden/>
          </w:rPr>
          <w:fldChar w:fldCharType="end"/>
        </w:r>
      </w:hyperlink>
    </w:p>
    <w:p w:rsidR="00551741" w:rsidRPr="001D200B" w:rsidRDefault="005B7234" w:rsidP="00551741">
      <w:pPr>
        <w:rPr>
          <w:rFonts w:cstheme="minorHAnsi"/>
          <w:sz w:val="22"/>
          <w:szCs w:val="22"/>
          <w:highlight w:val="yellow"/>
        </w:rPr>
      </w:pPr>
      <w:r w:rsidRPr="001D200B">
        <w:rPr>
          <w:rFonts w:cstheme="minorHAnsi"/>
          <w:b/>
          <w:bCs/>
          <w:noProof/>
          <w:spacing w:val="4"/>
          <w:sz w:val="22"/>
          <w:szCs w:val="22"/>
          <w:highlight w:val="yellow"/>
        </w:rPr>
        <w:fldChar w:fldCharType="end"/>
      </w:r>
    </w:p>
    <w:p w:rsidR="00551741" w:rsidRPr="001D200B" w:rsidRDefault="00551741" w:rsidP="00551741">
      <w:pPr>
        <w:pStyle w:val="Tekstpodstawowy2"/>
        <w:tabs>
          <w:tab w:val="right" w:leader="dot" w:pos="9072"/>
        </w:tabs>
        <w:spacing w:line="380" w:lineRule="exact"/>
        <w:rPr>
          <w:rFonts w:cstheme="minorHAnsi"/>
          <w:sz w:val="20"/>
          <w:highlight w:val="yellow"/>
        </w:rPr>
      </w:pPr>
    </w:p>
    <w:p w:rsidR="0098674C" w:rsidRPr="001D200B" w:rsidRDefault="0098674C" w:rsidP="0098674C">
      <w:pPr>
        <w:rPr>
          <w:rFonts w:cstheme="minorHAnsi"/>
          <w:sz w:val="20"/>
          <w:highlight w:val="yellow"/>
        </w:rPr>
        <w:sectPr w:rsidR="0098674C" w:rsidRPr="001D200B" w:rsidSect="00E2343D">
          <w:headerReference w:type="default" r:id="rId12"/>
          <w:footerReference w:type="even" r:id="rId13"/>
          <w:footerReference w:type="default" r:id="rId14"/>
          <w:pgSz w:w="11906" w:h="16838"/>
          <w:pgMar w:top="1418" w:right="1418" w:bottom="1418" w:left="1418" w:header="709" w:footer="709" w:gutter="0"/>
          <w:cols w:space="708"/>
          <w:titlePg/>
          <w:docGrid w:linePitch="360"/>
        </w:sectPr>
      </w:pPr>
    </w:p>
    <w:p w:rsidR="001B2758" w:rsidRPr="001D200B" w:rsidRDefault="001B2758" w:rsidP="00F976C3">
      <w:pPr>
        <w:pStyle w:val="Spisilustracji"/>
        <w:tabs>
          <w:tab w:val="right" w:leader="dot" w:pos="9060"/>
        </w:tabs>
        <w:spacing w:before="0" w:after="0"/>
        <w:jc w:val="center"/>
        <w:rPr>
          <w:rFonts w:cstheme="minorHAnsi"/>
          <w:b/>
          <w:sz w:val="22"/>
          <w:szCs w:val="22"/>
        </w:rPr>
      </w:pPr>
      <w:r w:rsidRPr="001D200B">
        <w:rPr>
          <w:rFonts w:cstheme="minorHAnsi"/>
          <w:b/>
          <w:sz w:val="22"/>
          <w:szCs w:val="22"/>
        </w:rPr>
        <w:lastRenderedPageBreak/>
        <w:t>Spis tabel</w:t>
      </w:r>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r w:rsidRPr="001D200B">
        <w:rPr>
          <w:rFonts w:cstheme="minorHAnsi"/>
          <w:sz w:val="22"/>
          <w:szCs w:val="22"/>
          <w:highlight w:val="yellow"/>
        </w:rPr>
        <w:fldChar w:fldCharType="begin"/>
      </w:r>
      <w:r w:rsidR="001B2758" w:rsidRPr="001D200B">
        <w:rPr>
          <w:rFonts w:cstheme="minorHAnsi"/>
          <w:sz w:val="22"/>
          <w:szCs w:val="22"/>
          <w:highlight w:val="yellow"/>
        </w:rPr>
        <w:instrText xml:space="preserve"> TOC \h \z \c "Tabela" </w:instrText>
      </w:r>
      <w:r w:rsidRPr="001D200B">
        <w:rPr>
          <w:rFonts w:cstheme="minorHAnsi"/>
          <w:sz w:val="22"/>
          <w:szCs w:val="22"/>
          <w:highlight w:val="yellow"/>
        </w:rPr>
        <w:fldChar w:fldCharType="separate"/>
      </w:r>
      <w:hyperlink w:anchor="_Toc39476553" w:history="1">
        <w:r w:rsidR="00D2721B" w:rsidRPr="001D200B">
          <w:rPr>
            <w:rStyle w:val="Hipercze"/>
            <w:noProof/>
            <w:color w:val="auto"/>
            <w:sz w:val="22"/>
            <w:szCs w:val="22"/>
          </w:rPr>
          <w:t>Tabela 1. Obszary i obiekty cenne przyrodniczo na terenie gminy Połaniec</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_Toc39476553 \h </w:instrText>
        </w:r>
        <w:r w:rsidRPr="001D200B">
          <w:rPr>
            <w:noProof/>
            <w:webHidden/>
            <w:sz w:val="22"/>
            <w:szCs w:val="22"/>
          </w:rPr>
        </w:r>
        <w:r w:rsidRPr="001D200B">
          <w:rPr>
            <w:noProof/>
            <w:webHidden/>
            <w:sz w:val="22"/>
            <w:szCs w:val="22"/>
          </w:rPr>
          <w:fldChar w:fldCharType="separate"/>
        </w:r>
        <w:r w:rsidR="001D200B">
          <w:rPr>
            <w:noProof/>
            <w:webHidden/>
            <w:sz w:val="22"/>
            <w:szCs w:val="22"/>
          </w:rPr>
          <w:t>30</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54" w:history="1">
        <w:r w:rsidR="00D2721B" w:rsidRPr="001D200B">
          <w:rPr>
            <w:rStyle w:val="Hipercze"/>
            <w:noProof/>
            <w:color w:val="auto"/>
            <w:sz w:val="22"/>
            <w:szCs w:val="22"/>
          </w:rPr>
          <w:t>Tabela 2. Zmiana stanu zaludnienia gminy Połaniec w latach 2010-2018</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_Toc39476554 \h </w:instrText>
        </w:r>
        <w:r w:rsidRPr="001D200B">
          <w:rPr>
            <w:noProof/>
            <w:webHidden/>
            <w:sz w:val="22"/>
            <w:szCs w:val="22"/>
          </w:rPr>
        </w:r>
        <w:r w:rsidRPr="001D200B">
          <w:rPr>
            <w:noProof/>
            <w:webHidden/>
            <w:sz w:val="22"/>
            <w:szCs w:val="22"/>
          </w:rPr>
          <w:fldChar w:fldCharType="separate"/>
        </w:r>
        <w:r w:rsidR="001D200B">
          <w:rPr>
            <w:noProof/>
            <w:webHidden/>
            <w:sz w:val="22"/>
            <w:szCs w:val="22"/>
          </w:rPr>
          <w:t>32</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55" w:history="1">
        <w:r w:rsidR="00D2721B" w:rsidRPr="001D200B">
          <w:rPr>
            <w:rStyle w:val="Hipercze"/>
            <w:noProof/>
            <w:color w:val="auto"/>
            <w:sz w:val="22"/>
            <w:szCs w:val="22"/>
          </w:rPr>
          <w:t>Tabela 3. Prognoza liczby ludności do 2035 roku – Gmina Połaniec</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_Toc39476555 \h </w:instrText>
        </w:r>
        <w:r w:rsidRPr="001D200B">
          <w:rPr>
            <w:noProof/>
            <w:webHidden/>
            <w:sz w:val="22"/>
            <w:szCs w:val="22"/>
          </w:rPr>
        </w:r>
        <w:r w:rsidRPr="001D200B">
          <w:rPr>
            <w:noProof/>
            <w:webHidden/>
            <w:sz w:val="22"/>
            <w:szCs w:val="22"/>
          </w:rPr>
          <w:fldChar w:fldCharType="separate"/>
        </w:r>
        <w:r w:rsidR="001D200B">
          <w:rPr>
            <w:noProof/>
            <w:webHidden/>
            <w:sz w:val="22"/>
            <w:szCs w:val="22"/>
          </w:rPr>
          <w:t>33</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56" w:history="1">
        <w:r w:rsidR="00D2721B" w:rsidRPr="001D200B">
          <w:rPr>
            <w:rStyle w:val="Hipercze"/>
            <w:rFonts w:cstheme="minorHAnsi"/>
            <w:noProof/>
            <w:color w:val="auto"/>
            <w:sz w:val="22"/>
            <w:szCs w:val="22"/>
          </w:rPr>
          <w:t>Tabela 4. Zasoby mieszkaniowe według lokalizacji – stan na koniec 2018 roku (GUS, www.stat.gov.pl)</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_Toc39476556 \h </w:instrText>
        </w:r>
        <w:r w:rsidRPr="001D200B">
          <w:rPr>
            <w:noProof/>
            <w:webHidden/>
            <w:sz w:val="22"/>
            <w:szCs w:val="22"/>
          </w:rPr>
        </w:r>
        <w:r w:rsidRPr="001D200B">
          <w:rPr>
            <w:noProof/>
            <w:webHidden/>
            <w:sz w:val="22"/>
            <w:szCs w:val="22"/>
          </w:rPr>
          <w:fldChar w:fldCharType="separate"/>
        </w:r>
        <w:r w:rsidR="001D200B">
          <w:rPr>
            <w:noProof/>
            <w:webHidden/>
            <w:sz w:val="22"/>
            <w:szCs w:val="22"/>
          </w:rPr>
          <w:t>35</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57" w:history="1">
        <w:r w:rsidR="00D2721B" w:rsidRPr="001D200B">
          <w:rPr>
            <w:rStyle w:val="Hipercze"/>
            <w:noProof/>
            <w:color w:val="auto"/>
            <w:sz w:val="22"/>
            <w:szCs w:val="22"/>
          </w:rPr>
          <w:t>Tabela 5. Zabudowa mieszkaniowa według okresu wzniesienia</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_Toc39476557 \h </w:instrText>
        </w:r>
        <w:r w:rsidRPr="001D200B">
          <w:rPr>
            <w:noProof/>
            <w:webHidden/>
            <w:sz w:val="22"/>
            <w:szCs w:val="22"/>
          </w:rPr>
        </w:r>
        <w:r w:rsidRPr="001D200B">
          <w:rPr>
            <w:noProof/>
            <w:webHidden/>
            <w:sz w:val="22"/>
            <w:szCs w:val="22"/>
          </w:rPr>
          <w:fldChar w:fldCharType="separate"/>
        </w:r>
        <w:r w:rsidR="001D200B">
          <w:rPr>
            <w:noProof/>
            <w:webHidden/>
            <w:sz w:val="22"/>
            <w:szCs w:val="22"/>
          </w:rPr>
          <w:t>36</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58" w:history="1">
        <w:r w:rsidR="00D2721B" w:rsidRPr="001D200B">
          <w:rPr>
            <w:rStyle w:val="Hipercze"/>
            <w:noProof/>
            <w:color w:val="auto"/>
            <w:sz w:val="22"/>
            <w:szCs w:val="22"/>
          </w:rPr>
          <w:t xml:space="preserve">Tabela 6. </w:t>
        </w:r>
        <w:r w:rsidR="00D2721B" w:rsidRPr="001D200B">
          <w:rPr>
            <w:rStyle w:val="Hipercze"/>
            <w:rFonts w:cstheme="minorHAnsi"/>
            <w:noProof/>
            <w:color w:val="auto"/>
            <w:sz w:val="22"/>
            <w:szCs w:val="22"/>
          </w:rPr>
          <w:t>Sieć wodociągowa na terenie gminy Połaniec w 2018 roku</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_Toc39476558 \h </w:instrText>
        </w:r>
        <w:r w:rsidRPr="001D200B">
          <w:rPr>
            <w:noProof/>
            <w:webHidden/>
            <w:sz w:val="22"/>
            <w:szCs w:val="22"/>
          </w:rPr>
        </w:r>
        <w:r w:rsidRPr="001D200B">
          <w:rPr>
            <w:noProof/>
            <w:webHidden/>
            <w:sz w:val="22"/>
            <w:szCs w:val="22"/>
          </w:rPr>
          <w:fldChar w:fldCharType="separate"/>
        </w:r>
        <w:r w:rsidR="001D200B">
          <w:rPr>
            <w:noProof/>
            <w:webHidden/>
            <w:sz w:val="22"/>
            <w:szCs w:val="22"/>
          </w:rPr>
          <w:t>39</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59" w:history="1">
        <w:r w:rsidR="00D2721B" w:rsidRPr="001D200B">
          <w:rPr>
            <w:rStyle w:val="Hipercze"/>
            <w:noProof/>
            <w:color w:val="auto"/>
            <w:sz w:val="22"/>
            <w:szCs w:val="22"/>
          </w:rPr>
          <w:t xml:space="preserve">Tabela 7. </w:t>
        </w:r>
        <w:r w:rsidR="00D2721B" w:rsidRPr="001D200B">
          <w:rPr>
            <w:rStyle w:val="Hipercze"/>
            <w:rFonts w:cstheme="minorHAnsi"/>
            <w:noProof/>
            <w:color w:val="auto"/>
            <w:sz w:val="22"/>
            <w:szCs w:val="22"/>
          </w:rPr>
          <w:t>Sieć kanalizacyjna na terenie gminy Połaniec w 2018 roku</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_Toc39476559 \h </w:instrText>
        </w:r>
        <w:r w:rsidRPr="001D200B">
          <w:rPr>
            <w:noProof/>
            <w:webHidden/>
            <w:sz w:val="22"/>
            <w:szCs w:val="22"/>
          </w:rPr>
        </w:r>
        <w:r w:rsidRPr="001D200B">
          <w:rPr>
            <w:noProof/>
            <w:webHidden/>
            <w:sz w:val="22"/>
            <w:szCs w:val="22"/>
          </w:rPr>
          <w:fldChar w:fldCharType="separate"/>
        </w:r>
        <w:r w:rsidR="001D200B">
          <w:rPr>
            <w:noProof/>
            <w:webHidden/>
            <w:sz w:val="22"/>
            <w:szCs w:val="22"/>
          </w:rPr>
          <w:t>40</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60" w:history="1">
        <w:r w:rsidR="00D2721B" w:rsidRPr="001D200B">
          <w:rPr>
            <w:rStyle w:val="Hipercze"/>
            <w:noProof/>
            <w:color w:val="auto"/>
            <w:sz w:val="22"/>
            <w:szCs w:val="22"/>
          </w:rPr>
          <w:t>Tabela 8. Charakterystyka gospodarki odpadami – w zakresie zebranych odpadów komunalnych w 2018 roku</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_Toc39476560 \h </w:instrText>
        </w:r>
        <w:r w:rsidRPr="001D200B">
          <w:rPr>
            <w:noProof/>
            <w:webHidden/>
            <w:sz w:val="22"/>
            <w:szCs w:val="22"/>
          </w:rPr>
        </w:r>
        <w:r w:rsidRPr="001D200B">
          <w:rPr>
            <w:noProof/>
            <w:webHidden/>
            <w:sz w:val="22"/>
            <w:szCs w:val="22"/>
          </w:rPr>
          <w:fldChar w:fldCharType="separate"/>
        </w:r>
        <w:r w:rsidR="001D200B">
          <w:rPr>
            <w:noProof/>
            <w:webHidden/>
            <w:sz w:val="22"/>
            <w:szCs w:val="22"/>
          </w:rPr>
          <w:t>40</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61" w:history="1">
        <w:r w:rsidR="00D2721B" w:rsidRPr="001D200B">
          <w:rPr>
            <w:rStyle w:val="Hipercze"/>
            <w:noProof/>
            <w:color w:val="auto"/>
            <w:sz w:val="22"/>
            <w:szCs w:val="22"/>
          </w:rPr>
          <w:t>Tabela 9. Liczba podmiotów gospodarczych według sekcji Polskiej Klasyfikacji Gospodarczej (PKD 2007) w 2018r. (klasyfikacja dla 792 podmiotów)</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_Toc39476561 \h </w:instrText>
        </w:r>
        <w:r w:rsidRPr="001D200B">
          <w:rPr>
            <w:noProof/>
            <w:webHidden/>
            <w:sz w:val="22"/>
            <w:szCs w:val="22"/>
          </w:rPr>
        </w:r>
        <w:r w:rsidRPr="001D200B">
          <w:rPr>
            <w:noProof/>
            <w:webHidden/>
            <w:sz w:val="22"/>
            <w:szCs w:val="22"/>
          </w:rPr>
          <w:fldChar w:fldCharType="separate"/>
        </w:r>
        <w:r w:rsidR="001D200B">
          <w:rPr>
            <w:noProof/>
            <w:webHidden/>
            <w:sz w:val="22"/>
            <w:szCs w:val="22"/>
          </w:rPr>
          <w:t>41</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62" w:history="1">
        <w:r w:rsidR="00D2721B" w:rsidRPr="001D200B">
          <w:rPr>
            <w:rStyle w:val="Hipercze"/>
            <w:rFonts w:cstheme="minorHAnsi"/>
            <w:noProof/>
            <w:color w:val="auto"/>
            <w:sz w:val="22"/>
            <w:szCs w:val="22"/>
          </w:rPr>
          <w:t>Tabela 10. Energia cieplna wprowadzona do magistrali ciepłowniczej gminy Połaniec w latach 2015-2019</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_Toc39476562 \h </w:instrText>
        </w:r>
        <w:r w:rsidRPr="001D200B">
          <w:rPr>
            <w:noProof/>
            <w:webHidden/>
            <w:sz w:val="22"/>
            <w:szCs w:val="22"/>
          </w:rPr>
        </w:r>
        <w:r w:rsidRPr="001D200B">
          <w:rPr>
            <w:noProof/>
            <w:webHidden/>
            <w:sz w:val="22"/>
            <w:szCs w:val="22"/>
          </w:rPr>
          <w:fldChar w:fldCharType="separate"/>
        </w:r>
        <w:r w:rsidR="001D200B">
          <w:rPr>
            <w:noProof/>
            <w:webHidden/>
            <w:sz w:val="22"/>
            <w:szCs w:val="22"/>
          </w:rPr>
          <w:t>45</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63" w:history="1">
        <w:r w:rsidR="00D2721B" w:rsidRPr="001D200B">
          <w:rPr>
            <w:rStyle w:val="Hipercze"/>
            <w:rFonts w:cstheme="minorHAnsi"/>
            <w:noProof/>
            <w:color w:val="auto"/>
            <w:sz w:val="22"/>
            <w:szCs w:val="22"/>
          </w:rPr>
          <w:t>Tabela 11. Liczba i typ węzłów ciepłowniczych</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_Toc39476563 \h </w:instrText>
        </w:r>
        <w:r w:rsidRPr="001D200B">
          <w:rPr>
            <w:noProof/>
            <w:webHidden/>
            <w:sz w:val="22"/>
            <w:szCs w:val="22"/>
          </w:rPr>
        </w:r>
        <w:r w:rsidRPr="001D200B">
          <w:rPr>
            <w:noProof/>
            <w:webHidden/>
            <w:sz w:val="22"/>
            <w:szCs w:val="22"/>
          </w:rPr>
          <w:fldChar w:fldCharType="separate"/>
        </w:r>
        <w:r w:rsidR="001D200B">
          <w:rPr>
            <w:noProof/>
            <w:webHidden/>
            <w:sz w:val="22"/>
            <w:szCs w:val="22"/>
          </w:rPr>
          <w:t>46</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64" w:history="1">
        <w:r w:rsidR="00D2721B" w:rsidRPr="001D200B">
          <w:rPr>
            <w:rStyle w:val="Hipercze"/>
            <w:rFonts w:cstheme="minorHAnsi"/>
            <w:noProof/>
            <w:color w:val="auto"/>
            <w:sz w:val="22"/>
            <w:szCs w:val="22"/>
          </w:rPr>
          <w:t>Tabela 12. Zużycie energii cieplnej przez odbiorców podłączonych do sieci (w GJ) w 2010 roku oraz w latach 2016-2018</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_Toc39476564 \h </w:instrText>
        </w:r>
        <w:r w:rsidRPr="001D200B">
          <w:rPr>
            <w:noProof/>
            <w:webHidden/>
            <w:sz w:val="22"/>
            <w:szCs w:val="22"/>
          </w:rPr>
        </w:r>
        <w:r w:rsidRPr="001D200B">
          <w:rPr>
            <w:noProof/>
            <w:webHidden/>
            <w:sz w:val="22"/>
            <w:szCs w:val="22"/>
          </w:rPr>
          <w:fldChar w:fldCharType="separate"/>
        </w:r>
        <w:r w:rsidR="001D200B">
          <w:rPr>
            <w:noProof/>
            <w:webHidden/>
            <w:sz w:val="22"/>
            <w:szCs w:val="22"/>
          </w:rPr>
          <w:t>47</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65" w:history="1">
        <w:r w:rsidR="00D2721B" w:rsidRPr="001D200B">
          <w:rPr>
            <w:rStyle w:val="Hipercze"/>
            <w:rFonts w:cstheme="minorHAnsi"/>
            <w:noProof/>
            <w:color w:val="auto"/>
            <w:sz w:val="22"/>
            <w:szCs w:val="22"/>
          </w:rPr>
          <w:t>Tabela 13. Charakterystyka zasilania w ciepło budynków użyteczności publicznej i innych obiektów na terenie gminy Połaniec</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_Toc39476565 \h </w:instrText>
        </w:r>
        <w:r w:rsidRPr="001D200B">
          <w:rPr>
            <w:noProof/>
            <w:webHidden/>
            <w:sz w:val="22"/>
            <w:szCs w:val="22"/>
          </w:rPr>
        </w:r>
        <w:r w:rsidRPr="001D200B">
          <w:rPr>
            <w:noProof/>
            <w:webHidden/>
            <w:sz w:val="22"/>
            <w:szCs w:val="22"/>
          </w:rPr>
          <w:fldChar w:fldCharType="separate"/>
        </w:r>
        <w:r w:rsidR="001D200B">
          <w:rPr>
            <w:noProof/>
            <w:webHidden/>
            <w:sz w:val="22"/>
            <w:szCs w:val="22"/>
          </w:rPr>
          <w:t>48</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66" w:history="1">
        <w:r w:rsidR="00D2721B" w:rsidRPr="001D200B">
          <w:rPr>
            <w:rStyle w:val="Hipercze"/>
            <w:noProof/>
            <w:color w:val="auto"/>
            <w:sz w:val="22"/>
            <w:szCs w:val="22"/>
          </w:rPr>
          <w:t>Tabela 14. Wskaźnik zużycia energii dla sektora budownictwa mieszkaniowego gminy Połaniec (przenikanie ciepła i wentylacja)</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_Toc39476566 \h </w:instrText>
        </w:r>
        <w:r w:rsidRPr="001D200B">
          <w:rPr>
            <w:noProof/>
            <w:webHidden/>
            <w:sz w:val="22"/>
            <w:szCs w:val="22"/>
          </w:rPr>
        </w:r>
        <w:r w:rsidRPr="001D200B">
          <w:rPr>
            <w:noProof/>
            <w:webHidden/>
            <w:sz w:val="22"/>
            <w:szCs w:val="22"/>
          </w:rPr>
          <w:fldChar w:fldCharType="separate"/>
        </w:r>
        <w:r w:rsidR="001D200B">
          <w:rPr>
            <w:noProof/>
            <w:webHidden/>
            <w:sz w:val="22"/>
            <w:szCs w:val="22"/>
          </w:rPr>
          <w:t>52</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67" w:history="1">
        <w:r w:rsidR="00D2721B" w:rsidRPr="001D200B">
          <w:rPr>
            <w:rStyle w:val="Hipercze"/>
            <w:noProof/>
            <w:color w:val="auto"/>
            <w:sz w:val="22"/>
            <w:szCs w:val="22"/>
          </w:rPr>
          <w:t xml:space="preserve">Tabela 15. </w:t>
        </w:r>
        <w:r w:rsidR="00D2721B" w:rsidRPr="001D200B">
          <w:rPr>
            <w:rStyle w:val="Hipercze"/>
            <w:rFonts w:cstheme="minorHAnsi"/>
            <w:noProof/>
            <w:color w:val="auto"/>
            <w:sz w:val="22"/>
            <w:szCs w:val="22"/>
          </w:rPr>
          <w:t>Zapotrzebowanie na moc cieplną</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_Toc39476567 \h </w:instrText>
        </w:r>
        <w:r w:rsidRPr="001D200B">
          <w:rPr>
            <w:noProof/>
            <w:webHidden/>
            <w:sz w:val="22"/>
            <w:szCs w:val="22"/>
          </w:rPr>
        </w:r>
        <w:r w:rsidRPr="001D200B">
          <w:rPr>
            <w:noProof/>
            <w:webHidden/>
            <w:sz w:val="22"/>
            <w:szCs w:val="22"/>
          </w:rPr>
          <w:fldChar w:fldCharType="separate"/>
        </w:r>
        <w:r w:rsidR="001D200B">
          <w:rPr>
            <w:noProof/>
            <w:webHidden/>
            <w:sz w:val="22"/>
            <w:szCs w:val="22"/>
          </w:rPr>
          <w:t>53</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68" w:history="1">
        <w:r w:rsidR="00D2721B" w:rsidRPr="001D200B">
          <w:rPr>
            <w:rStyle w:val="Hipercze"/>
            <w:rFonts w:cstheme="minorHAnsi"/>
            <w:noProof/>
            <w:color w:val="auto"/>
            <w:sz w:val="22"/>
            <w:szCs w:val="22"/>
          </w:rPr>
          <w:t>Tabela 16. Ocena stanu obecnego zaopatrzenia w ciepło na terenie gminy Połaniec</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_Toc39476568 \h </w:instrText>
        </w:r>
        <w:r w:rsidRPr="001D200B">
          <w:rPr>
            <w:noProof/>
            <w:webHidden/>
            <w:sz w:val="22"/>
            <w:szCs w:val="22"/>
          </w:rPr>
        </w:r>
        <w:r w:rsidRPr="001D200B">
          <w:rPr>
            <w:noProof/>
            <w:webHidden/>
            <w:sz w:val="22"/>
            <w:szCs w:val="22"/>
          </w:rPr>
          <w:fldChar w:fldCharType="separate"/>
        </w:r>
        <w:r w:rsidR="001D200B">
          <w:rPr>
            <w:noProof/>
            <w:webHidden/>
            <w:sz w:val="22"/>
            <w:szCs w:val="22"/>
          </w:rPr>
          <w:t>53</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69" w:history="1">
        <w:r w:rsidR="00D2721B" w:rsidRPr="001D200B">
          <w:rPr>
            <w:rStyle w:val="Hipercze"/>
            <w:noProof/>
            <w:color w:val="auto"/>
            <w:sz w:val="22"/>
            <w:szCs w:val="22"/>
          </w:rPr>
          <w:t>Tabela 17. Przyszłościowy bilans ciepła dla gminy Połaniec</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_Toc39476569 \h </w:instrText>
        </w:r>
        <w:r w:rsidRPr="001D200B">
          <w:rPr>
            <w:noProof/>
            <w:webHidden/>
            <w:sz w:val="22"/>
            <w:szCs w:val="22"/>
          </w:rPr>
        </w:r>
        <w:r w:rsidRPr="001D200B">
          <w:rPr>
            <w:noProof/>
            <w:webHidden/>
            <w:sz w:val="22"/>
            <w:szCs w:val="22"/>
          </w:rPr>
          <w:fldChar w:fldCharType="separate"/>
        </w:r>
        <w:r w:rsidR="001D200B">
          <w:rPr>
            <w:noProof/>
            <w:webHidden/>
            <w:sz w:val="22"/>
            <w:szCs w:val="22"/>
          </w:rPr>
          <w:t>59</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70" w:history="1">
        <w:r w:rsidR="00D2721B" w:rsidRPr="001D200B">
          <w:rPr>
            <w:rStyle w:val="Hipercze"/>
            <w:noProof/>
            <w:color w:val="auto"/>
            <w:sz w:val="22"/>
            <w:szCs w:val="22"/>
          </w:rPr>
          <w:t>Tabela 18. Liczba odbiorców i zużycie energii elektrycznej na terenie gminy Połaniec w latach 2015 – 2018 – odbiorcy zasilani z sieci PGE Dystrybucja S.A. Oddział Rzeszów</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_Toc39476570 \h </w:instrText>
        </w:r>
        <w:r w:rsidRPr="001D200B">
          <w:rPr>
            <w:noProof/>
            <w:webHidden/>
            <w:sz w:val="22"/>
            <w:szCs w:val="22"/>
          </w:rPr>
        </w:r>
        <w:r w:rsidRPr="001D200B">
          <w:rPr>
            <w:noProof/>
            <w:webHidden/>
            <w:sz w:val="22"/>
            <w:szCs w:val="22"/>
          </w:rPr>
          <w:fldChar w:fldCharType="separate"/>
        </w:r>
        <w:r w:rsidR="001D200B">
          <w:rPr>
            <w:noProof/>
            <w:webHidden/>
            <w:sz w:val="22"/>
            <w:szCs w:val="22"/>
          </w:rPr>
          <w:t>67</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71" w:history="1">
        <w:r w:rsidR="00D2721B" w:rsidRPr="001D200B">
          <w:rPr>
            <w:rStyle w:val="Hipercze"/>
            <w:rFonts w:cstheme="minorHAnsi"/>
            <w:noProof/>
            <w:color w:val="auto"/>
            <w:sz w:val="22"/>
            <w:szCs w:val="22"/>
          </w:rPr>
          <w:t>Tabela 19. Ocena stanu obecnego systemu elektroenergetycznego na terenie gminy Połaniec</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_Toc39476571 \h </w:instrText>
        </w:r>
        <w:r w:rsidRPr="001D200B">
          <w:rPr>
            <w:noProof/>
            <w:webHidden/>
            <w:sz w:val="22"/>
            <w:szCs w:val="22"/>
          </w:rPr>
        </w:r>
        <w:r w:rsidRPr="001D200B">
          <w:rPr>
            <w:noProof/>
            <w:webHidden/>
            <w:sz w:val="22"/>
            <w:szCs w:val="22"/>
          </w:rPr>
          <w:fldChar w:fldCharType="separate"/>
        </w:r>
        <w:r w:rsidR="001D200B">
          <w:rPr>
            <w:noProof/>
            <w:webHidden/>
            <w:sz w:val="22"/>
            <w:szCs w:val="22"/>
          </w:rPr>
          <w:t>69</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72" w:history="1">
        <w:r w:rsidR="00D2721B" w:rsidRPr="001D200B">
          <w:rPr>
            <w:rStyle w:val="Hipercze"/>
            <w:noProof/>
            <w:color w:val="auto"/>
            <w:sz w:val="22"/>
            <w:szCs w:val="22"/>
          </w:rPr>
          <w:t xml:space="preserve">Tabela 20. </w:t>
        </w:r>
        <w:r w:rsidR="00D2721B" w:rsidRPr="001D200B">
          <w:rPr>
            <w:rStyle w:val="Hipercze"/>
            <w:rFonts w:cstheme="minorHAnsi"/>
            <w:noProof/>
            <w:color w:val="auto"/>
            <w:sz w:val="22"/>
            <w:szCs w:val="22"/>
          </w:rPr>
          <w:t>Warianty prognozy zapotrzebowania na energię elektryczną dla gminy Połaniec</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_Toc39476572 \h </w:instrText>
        </w:r>
        <w:r w:rsidRPr="001D200B">
          <w:rPr>
            <w:noProof/>
            <w:webHidden/>
            <w:sz w:val="22"/>
            <w:szCs w:val="22"/>
          </w:rPr>
        </w:r>
        <w:r w:rsidRPr="001D200B">
          <w:rPr>
            <w:noProof/>
            <w:webHidden/>
            <w:sz w:val="22"/>
            <w:szCs w:val="22"/>
          </w:rPr>
          <w:fldChar w:fldCharType="separate"/>
        </w:r>
        <w:r w:rsidR="001D200B">
          <w:rPr>
            <w:noProof/>
            <w:webHidden/>
            <w:sz w:val="22"/>
            <w:szCs w:val="22"/>
          </w:rPr>
          <w:t>71</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73" w:history="1">
        <w:r w:rsidR="00D2721B" w:rsidRPr="001D200B">
          <w:rPr>
            <w:rStyle w:val="Hipercze"/>
            <w:rFonts w:cstheme="minorHAnsi"/>
            <w:noProof/>
            <w:color w:val="auto"/>
            <w:sz w:val="22"/>
            <w:szCs w:val="22"/>
          </w:rPr>
          <w:t>Tabela 21. Wyniki prognozy zapotrzebowania na energię elektryczną</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_Toc39476573 \h </w:instrText>
        </w:r>
        <w:r w:rsidRPr="001D200B">
          <w:rPr>
            <w:noProof/>
            <w:webHidden/>
            <w:sz w:val="22"/>
            <w:szCs w:val="22"/>
          </w:rPr>
        </w:r>
        <w:r w:rsidRPr="001D200B">
          <w:rPr>
            <w:noProof/>
            <w:webHidden/>
            <w:sz w:val="22"/>
            <w:szCs w:val="22"/>
          </w:rPr>
          <w:fldChar w:fldCharType="separate"/>
        </w:r>
        <w:r w:rsidR="001D200B">
          <w:rPr>
            <w:noProof/>
            <w:webHidden/>
            <w:sz w:val="22"/>
            <w:szCs w:val="22"/>
          </w:rPr>
          <w:t>72</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74" w:history="1">
        <w:r w:rsidR="00D2721B" w:rsidRPr="001D200B">
          <w:rPr>
            <w:rStyle w:val="Hipercze"/>
            <w:rFonts w:cstheme="minorHAnsi"/>
            <w:noProof/>
            <w:color w:val="auto"/>
            <w:sz w:val="22"/>
            <w:szCs w:val="22"/>
          </w:rPr>
          <w:t>Tabela 22. Tereny rozwojowe gminy Połaniec</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_Toc39476574 \h </w:instrText>
        </w:r>
        <w:r w:rsidRPr="001D200B">
          <w:rPr>
            <w:noProof/>
            <w:webHidden/>
            <w:sz w:val="22"/>
            <w:szCs w:val="22"/>
          </w:rPr>
        </w:r>
        <w:r w:rsidRPr="001D200B">
          <w:rPr>
            <w:noProof/>
            <w:webHidden/>
            <w:sz w:val="22"/>
            <w:szCs w:val="22"/>
          </w:rPr>
          <w:fldChar w:fldCharType="separate"/>
        </w:r>
        <w:r w:rsidR="001D200B">
          <w:rPr>
            <w:noProof/>
            <w:webHidden/>
            <w:sz w:val="22"/>
            <w:szCs w:val="22"/>
          </w:rPr>
          <w:t>77</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75" w:history="1">
        <w:r w:rsidR="00D2721B" w:rsidRPr="001D200B">
          <w:rPr>
            <w:rStyle w:val="Hipercze"/>
            <w:noProof/>
            <w:color w:val="auto"/>
            <w:sz w:val="22"/>
            <w:szCs w:val="22"/>
          </w:rPr>
          <w:t>Tabela 23. Infrastruktura gazowa w gminie Połaniec (stan na koniec 2018r.)</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_Toc39476575 \h </w:instrText>
        </w:r>
        <w:r w:rsidRPr="001D200B">
          <w:rPr>
            <w:noProof/>
            <w:webHidden/>
            <w:sz w:val="22"/>
            <w:szCs w:val="22"/>
          </w:rPr>
        </w:r>
        <w:r w:rsidRPr="001D200B">
          <w:rPr>
            <w:noProof/>
            <w:webHidden/>
            <w:sz w:val="22"/>
            <w:szCs w:val="22"/>
          </w:rPr>
          <w:fldChar w:fldCharType="separate"/>
        </w:r>
        <w:r w:rsidR="001D200B">
          <w:rPr>
            <w:noProof/>
            <w:webHidden/>
            <w:sz w:val="22"/>
            <w:szCs w:val="22"/>
          </w:rPr>
          <w:t>83</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76" w:history="1">
        <w:r w:rsidR="00D2721B" w:rsidRPr="001D200B">
          <w:rPr>
            <w:rStyle w:val="Hipercze"/>
            <w:noProof/>
            <w:color w:val="auto"/>
            <w:sz w:val="22"/>
            <w:szCs w:val="22"/>
          </w:rPr>
          <w:t>Tabela 24. Dane statystyczne obrazujące stopień wyposażenia terenu gminy w infrastrukturę gazową w 2018r.</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_Toc39476576 \h </w:instrText>
        </w:r>
        <w:r w:rsidRPr="001D200B">
          <w:rPr>
            <w:noProof/>
            <w:webHidden/>
            <w:sz w:val="22"/>
            <w:szCs w:val="22"/>
          </w:rPr>
        </w:r>
        <w:r w:rsidRPr="001D200B">
          <w:rPr>
            <w:noProof/>
            <w:webHidden/>
            <w:sz w:val="22"/>
            <w:szCs w:val="22"/>
          </w:rPr>
          <w:fldChar w:fldCharType="separate"/>
        </w:r>
        <w:r w:rsidR="001D200B">
          <w:rPr>
            <w:noProof/>
            <w:webHidden/>
            <w:sz w:val="22"/>
            <w:szCs w:val="22"/>
          </w:rPr>
          <w:t>84</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77" w:history="1">
        <w:r w:rsidR="00D2721B" w:rsidRPr="001D200B">
          <w:rPr>
            <w:rStyle w:val="Hipercze"/>
            <w:noProof/>
            <w:color w:val="auto"/>
            <w:sz w:val="22"/>
            <w:szCs w:val="22"/>
          </w:rPr>
          <w:t xml:space="preserve">Tabela 25. </w:t>
        </w:r>
        <w:r w:rsidR="00D2721B" w:rsidRPr="001D200B">
          <w:rPr>
            <w:rStyle w:val="Hipercze"/>
            <w:rFonts w:cstheme="minorHAnsi"/>
            <w:noProof/>
            <w:color w:val="auto"/>
            <w:sz w:val="22"/>
            <w:szCs w:val="22"/>
          </w:rPr>
          <w:t>Stan infrastruktury gazowej gminy Połaniec na przestrzeni lat 2010-2018</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_Toc39476577 \h </w:instrText>
        </w:r>
        <w:r w:rsidRPr="001D200B">
          <w:rPr>
            <w:noProof/>
            <w:webHidden/>
            <w:sz w:val="22"/>
            <w:szCs w:val="22"/>
          </w:rPr>
        </w:r>
        <w:r w:rsidRPr="001D200B">
          <w:rPr>
            <w:noProof/>
            <w:webHidden/>
            <w:sz w:val="22"/>
            <w:szCs w:val="22"/>
          </w:rPr>
          <w:fldChar w:fldCharType="separate"/>
        </w:r>
        <w:r w:rsidR="001D200B">
          <w:rPr>
            <w:noProof/>
            <w:webHidden/>
            <w:sz w:val="22"/>
            <w:szCs w:val="22"/>
          </w:rPr>
          <w:t>84</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78" w:history="1">
        <w:r w:rsidR="00D2721B" w:rsidRPr="001D200B">
          <w:rPr>
            <w:rStyle w:val="Hipercze"/>
            <w:noProof/>
            <w:color w:val="auto"/>
            <w:sz w:val="22"/>
            <w:szCs w:val="22"/>
          </w:rPr>
          <w:t>Tabela 26. Zestawienie odbiorców gazu ziemnego w latach 2015 – 2018 z podziałem na podstawowe grupy użytkowników</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_Toc39476578 \h </w:instrText>
        </w:r>
        <w:r w:rsidRPr="001D200B">
          <w:rPr>
            <w:noProof/>
            <w:webHidden/>
            <w:sz w:val="22"/>
            <w:szCs w:val="22"/>
          </w:rPr>
        </w:r>
        <w:r w:rsidRPr="001D200B">
          <w:rPr>
            <w:noProof/>
            <w:webHidden/>
            <w:sz w:val="22"/>
            <w:szCs w:val="22"/>
          </w:rPr>
          <w:fldChar w:fldCharType="separate"/>
        </w:r>
        <w:r w:rsidR="001D200B">
          <w:rPr>
            <w:noProof/>
            <w:webHidden/>
            <w:sz w:val="22"/>
            <w:szCs w:val="22"/>
          </w:rPr>
          <w:t>85</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79" w:history="1">
        <w:r w:rsidR="00D2721B" w:rsidRPr="001D200B">
          <w:rPr>
            <w:rStyle w:val="Hipercze"/>
            <w:noProof/>
            <w:color w:val="auto"/>
            <w:sz w:val="22"/>
            <w:szCs w:val="22"/>
          </w:rPr>
          <w:t>Tabela 27. Zużycie gazu ziemnego w latach 2015-2018 na terenie gminy Połaniec z uwzględnieniem poszczególnych grup użytkowników</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_Toc39476579 \h </w:instrText>
        </w:r>
        <w:r w:rsidRPr="001D200B">
          <w:rPr>
            <w:noProof/>
            <w:webHidden/>
            <w:sz w:val="22"/>
            <w:szCs w:val="22"/>
          </w:rPr>
        </w:r>
        <w:r w:rsidRPr="001D200B">
          <w:rPr>
            <w:noProof/>
            <w:webHidden/>
            <w:sz w:val="22"/>
            <w:szCs w:val="22"/>
          </w:rPr>
          <w:fldChar w:fldCharType="separate"/>
        </w:r>
        <w:r w:rsidR="001D200B">
          <w:rPr>
            <w:noProof/>
            <w:webHidden/>
            <w:sz w:val="22"/>
            <w:szCs w:val="22"/>
          </w:rPr>
          <w:t>85</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80" w:history="1">
        <w:r w:rsidR="00D2721B" w:rsidRPr="001D200B">
          <w:rPr>
            <w:rStyle w:val="Hipercze"/>
            <w:noProof/>
            <w:color w:val="auto"/>
            <w:sz w:val="22"/>
            <w:szCs w:val="22"/>
          </w:rPr>
          <w:t>Tabela 28. Przeciętne zużycie gazu ziemnego przez 1 odbiorcę według sektora użytkowników</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_Toc39476580 \h </w:instrText>
        </w:r>
        <w:r w:rsidRPr="001D200B">
          <w:rPr>
            <w:noProof/>
            <w:webHidden/>
            <w:sz w:val="22"/>
            <w:szCs w:val="22"/>
          </w:rPr>
        </w:r>
        <w:r w:rsidRPr="001D200B">
          <w:rPr>
            <w:noProof/>
            <w:webHidden/>
            <w:sz w:val="22"/>
            <w:szCs w:val="22"/>
          </w:rPr>
          <w:fldChar w:fldCharType="separate"/>
        </w:r>
        <w:r w:rsidR="001D200B">
          <w:rPr>
            <w:noProof/>
            <w:webHidden/>
            <w:sz w:val="22"/>
            <w:szCs w:val="22"/>
          </w:rPr>
          <w:t>87</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81" w:history="1">
        <w:r w:rsidR="00D2721B" w:rsidRPr="001D200B">
          <w:rPr>
            <w:rStyle w:val="Hipercze"/>
            <w:noProof/>
            <w:color w:val="auto"/>
            <w:sz w:val="22"/>
            <w:szCs w:val="22"/>
          </w:rPr>
          <w:t>Tabela 29. Zużycie gazu ziemnego w gospodarstwach domowych według celu wykorzystania w latach 2015-2018</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_Toc39476581 \h </w:instrText>
        </w:r>
        <w:r w:rsidRPr="001D200B">
          <w:rPr>
            <w:noProof/>
            <w:webHidden/>
            <w:sz w:val="22"/>
            <w:szCs w:val="22"/>
          </w:rPr>
        </w:r>
        <w:r w:rsidRPr="001D200B">
          <w:rPr>
            <w:noProof/>
            <w:webHidden/>
            <w:sz w:val="22"/>
            <w:szCs w:val="22"/>
          </w:rPr>
          <w:fldChar w:fldCharType="separate"/>
        </w:r>
        <w:r w:rsidR="001D200B">
          <w:rPr>
            <w:noProof/>
            <w:webHidden/>
            <w:sz w:val="22"/>
            <w:szCs w:val="22"/>
          </w:rPr>
          <w:t>87</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82" w:history="1">
        <w:r w:rsidR="00D2721B" w:rsidRPr="001D200B">
          <w:rPr>
            <w:rStyle w:val="Hipercze"/>
            <w:rFonts w:cstheme="minorHAnsi"/>
            <w:noProof/>
            <w:color w:val="auto"/>
            <w:sz w:val="22"/>
            <w:szCs w:val="22"/>
          </w:rPr>
          <w:t>Tabela 30. Ocena stanu obecnego systemu gazowniczego na terenie gminy Połaniec</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_Toc39476582 \h </w:instrText>
        </w:r>
        <w:r w:rsidRPr="001D200B">
          <w:rPr>
            <w:noProof/>
            <w:webHidden/>
            <w:sz w:val="22"/>
            <w:szCs w:val="22"/>
          </w:rPr>
        </w:r>
        <w:r w:rsidRPr="001D200B">
          <w:rPr>
            <w:noProof/>
            <w:webHidden/>
            <w:sz w:val="22"/>
            <w:szCs w:val="22"/>
          </w:rPr>
          <w:fldChar w:fldCharType="separate"/>
        </w:r>
        <w:r w:rsidR="001D200B">
          <w:rPr>
            <w:noProof/>
            <w:webHidden/>
            <w:sz w:val="22"/>
            <w:szCs w:val="22"/>
          </w:rPr>
          <w:t>88</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83" w:history="1">
        <w:r w:rsidR="00D2721B" w:rsidRPr="001D200B">
          <w:rPr>
            <w:rStyle w:val="Hipercze"/>
            <w:rFonts w:cstheme="minorHAnsi"/>
            <w:noProof/>
            <w:color w:val="auto"/>
            <w:sz w:val="22"/>
            <w:szCs w:val="22"/>
          </w:rPr>
          <w:t>Tabela 31. Docelowe zapotrzebowanie gazu ziemnego dla gminy Połaniec w okresie prognozy (w tys.m</w:t>
        </w:r>
        <w:r w:rsidR="00D2721B" w:rsidRPr="001D200B">
          <w:rPr>
            <w:rStyle w:val="Hipercze"/>
            <w:rFonts w:cstheme="minorHAnsi"/>
            <w:noProof/>
            <w:color w:val="auto"/>
            <w:sz w:val="22"/>
            <w:szCs w:val="22"/>
            <w:vertAlign w:val="superscript"/>
          </w:rPr>
          <w:t>3</w:t>
        </w:r>
        <w:r w:rsidR="00D2721B" w:rsidRPr="001D200B">
          <w:rPr>
            <w:rStyle w:val="Hipercze"/>
            <w:rFonts w:cstheme="minorHAnsi"/>
            <w:noProof/>
            <w:color w:val="auto"/>
            <w:sz w:val="22"/>
            <w:szCs w:val="22"/>
          </w:rPr>
          <w:t>/rok)</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_Toc39476583 \h </w:instrText>
        </w:r>
        <w:r w:rsidRPr="001D200B">
          <w:rPr>
            <w:noProof/>
            <w:webHidden/>
            <w:sz w:val="22"/>
            <w:szCs w:val="22"/>
          </w:rPr>
        </w:r>
        <w:r w:rsidRPr="001D200B">
          <w:rPr>
            <w:noProof/>
            <w:webHidden/>
            <w:sz w:val="22"/>
            <w:szCs w:val="22"/>
          </w:rPr>
          <w:fldChar w:fldCharType="separate"/>
        </w:r>
        <w:r w:rsidR="001D200B">
          <w:rPr>
            <w:noProof/>
            <w:webHidden/>
            <w:sz w:val="22"/>
            <w:szCs w:val="22"/>
          </w:rPr>
          <w:t>90</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84" w:history="1">
        <w:r w:rsidR="00D2721B" w:rsidRPr="001D200B">
          <w:rPr>
            <w:rStyle w:val="Hipercze"/>
            <w:noProof/>
            <w:color w:val="auto"/>
            <w:sz w:val="22"/>
            <w:szCs w:val="22"/>
          </w:rPr>
          <w:t>Tabela 32</w:t>
        </w:r>
        <w:r w:rsidR="00D2721B" w:rsidRPr="001D200B">
          <w:rPr>
            <w:rStyle w:val="Hipercze"/>
            <w:rFonts w:cstheme="minorHAnsi"/>
            <w:noProof/>
            <w:color w:val="auto"/>
            <w:sz w:val="22"/>
            <w:szCs w:val="22"/>
          </w:rPr>
          <w:t>. Porównanie przeciętnych kosztów wytworzenia 1kWh ciepła dla różnych rodzajów nośnika energii (przy założonym zapotrzebowaniu 15 kW)</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_Toc39476584 \h </w:instrText>
        </w:r>
        <w:r w:rsidRPr="001D200B">
          <w:rPr>
            <w:noProof/>
            <w:webHidden/>
            <w:sz w:val="22"/>
            <w:szCs w:val="22"/>
          </w:rPr>
        </w:r>
        <w:r w:rsidRPr="001D200B">
          <w:rPr>
            <w:noProof/>
            <w:webHidden/>
            <w:sz w:val="22"/>
            <w:szCs w:val="22"/>
          </w:rPr>
          <w:fldChar w:fldCharType="separate"/>
        </w:r>
        <w:r w:rsidR="001D200B">
          <w:rPr>
            <w:noProof/>
            <w:webHidden/>
            <w:sz w:val="22"/>
            <w:szCs w:val="22"/>
          </w:rPr>
          <w:t>93</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85" w:history="1">
        <w:r w:rsidR="00D2721B" w:rsidRPr="001D200B">
          <w:rPr>
            <w:rStyle w:val="Hipercze"/>
            <w:rFonts w:cstheme="minorHAnsi"/>
            <w:noProof/>
            <w:color w:val="auto"/>
            <w:sz w:val="22"/>
            <w:szCs w:val="22"/>
          </w:rPr>
          <w:t>Tabela 33. Przeciętne, możliwe do osiągnięcia efekty z realizacji poszczególnych działań termomodernizacyjnych</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_Toc39476585 \h </w:instrText>
        </w:r>
        <w:r w:rsidRPr="001D200B">
          <w:rPr>
            <w:noProof/>
            <w:webHidden/>
            <w:sz w:val="22"/>
            <w:szCs w:val="22"/>
          </w:rPr>
        </w:r>
        <w:r w:rsidRPr="001D200B">
          <w:rPr>
            <w:noProof/>
            <w:webHidden/>
            <w:sz w:val="22"/>
            <w:szCs w:val="22"/>
          </w:rPr>
          <w:fldChar w:fldCharType="separate"/>
        </w:r>
        <w:r w:rsidR="001D200B">
          <w:rPr>
            <w:noProof/>
            <w:webHidden/>
            <w:sz w:val="22"/>
            <w:szCs w:val="22"/>
          </w:rPr>
          <w:t>97</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86" w:history="1">
        <w:r w:rsidR="00D2721B" w:rsidRPr="001D200B">
          <w:rPr>
            <w:rStyle w:val="Hipercze"/>
            <w:rFonts w:cstheme="minorHAnsi"/>
            <w:noProof/>
            <w:color w:val="auto"/>
            <w:sz w:val="22"/>
            <w:szCs w:val="22"/>
          </w:rPr>
          <w:t xml:space="preserve">Tabela 34. </w:t>
        </w:r>
        <w:r w:rsidR="00D2721B" w:rsidRPr="001D200B">
          <w:rPr>
            <w:rStyle w:val="Hipercze"/>
            <w:noProof/>
            <w:color w:val="auto"/>
            <w:sz w:val="22"/>
            <w:szCs w:val="22"/>
          </w:rPr>
          <w:t>Podstawowe właściwości wybranych rodzajów biomasy</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_Toc39476586 \h </w:instrText>
        </w:r>
        <w:r w:rsidRPr="001D200B">
          <w:rPr>
            <w:noProof/>
            <w:webHidden/>
            <w:sz w:val="22"/>
            <w:szCs w:val="22"/>
          </w:rPr>
        </w:r>
        <w:r w:rsidRPr="001D200B">
          <w:rPr>
            <w:noProof/>
            <w:webHidden/>
            <w:sz w:val="22"/>
            <w:szCs w:val="22"/>
          </w:rPr>
          <w:fldChar w:fldCharType="separate"/>
        </w:r>
        <w:r w:rsidR="001D200B">
          <w:rPr>
            <w:noProof/>
            <w:webHidden/>
            <w:sz w:val="22"/>
            <w:szCs w:val="22"/>
          </w:rPr>
          <w:t>105</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87" w:history="1">
        <w:r w:rsidR="00D2721B" w:rsidRPr="001D200B">
          <w:rPr>
            <w:rStyle w:val="Hipercze"/>
            <w:rFonts w:cstheme="minorHAnsi"/>
            <w:noProof/>
            <w:color w:val="auto"/>
            <w:sz w:val="22"/>
            <w:szCs w:val="22"/>
          </w:rPr>
          <w:t>Tabela 35. Wartości opałowe słomy</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_Toc39476587 \h </w:instrText>
        </w:r>
        <w:r w:rsidRPr="001D200B">
          <w:rPr>
            <w:noProof/>
            <w:webHidden/>
            <w:sz w:val="22"/>
            <w:szCs w:val="22"/>
          </w:rPr>
        </w:r>
        <w:r w:rsidRPr="001D200B">
          <w:rPr>
            <w:noProof/>
            <w:webHidden/>
            <w:sz w:val="22"/>
            <w:szCs w:val="22"/>
          </w:rPr>
          <w:fldChar w:fldCharType="separate"/>
        </w:r>
        <w:r w:rsidR="001D200B">
          <w:rPr>
            <w:noProof/>
            <w:webHidden/>
            <w:sz w:val="22"/>
            <w:szCs w:val="22"/>
          </w:rPr>
          <w:t>106</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88" w:history="1">
        <w:r w:rsidR="00D2721B" w:rsidRPr="001D200B">
          <w:rPr>
            <w:rStyle w:val="Hipercze"/>
            <w:noProof/>
            <w:color w:val="auto"/>
            <w:sz w:val="22"/>
            <w:szCs w:val="22"/>
          </w:rPr>
          <w:t xml:space="preserve">Tabela 36. Wynikowe klasy strefy świętokrzyskiej dla poszczególnych zanieczyszczeń, uzyskane w ocenie rocznej dokonanej z uwzględnieniem kryteriów ustanowionych w celu ochrony </w:t>
        </w:r>
        <w:r w:rsidR="00F976C3" w:rsidRPr="001D200B">
          <w:rPr>
            <w:rStyle w:val="Hipercze"/>
            <w:noProof/>
            <w:color w:val="auto"/>
            <w:sz w:val="22"/>
            <w:szCs w:val="22"/>
          </w:rPr>
          <w:br/>
        </w:r>
        <w:r w:rsidR="00D2721B" w:rsidRPr="001D200B">
          <w:rPr>
            <w:rStyle w:val="Hipercze"/>
            <w:noProof/>
            <w:color w:val="auto"/>
            <w:sz w:val="22"/>
            <w:szCs w:val="22"/>
          </w:rPr>
          <w:t>zdrowia</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_Toc39476588 \h </w:instrText>
        </w:r>
        <w:r w:rsidRPr="001D200B">
          <w:rPr>
            <w:noProof/>
            <w:webHidden/>
            <w:sz w:val="22"/>
            <w:szCs w:val="22"/>
          </w:rPr>
        </w:r>
        <w:r w:rsidRPr="001D200B">
          <w:rPr>
            <w:noProof/>
            <w:webHidden/>
            <w:sz w:val="22"/>
            <w:szCs w:val="22"/>
          </w:rPr>
          <w:fldChar w:fldCharType="separate"/>
        </w:r>
        <w:r w:rsidR="001D200B">
          <w:rPr>
            <w:noProof/>
            <w:webHidden/>
            <w:sz w:val="22"/>
            <w:szCs w:val="22"/>
          </w:rPr>
          <w:t>115</w:t>
        </w:r>
        <w:r w:rsidRPr="001D200B">
          <w:rPr>
            <w:noProof/>
            <w:webHidden/>
            <w:sz w:val="22"/>
            <w:szCs w:val="22"/>
          </w:rPr>
          <w:fldChar w:fldCharType="end"/>
        </w:r>
      </w:hyperlink>
    </w:p>
    <w:p w:rsidR="00D2721B" w:rsidRPr="001D200B" w:rsidRDefault="005B7234" w:rsidP="00F976C3">
      <w:pPr>
        <w:pStyle w:val="Spisilustracji"/>
        <w:tabs>
          <w:tab w:val="right" w:leader="dot" w:pos="9060"/>
        </w:tabs>
        <w:spacing w:before="0"/>
        <w:rPr>
          <w:rFonts w:eastAsiaTheme="minorEastAsia" w:cstheme="minorBidi"/>
          <w:noProof/>
          <w:spacing w:val="0"/>
          <w:sz w:val="22"/>
          <w:szCs w:val="22"/>
        </w:rPr>
      </w:pPr>
      <w:hyperlink w:anchor="_Toc39476589" w:history="1">
        <w:r w:rsidR="00D2721B" w:rsidRPr="001D200B">
          <w:rPr>
            <w:rStyle w:val="Hipercze"/>
            <w:noProof/>
            <w:color w:val="auto"/>
            <w:sz w:val="22"/>
            <w:szCs w:val="22"/>
          </w:rPr>
          <w:t>Tabela 37. Klasyfikacja strefy świętokrzyskiej według parametrów, z uwzględnieniem kryteriów ustanowionych dla ochrony roślin</w:t>
        </w:r>
        <w:r w:rsidR="00D2721B" w:rsidRPr="001D200B">
          <w:rPr>
            <w:noProof/>
            <w:webHidden/>
            <w:sz w:val="22"/>
            <w:szCs w:val="22"/>
          </w:rPr>
          <w:tab/>
        </w:r>
        <w:r w:rsidRPr="001D200B">
          <w:rPr>
            <w:noProof/>
            <w:webHidden/>
            <w:sz w:val="22"/>
            <w:szCs w:val="22"/>
          </w:rPr>
          <w:fldChar w:fldCharType="begin"/>
        </w:r>
        <w:r w:rsidR="00D2721B" w:rsidRPr="001D200B">
          <w:rPr>
            <w:noProof/>
            <w:webHidden/>
            <w:sz w:val="22"/>
            <w:szCs w:val="22"/>
          </w:rPr>
          <w:instrText xml:space="preserve"> PAGEREF _Toc39476589 \h </w:instrText>
        </w:r>
        <w:r w:rsidRPr="001D200B">
          <w:rPr>
            <w:noProof/>
            <w:webHidden/>
            <w:sz w:val="22"/>
            <w:szCs w:val="22"/>
          </w:rPr>
        </w:r>
        <w:r w:rsidRPr="001D200B">
          <w:rPr>
            <w:noProof/>
            <w:webHidden/>
            <w:sz w:val="22"/>
            <w:szCs w:val="22"/>
          </w:rPr>
          <w:fldChar w:fldCharType="separate"/>
        </w:r>
        <w:r w:rsidR="001D200B">
          <w:rPr>
            <w:noProof/>
            <w:webHidden/>
            <w:sz w:val="22"/>
            <w:szCs w:val="22"/>
          </w:rPr>
          <w:t>115</w:t>
        </w:r>
        <w:r w:rsidRPr="001D200B">
          <w:rPr>
            <w:noProof/>
            <w:webHidden/>
            <w:sz w:val="22"/>
            <w:szCs w:val="22"/>
          </w:rPr>
          <w:fldChar w:fldCharType="end"/>
        </w:r>
      </w:hyperlink>
    </w:p>
    <w:p w:rsidR="001B2758" w:rsidRPr="001D200B" w:rsidRDefault="005B7234" w:rsidP="00F976C3">
      <w:pPr>
        <w:shd w:val="clear" w:color="auto" w:fill="F2F2F2" w:themeFill="background1" w:themeFillShade="F2"/>
        <w:spacing w:before="0" w:line="240" w:lineRule="auto"/>
        <w:rPr>
          <w:rFonts w:cstheme="minorHAnsi"/>
          <w:sz w:val="20"/>
          <w:highlight w:val="yellow"/>
        </w:rPr>
      </w:pPr>
      <w:r w:rsidRPr="001D200B">
        <w:rPr>
          <w:rFonts w:cstheme="minorHAnsi"/>
          <w:sz w:val="22"/>
          <w:szCs w:val="22"/>
          <w:highlight w:val="yellow"/>
        </w:rPr>
        <w:fldChar w:fldCharType="end"/>
      </w:r>
    </w:p>
    <w:p w:rsidR="00471AE6" w:rsidRPr="001D200B" w:rsidRDefault="00471AE6" w:rsidP="001B2758">
      <w:pPr>
        <w:rPr>
          <w:rFonts w:cstheme="minorHAnsi"/>
          <w:sz w:val="20"/>
          <w:highlight w:val="yellow"/>
        </w:rPr>
      </w:pPr>
    </w:p>
    <w:p w:rsidR="00471AE6" w:rsidRPr="001D200B" w:rsidRDefault="00471AE6" w:rsidP="001B2758">
      <w:pPr>
        <w:rPr>
          <w:rFonts w:cstheme="minorHAnsi"/>
          <w:sz w:val="20"/>
          <w:highlight w:val="yellow"/>
        </w:rPr>
        <w:sectPr w:rsidR="00471AE6" w:rsidRPr="001D200B" w:rsidSect="0098674C">
          <w:pgSz w:w="11906" w:h="16838"/>
          <w:pgMar w:top="1418" w:right="1418" w:bottom="1418" w:left="1418" w:header="709" w:footer="709" w:gutter="0"/>
          <w:cols w:space="708"/>
          <w:docGrid w:linePitch="360"/>
        </w:sectPr>
      </w:pPr>
    </w:p>
    <w:p w:rsidR="001B2758" w:rsidRPr="001D200B" w:rsidRDefault="00471AE6" w:rsidP="00471AE6">
      <w:pPr>
        <w:jc w:val="center"/>
        <w:rPr>
          <w:rFonts w:cstheme="minorHAnsi"/>
          <w:b/>
        </w:rPr>
      </w:pPr>
      <w:r w:rsidRPr="001D200B">
        <w:rPr>
          <w:rFonts w:cstheme="minorHAnsi"/>
          <w:b/>
        </w:rPr>
        <w:lastRenderedPageBreak/>
        <w:t>Spis wykresów</w:t>
      </w:r>
    </w:p>
    <w:p w:rsidR="009D4519" w:rsidRPr="001D200B" w:rsidRDefault="005B7234" w:rsidP="00F976C3">
      <w:pPr>
        <w:pStyle w:val="Spisilustracji"/>
        <w:tabs>
          <w:tab w:val="right" w:leader="dot" w:pos="9060"/>
        </w:tabs>
        <w:spacing w:before="0" w:line="240" w:lineRule="auto"/>
        <w:rPr>
          <w:rFonts w:eastAsiaTheme="minorEastAsia" w:cstheme="minorBidi"/>
          <w:noProof/>
          <w:spacing w:val="0"/>
          <w:sz w:val="22"/>
          <w:szCs w:val="22"/>
        </w:rPr>
      </w:pPr>
      <w:r w:rsidRPr="001D200B">
        <w:rPr>
          <w:rFonts w:cstheme="minorHAnsi"/>
          <w:sz w:val="22"/>
          <w:szCs w:val="22"/>
          <w:highlight w:val="yellow"/>
        </w:rPr>
        <w:fldChar w:fldCharType="begin"/>
      </w:r>
      <w:r w:rsidR="00471AE6" w:rsidRPr="001D200B">
        <w:rPr>
          <w:rFonts w:cstheme="minorHAnsi"/>
          <w:sz w:val="22"/>
          <w:szCs w:val="22"/>
          <w:highlight w:val="yellow"/>
        </w:rPr>
        <w:instrText xml:space="preserve"> TOC \h \z \c "Wykres" </w:instrText>
      </w:r>
      <w:r w:rsidRPr="001D200B">
        <w:rPr>
          <w:rFonts w:cstheme="minorHAnsi"/>
          <w:sz w:val="22"/>
          <w:szCs w:val="22"/>
          <w:highlight w:val="yellow"/>
        </w:rPr>
        <w:fldChar w:fldCharType="separate"/>
      </w:r>
      <w:hyperlink w:anchor="_Toc31371903" w:history="1">
        <w:r w:rsidR="009D4519" w:rsidRPr="001D200B">
          <w:rPr>
            <w:rStyle w:val="Hipercze"/>
            <w:rFonts w:cstheme="minorHAnsi"/>
            <w:noProof/>
            <w:color w:val="auto"/>
            <w:sz w:val="22"/>
            <w:szCs w:val="22"/>
          </w:rPr>
          <w:t>Wykres 1. Dynamika zmian liczby mieszkańców gminy Połaniec w latach 2010-2018 (GUS, www.stat.gov.pl)</w:t>
        </w:r>
        <w:r w:rsidR="009D4519" w:rsidRPr="001D200B">
          <w:rPr>
            <w:noProof/>
            <w:webHidden/>
            <w:sz w:val="22"/>
            <w:szCs w:val="22"/>
          </w:rPr>
          <w:tab/>
        </w:r>
        <w:r w:rsidRPr="001D200B">
          <w:rPr>
            <w:noProof/>
            <w:webHidden/>
            <w:sz w:val="22"/>
            <w:szCs w:val="22"/>
          </w:rPr>
          <w:fldChar w:fldCharType="begin"/>
        </w:r>
        <w:r w:rsidR="009D4519" w:rsidRPr="001D200B">
          <w:rPr>
            <w:noProof/>
            <w:webHidden/>
            <w:sz w:val="22"/>
            <w:szCs w:val="22"/>
          </w:rPr>
          <w:instrText xml:space="preserve"> PAGEREF _Toc31371903 \h </w:instrText>
        </w:r>
        <w:r w:rsidRPr="001D200B">
          <w:rPr>
            <w:noProof/>
            <w:webHidden/>
            <w:sz w:val="22"/>
            <w:szCs w:val="22"/>
          </w:rPr>
        </w:r>
        <w:r w:rsidRPr="001D200B">
          <w:rPr>
            <w:noProof/>
            <w:webHidden/>
            <w:sz w:val="22"/>
            <w:szCs w:val="22"/>
          </w:rPr>
          <w:fldChar w:fldCharType="separate"/>
        </w:r>
        <w:r w:rsidR="001D200B">
          <w:rPr>
            <w:noProof/>
            <w:webHidden/>
            <w:sz w:val="22"/>
            <w:szCs w:val="22"/>
          </w:rPr>
          <w:t>32</w:t>
        </w:r>
        <w:r w:rsidRPr="001D200B">
          <w:rPr>
            <w:noProof/>
            <w:webHidden/>
            <w:sz w:val="22"/>
            <w:szCs w:val="22"/>
          </w:rPr>
          <w:fldChar w:fldCharType="end"/>
        </w:r>
      </w:hyperlink>
    </w:p>
    <w:p w:rsidR="009D4519" w:rsidRPr="001D200B" w:rsidRDefault="009D4519" w:rsidP="00F976C3">
      <w:pPr>
        <w:pStyle w:val="Spisilustracji"/>
        <w:tabs>
          <w:tab w:val="right" w:leader="dot" w:pos="9060"/>
        </w:tabs>
        <w:spacing w:before="0" w:line="240" w:lineRule="auto"/>
        <w:rPr>
          <w:rFonts w:eastAsiaTheme="minorEastAsia" w:cstheme="minorBidi"/>
          <w:noProof/>
          <w:spacing w:val="0"/>
          <w:sz w:val="22"/>
          <w:szCs w:val="22"/>
        </w:rPr>
      </w:pPr>
      <w:r w:rsidRPr="001D200B">
        <w:rPr>
          <w:noProof/>
          <w:sz w:val="22"/>
          <w:szCs w:val="22"/>
        </w:rPr>
        <w:t xml:space="preserve">Wykres 2. Wskaźniki demograficzne w latach 2010-2018 na terenie gminy Połaniec </w:t>
      </w:r>
      <w:r w:rsidR="00C064C8" w:rsidRPr="001D200B">
        <w:rPr>
          <w:noProof/>
          <w:sz w:val="22"/>
          <w:szCs w:val="22"/>
        </w:rPr>
        <w:br/>
      </w:r>
      <w:r w:rsidRPr="001D200B">
        <w:rPr>
          <w:noProof/>
          <w:sz w:val="22"/>
          <w:szCs w:val="22"/>
        </w:rPr>
        <w:t>(GUS, www.stat.gov.pl)</w:t>
      </w:r>
      <w:r w:rsidRPr="001D200B">
        <w:rPr>
          <w:noProof/>
          <w:webHidden/>
          <w:sz w:val="22"/>
          <w:szCs w:val="22"/>
        </w:rPr>
        <w:tab/>
      </w:r>
      <w:r w:rsidR="005B7234" w:rsidRPr="001D200B">
        <w:rPr>
          <w:noProof/>
          <w:webHidden/>
          <w:sz w:val="22"/>
          <w:szCs w:val="22"/>
        </w:rPr>
        <w:fldChar w:fldCharType="begin"/>
      </w:r>
      <w:r w:rsidRPr="001D200B">
        <w:rPr>
          <w:noProof/>
          <w:webHidden/>
          <w:sz w:val="22"/>
          <w:szCs w:val="22"/>
        </w:rPr>
        <w:instrText xml:space="preserve"> PAGEREF _Toc31371904 \h </w:instrText>
      </w:r>
      <w:r w:rsidR="005B7234" w:rsidRPr="001D200B">
        <w:rPr>
          <w:noProof/>
          <w:webHidden/>
          <w:sz w:val="22"/>
          <w:szCs w:val="22"/>
        </w:rPr>
      </w:r>
      <w:r w:rsidR="005B7234" w:rsidRPr="001D200B">
        <w:rPr>
          <w:noProof/>
          <w:webHidden/>
          <w:sz w:val="22"/>
          <w:szCs w:val="22"/>
        </w:rPr>
        <w:fldChar w:fldCharType="separate"/>
      </w:r>
      <w:r w:rsidR="001D200B">
        <w:rPr>
          <w:noProof/>
          <w:webHidden/>
          <w:sz w:val="22"/>
          <w:szCs w:val="22"/>
        </w:rPr>
        <w:t>33</w:t>
      </w:r>
      <w:r w:rsidR="005B7234" w:rsidRPr="001D200B">
        <w:rPr>
          <w:noProof/>
          <w:webHidden/>
          <w:sz w:val="22"/>
          <w:szCs w:val="22"/>
        </w:rPr>
        <w:fldChar w:fldCharType="end"/>
      </w:r>
    </w:p>
    <w:p w:rsidR="009D4519" w:rsidRPr="001D200B" w:rsidRDefault="005B7234" w:rsidP="00F976C3">
      <w:pPr>
        <w:pStyle w:val="Spisilustracji"/>
        <w:tabs>
          <w:tab w:val="right" w:leader="dot" w:pos="9060"/>
        </w:tabs>
        <w:spacing w:before="0" w:line="240" w:lineRule="auto"/>
        <w:rPr>
          <w:rFonts w:eastAsiaTheme="minorEastAsia" w:cstheme="minorBidi"/>
          <w:noProof/>
          <w:spacing w:val="0"/>
          <w:sz w:val="22"/>
          <w:szCs w:val="22"/>
        </w:rPr>
      </w:pPr>
      <w:hyperlink w:anchor="_Toc31371905" w:history="1">
        <w:r w:rsidR="009D4519" w:rsidRPr="001D200B">
          <w:rPr>
            <w:rStyle w:val="Hipercze"/>
            <w:noProof/>
            <w:color w:val="auto"/>
            <w:sz w:val="22"/>
            <w:szCs w:val="22"/>
          </w:rPr>
          <w:t xml:space="preserve">Wykres 3. </w:t>
        </w:r>
        <w:r w:rsidR="009D4519" w:rsidRPr="001D200B">
          <w:rPr>
            <w:rStyle w:val="Hipercze"/>
            <w:rFonts w:cstheme="minorHAnsi"/>
            <w:noProof/>
            <w:color w:val="auto"/>
            <w:sz w:val="22"/>
            <w:szCs w:val="22"/>
          </w:rPr>
          <w:t xml:space="preserve">Liczba mieszkań na terenie gminy Połaniec w latach 2010-2018 </w:t>
        </w:r>
        <w:r w:rsidR="009D4519" w:rsidRPr="001D200B">
          <w:rPr>
            <w:rStyle w:val="Hipercze"/>
            <w:rFonts w:cstheme="minorHAnsi"/>
            <w:noProof/>
            <w:color w:val="auto"/>
            <w:sz w:val="22"/>
            <w:szCs w:val="22"/>
          </w:rPr>
          <w:br/>
          <w:t>(GUS, www.stst.gov.pl)</w:t>
        </w:r>
        <w:r w:rsidR="009D4519" w:rsidRPr="001D200B">
          <w:rPr>
            <w:noProof/>
            <w:webHidden/>
            <w:sz w:val="22"/>
            <w:szCs w:val="22"/>
          </w:rPr>
          <w:tab/>
        </w:r>
        <w:r w:rsidRPr="001D200B">
          <w:rPr>
            <w:noProof/>
            <w:webHidden/>
            <w:sz w:val="22"/>
            <w:szCs w:val="22"/>
          </w:rPr>
          <w:fldChar w:fldCharType="begin"/>
        </w:r>
        <w:r w:rsidR="009D4519" w:rsidRPr="001D200B">
          <w:rPr>
            <w:noProof/>
            <w:webHidden/>
            <w:sz w:val="22"/>
            <w:szCs w:val="22"/>
          </w:rPr>
          <w:instrText xml:space="preserve"> PAGEREF _Toc31371905 \h </w:instrText>
        </w:r>
        <w:r w:rsidRPr="001D200B">
          <w:rPr>
            <w:noProof/>
            <w:webHidden/>
            <w:sz w:val="22"/>
            <w:szCs w:val="22"/>
          </w:rPr>
        </w:r>
        <w:r w:rsidRPr="001D200B">
          <w:rPr>
            <w:noProof/>
            <w:webHidden/>
            <w:sz w:val="22"/>
            <w:szCs w:val="22"/>
          </w:rPr>
          <w:fldChar w:fldCharType="separate"/>
        </w:r>
        <w:r w:rsidR="001D200B">
          <w:rPr>
            <w:noProof/>
            <w:webHidden/>
            <w:sz w:val="22"/>
            <w:szCs w:val="22"/>
          </w:rPr>
          <w:t>35</w:t>
        </w:r>
        <w:r w:rsidRPr="001D200B">
          <w:rPr>
            <w:noProof/>
            <w:webHidden/>
            <w:sz w:val="22"/>
            <w:szCs w:val="22"/>
          </w:rPr>
          <w:fldChar w:fldCharType="end"/>
        </w:r>
      </w:hyperlink>
    </w:p>
    <w:p w:rsidR="009D4519" w:rsidRPr="001D200B" w:rsidRDefault="005B7234" w:rsidP="00F976C3">
      <w:pPr>
        <w:pStyle w:val="Spisilustracji"/>
        <w:tabs>
          <w:tab w:val="right" w:leader="dot" w:pos="9060"/>
        </w:tabs>
        <w:spacing w:before="0" w:line="240" w:lineRule="auto"/>
        <w:rPr>
          <w:rFonts w:eastAsiaTheme="minorEastAsia" w:cstheme="minorBidi"/>
          <w:noProof/>
          <w:spacing w:val="0"/>
          <w:sz w:val="22"/>
          <w:szCs w:val="22"/>
        </w:rPr>
      </w:pPr>
      <w:hyperlink w:anchor="_Toc31371906" w:history="1">
        <w:r w:rsidR="009D4519" w:rsidRPr="001D200B">
          <w:rPr>
            <w:rStyle w:val="Hipercze"/>
            <w:rFonts w:cstheme="minorHAnsi"/>
            <w:noProof/>
            <w:color w:val="auto"/>
            <w:sz w:val="22"/>
            <w:szCs w:val="22"/>
          </w:rPr>
          <w:t>Wykres 4. Mieszkania gminy Połaniec według okresu budowy - struktura procentowa</w:t>
        </w:r>
        <w:r w:rsidR="009D4519" w:rsidRPr="001D200B">
          <w:rPr>
            <w:noProof/>
            <w:webHidden/>
            <w:sz w:val="22"/>
            <w:szCs w:val="22"/>
          </w:rPr>
          <w:tab/>
        </w:r>
        <w:r w:rsidRPr="001D200B">
          <w:rPr>
            <w:noProof/>
            <w:webHidden/>
            <w:sz w:val="22"/>
            <w:szCs w:val="22"/>
          </w:rPr>
          <w:fldChar w:fldCharType="begin"/>
        </w:r>
        <w:r w:rsidR="009D4519" w:rsidRPr="001D200B">
          <w:rPr>
            <w:noProof/>
            <w:webHidden/>
            <w:sz w:val="22"/>
            <w:szCs w:val="22"/>
          </w:rPr>
          <w:instrText xml:space="preserve"> PAGEREF _Toc31371906 \h </w:instrText>
        </w:r>
        <w:r w:rsidRPr="001D200B">
          <w:rPr>
            <w:noProof/>
            <w:webHidden/>
            <w:sz w:val="22"/>
            <w:szCs w:val="22"/>
          </w:rPr>
        </w:r>
        <w:r w:rsidRPr="001D200B">
          <w:rPr>
            <w:noProof/>
            <w:webHidden/>
            <w:sz w:val="22"/>
            <w:szCs w:val="22"/>
          </w:rPr>
          <w:fldChar w:fldCharType="separate"/>
        </w:r>
        <w:r w:rsidR="001D200B">
          <w:rPr>
            <w:noProof/>
            <w:webHidden/>
            <w:sz w:val="22"/>
            <w:szCs w:val="22"/>
          </w:rPr>
          <w:t>37</w:t>
        </w:r>
        <w:r w:rsidRPr="001D200B">
          <w:rPr>
            <w:noProof/>
            <w:webHidden/>
            <w:sz w:val="22"/>
            <w:szCs w:val="22"/>
          </w:rPr>
          <w:fldChar w:fldCharType="end"/>
        </w:r>
      </w:hyperlink>
    </w:p>
    <w:p w:rsidR="009D4519" w:rsidRPr="001D200B" w:rsidRDefault="005B7234" w:rsidP="00F976C3">
      <w:pPr>
        <w:pStyle w:val="Spisilustracji"/>
        <w:tabs>
          <w:tab w:val="right" w:leader="dot" w:pos="9060"/>
        </w:tabs>
        <w:spacing w:before="0" w:line="240" w:lineRule="auto"/>
        <w:rPr>
          <w:rFonts w:eastAsiaTheme="minorEastAsia" w:cstheme="minorBidi"/>
          <w:noProof/>
          <w:spacing w:val="0"/>
          <w:sz w:val="22"/>
          <w:szCs w:val="22"/>
        </w:rPr>
      </w:pPr>
      <w:hyperlink w:anchor="_Toc31371907" w:history="1">
        <w:r w:rsidR="009D4519" w:rsidRPr="001D200B">
          <w:rPr>
            <w:rStyle w:val="Hipercze"/>
            <w:rFonts w:cstheme="minorHAnsi"/>
            <w:noProof/>
            <w:color w:val="auto"/>
            <w:sz w:val="22"/>
            <w:szCs w:val="22"/>
          </w:rPr>
          <w:t>Wykres 5. Przeciętna wielkość mieszkania w gminie Połaniec – według okresu budowy</w:t>
        </w:r>
        <w:r w:rsidR="009D4519" w:rsidRPr="001D200B">
          <w:rPr>
            <w:noProof/>
            <w:webHidden/>
            <w:sz w:val="22"/>
            <w:szCs w:val="22"/>
          </w:rPr>
          <w:tab/>
        </w:r>
        <w:r w:rsidRPr="001D200B">
          <w:rPr>
            <w:noProof/>
            <w:webHidden/>
            <w:sz w:val="22"/>
            <w:szCs w:val="22"/>
          </w:rPr>
          <w:fldChar w:fldCharType="begin"/>
        </w:r>
        <w:r w:rsidR="009D4519" w:rsidRPr="001D200B">
          <w:rPr>
            <w:noProof/>
            <w:webHidden/>
            <w:sz w:val="22"/>
            <w:szCs w:val="22"/>
          </w:rPr>
          <w:instrText xml:space="preserve"> PAGEREF _Toc31371907 \h </w:instrText>
        </w:r>
        <w:r w:rsidRPr="001D200B">
          <w:rPr>
            <w:noProof/>
            <w:webHidden/>
            <w:sz w:val="22"/>
            <w:szCs w:val="22"/>
          </w:rPr>
        </w:r>
        <w:r w:rsidRPr="001D200B">
          <w:rPr>
            <w:noProof/>
            <w:webHidden/>
            <w:sz w:val="22"/>
            <w:szCs w:val="22"/>
          </w:rPr>
          <w:fldChar w:fldCharType="separate"/>
        </w:r>
        <w:r w:rsidR="001D200B">
          <w:rPr>
            <w:noProof/>
            <w:webHidden/>
            <w:sz w:val="22"/>
            <w:szCs w:val="22"/>
          </w:rPr>
          <w:t>37</w:t>
        </w:r>
        <w:r w:rsidRPr="001D200B">
          <w:rPr>
            <w:noProof/>
            <w:webHidden/>
            <w:sz w:val="22"/>
            <w:szCs w:val="22"/>
          </w:rPr>
          <w:fldChar w:fldCharType="end"/>
        </w:r>
      </w:hyperlink>
    </w:p>
    <w:p w:rsidR="009D4519" w:rsidRPr="001D200B" w:rsidRDefault="005B7234" w:rsidP="00F976C3">
      <w:pPr>
        <w:pStyle w:val="Spisilustracji"/>
        <w:tabs>
          <w:tab w:val="right" w:leader="dot" w:pos="9060"/>
        </w:tabs>
        <w:spacing w:before="0" w:line="240" w:lineRule="auto"/>
        <w:rPr>
          <w:rFonts w:eastAsiaTheme="minorEastAsia" w:cstheme="minorBidi"/>
          <w:noProof/>
          <w:spacing w:val="0"/>
          <w:sz w:val="22"/>
          <w:szCs w:val="22"/>
        </w:rPr>
      </w:pPr>
      <w:hyperlink w:anchor="_Toc31371908" w:history="1">
        <w:r w:rsidR="009D4519" w:rsidRPr="001D200B">
          <w:rPr>
            <w:rStyle w:val="Hipercze"/>
            <w:rFonts w:cstheme="minorHAnsi"/>
            <w:noProof/>
            <w:color w:val="auto"/>
            <w:sz w:val="22"/>
            <w:szCs w:val="22"/>
          </w:rPr>
          <w:t>Wykres 6. Parametry energochłonności – powierzchniowy wskaźnik sezonowego zapotrzebowania na ciepło</w:t>
        </w:r>
        <w:r w:rsidR="009D4519" w:rsidRPr="001D200B">
          <w:rPr>
            <w:noProof/>
            <w:webHidden/>
            <w:sz w:val="22"/>
            <w:szCs w:val="22"/>
          </w:rPr>
          <w:tab/>
        </w:r>
        <w:r w:rsidRPr="001D200B">
          <w:rPr>
            <w:noProof/>
            <w:webHidden/>
            <w:sz w:val="22"/>
            <w:szCs w:val="22"/>
          </w:rPr>
          <w:fldChar w:fldCharType="begin"/>
        </w:r>
        <w:r w:rsidR="009D4519" w:rsidRPr="001D200B">
          <w:rPr>
            <w:noProof/>
            <w:webHidden/>
            <w:sz w:val="22"/>
            <w:szCs w:val="22"/>
          </w:rPr>
          <w:instrText xml:space="preserve"> PAGEREF _Toc31371908 \h </w:instrText>
        </w:r>
        <w:r w:rsidRPr="001D200B">
          <w:rPr>
            <w:noProof/>
            <w:webHidden/>
            <w:sz w:val="22"/>
            <w:szCs w:val="22"/>
          </w:rPr>
        </w:r>
        <w:r w:rsidRPr="001D200B">
          <w:rPr>
            <w:noProof/>
            <w:webHidden/>
            <w:sz w:val="22"/>
            <w:szCs w:val="22"/>
          </w:rPr>
          <w:fldChar w:fldCharType="separate"/>
        </w:r>
        <w:r w:rsidR="001D200B">
          <w:rPr>
            <w:noProof/>
            <w:webHidden/>
            <w:sz w:val="22"/>
            <w:szCs w:val="22"/>
          </w:rPr>
          <w:t>38</w:t>
        </w:r>
        <w:r w:rsidRPr="001D200B">
          <w:rPr>
            <w:noProof/>
            <w:webHidden/>
            <w:sz w:val="22"/>
            <w:szCs w:val="22"/>
          </w:rPr>
          <w:fldChar w:fldCharType="end"/>
        </w:r>
      </w:hyperlink>
    </w:p>
    <w:p w:rsidR="009D4519" w:rsidRPr="001D200B" w:rsidRDefault="005B7234" w:rsidP="00F976C3">
      <w:pPr>
        <w:pStyle w:val="Spisilustracji"/>
        <w:tabs>
          <w:tab w:val="right" w:leader="dot" w:pos="9060"/>
        </w:tabs>
        <w:spacing w:before="0" w:line="240" w:lineRule="auto"/>
        <w:rPr>
          <w:rFonts w:eastAsiaTheme="minorEastAsia" w:cstheme="minorBidi"/>
          <w:noProof/>
          <w:spacing w:val="0"/>
          <w:sz w:val="22"/>
          <w:szCs w:val="22"/>
        </w:rPr>
      </w:pPr>
      <w:hyperlink w:anchor="_Toc31371909" w:history="1">
        <w:r w:rsidR="009D4519" w:rsidRPr="001D200B">
          <w:rPr>
            <w:rStyle w:val="Hipercze"/>
            <w:rFonts w:cstheme="minorHAnsi"/>
            <w:noProof/>
            <w:color w:val="auto"/>
            <w:sz w:val="22"/>
            <w:szCs w:val="22"/>
          </w:rPr>
          <w:t>Wykres 7. Struktura zużycia energii elektrycznej w 2018 roku  – według poziomu napięć</w:t>
        </w:r>
        <w:r w:rsidR="009D4519" w:rsidRPr="001D200B">
          <w:rPr>
            <w:noProof/>
            <w:webHidden/>
            <w:sz w:val="22"/>
            <w:szCs w:val="22"/>
          </w:rPr>
          <w:tab/>
        </w:r>
        <w:r w:rsidRPr="001D200B">
          <w:rPr>
            <w:noProof/>
            <w:webHidden/>
            <w:sz w:val="22"/>
            <w:szCs w:val="22"/>
          </w:rPr>
          <w:fldChar w:fldCharType="begin"/>
        </w:r>
        <w:r w:rsidR="009D4519" w:rsidRPr="001D200B">
          <w:rPr>
            <w:noProof/>
            <w:webHidden/>
            <w:sz w:val="22"/>
            <w:szCs w:val="22"/>
          </w:rPr>
          <w:instrText xml:space="preserve"> PAGEREF _Toc31371909 \h </w:instrText>
        </w:r>
        <w:r w:rsidRPr="001D200B">
          <w:rPr>
            <w:noProof/>
            <w:webHidden/>
            <w:sz w:val="22"/>
            <w:szCs w:val="22"/>
          </w:rPr>
        </w:r>
        <w:r w:rsidRPr="001D200B">
          <w:rPr>
            <w:noProof/>
            <w:webHidden/>
            <w:sz w:val="22"/>
            <w:szCs w:val="22"/>
          </w:rPr>
          <w:fldChar w:fldCharType="separate"/>
        </w:r>
        <w:r w:rsidR="001D200B">
          <w:rPr>
            <w:noProof/>
            <w:webHidden/>
            <w:sz w:val="22"/>
            <w:szCs w:val="22"/>
          </w:rPr>
          <w:t>68</w:t>
        </w:r>
        <w:r w:rsidRPr="001D200B">
          <w:rPr>
            <w:noProof/>
            <w:webHidden/>
            <w:sz w:val="22"/>
            <w:szCs w:val="22"/>
          </w:rPr>
          <w:fldChar w:fldCharType="end"/>
        </w:r>
      </w:hyperlink>
    </w:p>
    <w:p w:rsidR="009D4519" w:rsidRPr="001D200B" w:rsidRDefault="005B7234" w:rsidP="00F976C3">
      <w:pPr>
        <w:pStyle w:val="Spisilustracji"/>
        <w:tabs>
          <w:tab w:val="right" w:leader="dot" w:pos="9060"/>
        </w:tabs>
        <w:spacing w:before="0" w:line="240" w:lineRule="auto"/>
        <w:rPr>
          <w:rFonts w:eastAsiaTheme="minorEastAsia" w:cstheme="minorBidi"/>
          <w:noProof/>
          <w:spacing w:val="0"/>
          <w:sz w:val="22"/>
          <w:szCs w:val="22"/>
        </w:rPr>
      </w:pPr>
      <w:hyperlink w:anchor="_Toc31371910" w:history="1">
        <w:r w:rsidR="009D4519" w:rsidRPr="001D200B">
          <w:rPr>
            <w:rStyle w:val="Hipercze"/>
            <w:noProof/>
            <w:color w:val="auto"/>
            <w:sz w:val="22"/>
            <w:szCs w:val="22"/>
          </w:rPr>
          <w:t xml:space="preserve">Wykres 8. Zmiany całkowitego zużycia energii elektrycznej na terenie gminy Połaniec w latach </w:t>
        </w:r>
        <w:r w:rsidR="00C064C8" w:rsidRPr="001D200B">
          <w:rPr>
            <w:rStyle w:val="Hipercze"/>
            <w:noProof/>
            <w:color w:val="auto"/>
            <w:sz w:val="22"/>
            <w:szCs w:val="22"/>
          </w:rPr>
          <w:br/>
        </w:r>
        <w:r w:rsidR="009D4519" w:rsidRPr="001D200B">
          <w:rPr>
            <w:rStyle w:val="Hipercze"/>
            <w:noProof/>
            <w:color w:val="auto"/>
            <w:sz w:val="22"/>
            <w:szCs w:val="22"/>
          </w:rPr>
          <w:t>2015-2018</w:t>
        </w:r>
        <w:r w:rsidR="009D4519" w:rsidRPr="001D200B">
          <w:rPr>
            <w:noProof/>
            <w:webHidden/>
            <w:sz w:val="22"/>
            <w:szCs w:val="22"/>
          </w:rPr>
          <w:tab/>
        </w:r>
        <w:r w:rsidRPr="001D200B">
          <w:rPr>
            <w:noProof/>
            <w:webHidden/>
            <w:sz w:val="22"/>
            <w:szCs w:val="22"/>
          </w:rPr>
          <w:fldChar w:fldCharType="begin"/>
        </w:r>
        <w:r w:rsidR="009D4519" w:rsidRPr="001D200B">
          <w:rPr>
            <w:noProof/>
            <w:webHidden/>
            <w:sz w:val="22"/>
            <w:szCs w:val="22"/>
          </w:rPr>
          <w:instrText xml:space="preserve"> PAGEREF _Toc31371910 \h </w:instrText>
        </w:r>
        <w:r w:rsidRPr="001D200B">
          <w:rPr>
            <w:noProof/>
            <w:webHidden/>
            <w:sz w:val="22"/>
            <w:szCs w:val="22"/>
          </w:rPr>
        </w:r>
        <w:r w:rsidRPr="001D200B">
          <w:rPr>
            <w:noProof/>
            <w:webHidden/>
            <w:sz w:val="22"/>
            <w:szCs w:val="22"/>
          </w:rPr>
          <w:fldChar w:fldCharType="separate"/>
        </w:r>
        <w:r w:rsidR="001D200B">
          <w:rPr>
            <w:noProof/>
            <w:webHidden/>
            <w:sz w:val="22"/>
            <w:szCs w:val="22"/>
          </w:rPr>
          <w:t>69</w:t>
        </w:r>
        <w:r w:rsidRPr="001D200B">
          <w:rPr>
            <w:noProof/>
            <w:webHidden/>
            <w:sz w:val="22"/>
            <w:szCs w:val="22"/>
          </w:rPr>
          <w:fldChar w:fldCharType="end"/>
        </w:r>
      </w:hyperlink>
    </w:p>
    <w:p w:rsidR="009D4519" w:rsidRPr="001D200B" w:rsidRDefault="005B7234" w:rsidP="00F976C3">
      <w:pPr>
        <w:pStyle w:val="Spisilustracji"/>
        <w:tabs>
          <w:tab w:val="right" w:leader="dot" w:pos="9060"/>
        </w:tabs>
        <w:spacing w:before="0" w:line="240" w:lineRule="auto"/>
        <w:rPr>
          <w:rFonts w:eastAsiaTheme="minorEastAsia" w:cstheme="minorBidi"/>
          <w:noProof/>
          <w:spacing w:val="0"/>
          <w:sz w:val="22"/>
          <w:szCs w:val="22"/>
        </w:rPr>
      </w:pPr>
      <w:hyperlink w:anchor="_Toc31371911" w:history="1">
        <w:r w:rsidR="009D4519" w:rsidRPr="001D200B">
          <w:rPr>
            <w:rStyle w:val="Hipercze"/>
            <w:rFonts w:cstheme="minorHAnsi"/>
            <w:noProof/>
            <w:color w:val="auto"/>
            <w:sz w:val="22"/>
            <w:szCs w:val="22"/>
          </w:rPr>
          <w:t>Wykres 9. Prognozowane zmiany zapotrzebowania na energię elektryczną dla gminy Połaniec w ujęciu wariantowym</w:t>
        </w:r>
        <w:r w:rsidR="009D4519" w:rsidRPr="001D200B">
          <w:rPr>
            <w:noProof/>
            <w:webHidden/>
            <w:sz w:val="22"/>
            <w:szCs w:val="22"/>
          </w:rPr>
          <w:tab/>
        </w:r>
        <w:r w:rsidRPr="001D200B">
          <w:rPr>
            <w:noProof/>
            <w:webHidden/>
            <w:sz w:val="22"/>
            <w:szCs w:val="22"/>
          </w:rPr>
          <w:fldChar w:fldCharType="begin"/>
        </w:r>
        <w:r w:rsidR="009D4519" w:rsidRPr="001D200B">
          <w:rPr>
            <w:noProof/>
            <w:webHidden/>
            <w:sz w:val="22"/>
            <w:szCs w:val="22"/>
          </w:rPr>
          <w:instrText xml:space="preserve"> PAGEREF _Toc31371911 \h </w:instrText>
        </w:r>
        <w:r w:rsidRPr="001D200B">
          <w:rPr>
            <w:noProof/>
            <w:webHidden/>
            <w:sz w:val="22"/>
            <w:szCs w:val="22"/>
          </w:rPr>
        </w:r>
        <w:r w:rsidRPr="001D200B">
          <w:rPr>
            <w:noProof/>
            <w:webHidden/>
            <w:sz w:val="22"/>
            <w:szCs w:val="22"/>
          </w:rPr>
          <w:fldChar w:fldCharType="separate"/>
        </w:r>
        <w:r w:rsidR="001D200B">
          <w:rPr>
            <w:noProof/>
            <w:webHidden/>
            <w:sz w:val="22"/>
            <w:szCs w:val="22"/>
          </w:rPr>
          <w:t>72</w:t>
        </w:r>
        <w:r w:rsidRPr="001D200B">
          <w:rPr>
            <w:noProof/>
            <w:webHidden/>
            <w:sz w:val="22"/>
            <w:szCs w:val="22"/>
          </w:rPr>
          <w:fldChar w:fldCharType="end"/>
        </w:r>
      </w:hyperlink>
    </w:p>
    <w:p w:rsidR="009D4519" w:rsidRPr="001D200B" w:rsidRDefault="005B7234" w:rsidP="00F976C3">
      <w:pPr>
        <w:pStyle w:val="Spisilustracji"/>
        <w:tabs>
          <w:tab w:val="right" w:leader="dot" w:pos="9060"/>
        </w:tabs>
        <w:spacing w:before="0" w:line="240" w:lineRule="auto"/>
        <w:rPr>
          <w:rFonts w:eastAsiaTheme="minorEastAsia" w:cstheme="minorBidi"/>
          <w:noProof/>
          <w:spacing w:val="0"/>
          <w:sz w:val="22"/>
          <w:szCs w:val="22"/>
        </w:rPr>
      </w:pPr>
      <w:hyperlink w:anchor="_Toc31371912" w:history="1">
        <w:r w:rsidR="009D4519" w:rsidRPr="001D200B">
          <w:rPr>
            <w:rStyle w:val="Hipercze"/>
            <w:noProof/>
            <w:color w:val="auto"/>
            <w:sz w:val="22"/>
            <w:szCs w:val="22"/>
          </w:rPr>
          <w:t>Wykres 10. Struktura zużycia gazu ziemnego w gminie Połaniec w 2018 roku</w:t>
        </w:r>
        <w:r w:rsidR="009D4519" w:rsidRPr="001D200B">
          <w:rPr>
            <w:noProof/>
            <w:webHidden/>
            <w:sz w:val="22"/>
            <w:szCs w:val="22"/>
          </w:rPr>
          <w:tab/>
        </w:r>
        <w:r w:rsidRPr="001D200B">
          <w:rPr>
            <w:noProof/>
            <w:webHidden/>
            <w:sz w:val="22"/>
            <w:szCs w:val="22"/>
          </w:rPr>
          <w:fldChar w:fldCharType="begin"/>
        </w:r>
        <w:r w:rsidR="009D4519" w:rsidRPr="001D200B">
          <w:rPr>
            <w:noProof/>
            <w:webHidden/>
            <w:sz w:val="22"/>
            <w:szCs w:val="22"/>
          </w:rPr>
          <w:instrText xml:space="preserve"> PAGEREF _Toc31371912 \h </w:instrText>
        </w:r>
        <w:r w:rsidRPr="001D200B">
          <w:rPr>
            <w:noProof/>
            <w:webHidden/>
            <w:sz w:val="22"/>
            <w:szCs w:val="22"/>
          </w:rPr>
        </w:r>
        <w:r w:rsidRPr="001D200B">
          <w:rPr>
            <w:noProof/>
            <w:webHidden/>
            <w:sz w:val="22"/>
            <w:szCs w:val="22"/>
          </w:rPr>
          <w:fldChar w:fldCharType="separate"/>
        </w:r>
        <w:r w:rsidR="001D200B">
          <w:rPr>
            <w:noProof/>
            <w:webHidden/>
            <w:sz w:val="22"/>
            <w:szCs w:val="22"/>
          </w:rPr>
          <w:t>86</w:t>
        </w:r>
        <w:r w:rsidRPr="001D200B">
          <w:rPr>
            <w:noProof/>
            <w:webHidden/>
            <w:sz w:val="22"/>
            <w:szCs w:val="22"/>
          </w:rPr>
          <w:fldChar w:fldCharType="end"/>
        </w:r>
      </w:hyperlink>
    </w:p>
    <w:p w:rsidR="009D4519" w:rsidRPr="001D200B" w:rsidRDefault="005B7234" w:rsidP="00F976C3">
      <w:pPr>
        <w:pStyle w:val="Spisilustracji"/>
        <w:tabs>
          <w:tab w:val="right" w:leader="dot" w:pos="9060"/>
        </w:tabs>
        <w:spacing w:before="0" w:line="240" w:lineRule="auto"/>
        <w:rPr>
          <w:rFonts w:eastAsiaTheme="minorEastAsia" w:cstheme="minorBidi"/>
          <w:noProof/>
          <w:spacing w:val="0"/>
          <w:sz w:val="22"/>
          <w:szCs w:val="22"/>
        </w:rPr>
      </w:pPr>
      <w:hyperlink w:anchor="_Toc31371913" w:history="1">
        <w:r w:rsidR="009D4519" w:rsidRPr="001D200B">
          <w:rPr>
            <w:rStyle w:val="Hipercze"/>
            <w:rFonts w:cstheme="minorHAnsi"/>
            <w:noProof/>
            <w:color w:val="auto"/>
            <w:sz w:val="22"/>
            <w:szCs w:val="22"/>
          </w:rPr>
          <w:t xml:space="preserve">Wykres 11. Prognozowane zużycie gazu ziemnego na terenie gminy Połaniec według wariantów </w:t>
        </w:r>
        <w:r w:rsidR="00C064C8" w:rsidRPr="001D200B">
          <w:rPr>
            <w:rStyle w:val="Hipercze"/>
            <w:rFonts w:cstheme="minorHAnsi"/>
            <w:noProof/>
            <w:color w:val="auto"/>
            <w:sz w:val="22"/>
            <w:szCs w:val="22"/>
          </w:rPr>
          <w:br/>
        </w:r>
        <w:r w:rsidR="009D4519" w:rsidRPr="001D200B">
          <w:rPr>
            <w:rStyle w:val="Hipercze"/>
            <w:rFonts w:cstheme="minorHAnsi"/>
            <w:noProof/>
            <w:color w:val="auto"/>
            <w:sz w:val="22"/>
            <w:szCs w:val="22"/>
          </w:rPr>
          <w:t>[w tys. Nm</w:t>
        </w:r>
        <w:r w:rsidR="009D4519" w:rsidRPr="001D200B">
          <w:rPr>
            <w:rStyle w:val="Hipercze"/>
            <w:rFonts w:cstheme="minorHAnsi"/>
            <w:noProof/>
            <w:color w:val="auto"/>
            <w:sz w:val="22"/>
            <w:szCs w:val="22"/>
            <w:vertAlign w:val="superscript"/>
          </w:rPr>
          <w:t>3</w:t>
        </w:r>
        <w:r w:rsidR="009D4519" w:rsidRPr="001D200B">
          <w:rPr>
            <w:rStyle w:val="Hipercze"/>
            <w:rFonts w:cstheme="minorHAnsi"/>
            <w:noProof/>
            <w:color w:val="auto"/>
            <w:sz w:val="22"/>
            <w:szCs w:val="22"/>
          </w:rPr>
          <w:t>]</w:t>
        </w:r>
        <w:r w:rsidR="009D4519" w:rsidRPr="001D200B">
          <w:rPr>
            <w:noProof/>
            <w:webHidden/>
            <w:sz w:val="22"/>
            <w:szCs w:val="22"/>
          </w:rPr>
          <w:tab/>
        </w:r>
        <w:r w:rsidRPr="001D200B">
          <w:rPr>
            <w:noProof/>
            <w:webHidden/>
            <w:sz w:val="22"/>
            <w:szCs w:val="22"/>
          </w:rPr>
          <w:fldChar w:fldCharType="begin"/>
        </w:r>
        <w:r w:rsidR="009D4519" w:rsidRPr="001D200B">
          <w:rPr>
            <w:noProof/>
            <w:webHidden/>
            <w:sz w:val="22"/>
            <w:szCs w:val="22"/>
          </w:rPr>
          <w:instrText xml:space="preserve"> PAGEREF _Toc31371913 \h </w:instrText>
        </w:r>
        <w:r w:rsidRPr="001D200B">
          <w:rPr>
            <w:noProof/>
            <w:webHidden/>
            <w:sz w:val="22"/>
            <w:szCs w:val="22"/>
          </w:rPr>
        </w:r>
        <w:r w:rsidRPr="001D200B">
          <w:rPr>
            <w:noProof/>
            <w:webHidden/>
            <w:sz w:val="22"/>
            <w:szCs w:val="22"/>
          </w:rPr>
          <w:fldChar w:fldCharType="separate"/>
        </w:r>
        <w:r w:rsidR="001D200B">
          <w:rPr>
            <w:noProof/>
            <w:webHidden/>
            <w:sz w:val="22"/>
            <w:szCs w:val="22"/>
          </w:rPr>
          <w:t>91</w:t>
        </w:r>
        <w:r w:rsidRPr="001D200B">
          <w:rPr>
            <w:noProof/>
            <w:webHidden/>
            <w:sz w:val="22"/>
            <w:szCs w:val="22"/>
          </w:rPr>
          <w:fldChar w:fldCharType="end"/>
        </w:r>
      </w:hyperlink>
    </w:p>
    <w:p w:rsidR="001B2758" w:rsidRPr="001D200B" w:rsidRDefault="005B7234" w:rsidP="00F976C3">
      <w:pPr>
        <w:spacing w:before="0" w:line="240" w:lineRule="auto"/>
        <w:rPr>
          <w:rFonts w:cstheme="minorHAnsi"/>
          <w:sz w:val="20"/>
          <w:highlight w:val="yellow"/>
        </w:rPr>
      </w:pPr>
      <w:r w:rsidRPr="001D200B">
        <w:rPr>
          <w:rFonts w:cstheme="minorHAnsi"/>
          <w:sz w:val="22"/>
          <w:szCs w:val="22"/>
          <w:highlight w:val="yellow"/>
        </w:rPr>
        <w:fldChar w:fldCharType="end"/>
      </w:r>
    </w:p>
    <w:p w:rsidR="00605451" w:rsidRPr="001D200B" w:rsidRDefault="00605451">
      <w:pPr>
        <w:spacing w:line="240" w:lineRule="auto"/>
        <w:jc w:val="left"/>
        <w:rPr>
          <w:rFonts w:cstheme="minorHAnsi"/>
          <w:highlight w:val="yellow"/>
        </w:rPr>
      </w:pPr>
      <w:r w:rsidRPr="001D200B">
        <w:rPr>
          <w:rFonts w:cstheme="minorHAnsi"/>
          <w:highlight w:val="yellow"/>
        </w:rPr>
        <w:br w:type="page"/>
      </w:r>
    </w:p>
    <w:p w:rsidR="003E004A" w:rsidRPr="001D200B" w:rsidRDefault="00DC4FF7">
      <w:pPr>
        <w:spacing w:line="240" w:lineRule="auto"/>
        <w:jc w:val="left"/>
        <w:rPr>
          <w:rFonts w:cstheme="minorHAnsi"/>
          <w:b/>
          <w:u w:val="single"/>
        </w:rPr>
      </w:pPr>
      <w:r w:rsidRPr="001D200B">
        <w:rPr>
          <w:rFonts w:cstheme="minorHAnsi"/>
          <w:b/>
          <w:u w:val="single"/>
        </w:rPr>
        <w:lastRenderedPageBreak/>
        <w:t>Jednostki zastosowane w dokumencie</w:t>
      </w:r>
      <w:r w:rsidR="008F59FB" w:rsidRPr="001D200B">
        <w:rPr>
          <w:rFonts w:cstheme="minorHAnsi"/>
          <w:b/>
          <w:u w:val="single"/>
        </w:rPr>
        <w:t>:</w:t>
      </w:r>
    </w:p>
    <w:p w:rsidR="003E004A" w:rsidRPr="001D200B" w:rsidRDefault="00DC4FF7">
      <w:pPr>
        <w:spacing w:line="240" w:lineRule="auto"/>
        <w:jc w:val="left"/>
        <w:rPr>
          <w:rFonts w:cstheme="minorHAnsi"/>
        </w:rPr>
      </w:pPr>
      <w:r w:rsidRPr="001D200B">
        <w:rPr>
          <w:rFonts w:cstheme="minorHAnsi"/>
          <w:b/>
        </w:rPr>
        <w:t>W [wat]</w:t>
      </w:r>
      <w:r w:rsidRPr="001D200B">
        <w:rPr>
          <w:rFonts w:cstheme="minorHAnsi"/>
        </w:rPr>
        <w:t xml:space="preserve"> – jednostka mocy lub strumienia energii w układzie SI</w:t>
      </w:r>
    </w:p>
    <w:p w:rsidR="00DC4FF7" w:rsidRPr="001D200B" w:rsidRDefault="00DC4FF7" w:rsidP="00DC4FF7">
      <w:pPr>
        <w:spacing w:after="0" w:line="240" w:lineRule="auto"/>
        <w:rPr>
          <w:bCs/>
          <w:szCs w:val="24"/>
        </w:rPr>
      </w:pPr>
      <w:r w:rsidRPr="001D200B">
        <w:rPr>
          <w:b/>
          <w:bCs/>
          <w:szCs w:val="24"/>
        </w:rPr>
        <w:t>kW</w:t>
      </w:r>
      <w:r w:rsidRPr="001D200B">
        <w:rPr>
          <w:bCs/>
          <w:szCs w:val="24"/>
        </w:rPr>
        <w:t xml:space="preserve"> </w:t>
      </w:r>
      <w:r w:rsidRPr="001D200B">
        <w:rPr>
          <w:b/>
          <w:bCs/>
          <w:szCs w:val="24"/>
        </w:rPr>
        <w:t>[kilowat]</w:t>
      </w:r>
      <w:r w:rsidRPr="001D200B">
        <w:rPr>
          <w:bCs/>
          <w:szCs w:val="24"/>
        </w:rPr>
        <w:t xml:space="preserve"> - jednostka mocy</w:t>
      </w:r>
      <w:r w:rsidR="00096C16" w:rsidRPr="001D200B">
        <w:rPr>
          <w:bCs/>
          <w:szCs w:val="24"/>
        </w:rPr>
        <w:t xml:space="preserve"> elektrycznej i mechanicznej</w:t>
      </w:r>
      <w:r w:rsidRPr="001D200B">
        <w:rPr>
          <w:bCs/>
          <w:szCs w:val="24"/>
        </w:rPr>
        <w:t>, 10</w:t>
      </w:r>
      <w:r w:rsidRPr="001D200B">
        <w:rPr>
          <w:bCs/>
          <w:szCs w:val="24"/>
          <w:vertAlign w:val="superscript"/>
        </w:rPr>
        <w:t>3</w:t>
      </w:r>
      <w:r w:rsidR="00096C16" w:rsidRPr="001D200B">
        <w:rPr>
          <w:bCs/>
          <w:szCs w:val="24"/>
        </w:rPr>
        <w:t>W</w:t>
      </w:r>
    </w:p>
    <w:p w:rsidR="00DC4FF7" w:rsidRPr="001D200B" w:rsidRDefault="00DC4FF7" w:rsidP="00DC4FF7">
      <w:pPr>
        <w:spacing w:after="0" w:line="240" w:lineRule="auto"/>
        <w:rPr>
          <w:bCs/>
          <w:szCs w:val="24"/>
        </w:rPr>
      </w:pPr>
      <w:r w:rsidRPr="001D200B">
        <w:rPr>
          <w:b/>
          <w:bCs/>
          <w:szCs w:val="24"/>
        </w:rPr>
        <w:t>MW[megawat]</w:t>
      </w:r>
      <w:r w:rsidRPr="001D200B">
        <w:rPr>
          <w:bCs/>
          <w:szCs w:val="24"/>
        </w:rPr>
        <w:t xml:space="preserve"> - jednostka mocy</w:t>
      </w:r>
      <w:r w:rsidR="00096C16" w:rsidRPr="001D200B">
        <w:rPr>
          <w:bCs/>
          <w:szCs w:val="24"/>
        </w:rPr>
        <w:t xml:space="preserve"> elektrycznej i mechanicznej</w:t>
      </w:r>
      <w:r w:rsidRPr="001D200B">
        <w:rPr>
          <w:bCs/>
          <w:szCs w:val="24"/>
        </w:rPr>
        <w:t>, 10</w:t>
      </w:r>
      <w:r w:rsidRPr="001D200B">
        <w:rPr>
          <w:bCs/>
          <w:szCs w:val="24"/>
          <w:vertAlign w:val="superscript"/>
        </w:rPr>
        <w:t>6</w:t>
      </w:r>
      <w:r w:rsidR="00096C16" w:rsidRPr="001D200B">
        <w:rPr>
          <w:bCs/>
          <w:szCs w:val="24"/>
        </w:rPr>
        <w:t>W</w:t>
      </w:r>
    </w:p>
    <w:p w:rsidR="00DC4FF7" w:rsidRPr="001D200B" w:rsidRDefault="00DC4FF7" w:rsidP="00DC4FF7">
      <w:pPr>
        <w:spacing w:after="0" w:line="240" w:lineRule="auto"/>
        <w:rPr>
          <w:bCs/>
          <w:szCs w:val="24"/>
        </w:rPr>
      </w:pPr>
      <w:r w:rsidRPr="001D200B">
        <w:rPr>
          <w:b/>
          <w:bCs/>
          <w:szCs w:val="24"/>
        </w:rPr>
        <w:t>kWh</w:t>
      </w:r>
      <w:r w:rsidRPr="001D200B">
        <w:rPr>
          <w:bCs/>
          <w:szCs w:val="24"/>
        </w:rPr>
        <w:t xml:space="preserve"> </w:t>
      </w:r>
      <w:r w:rsidRPr="001D200B">
        <w:rPr>
          <w:b/>
          <w:bCs/>
          <w:szCs w:val="24"/>
        </w:rPr>
        <w:t>[</w:t>
      </w:r>
      <w:r w:rsidRPr="001D200B">
        <w:rPr>
          <w:b/>
        </w:rPr>
        <w:t>kilowatogodzina]</w:t>
      </w:r>
      <w:r w:rsidRPr="001D200B">
        <w:t xml:space="preserve"> - jednostka pracy, energii i cie</w:t>
      </w:r>
      <w:r w:rsidR="00096C16" w:rsidRPr="001D200B">
        <w:t>pła w układzie SI, 1kWh = 3,6MJ</w:t>
      </w:r>
    </w:p>
    <w:p w:rsidR="008F59FB" w:rsidRPr="001D200B" w:rsidRDefault="008F59FB" w:rsidP="008F59FB">
      <w:pPr>
        <w:spacing w:after="0" w:line="240" w:lineRule="auto"/>
        <w:rPr>
          <w:bCs/>
          <w:szCs w:val="24"/>
        </w:rPr>
      </w:pPr>
      <w:r w:rsidRPr="001D200B">
        <w:rPr>
          <w:b/>
          <w:bCs/>
          <w:szCs w:val="24"/>
        </w:rPr>
        <w:t>MWh</w:t>
      </w:r>
      <w:r w:rsidRPr="001D200B">
        <w:rPr>
          <w:bCs/>
          <w:szCs w:val="24"/>
        </w:rPr>
        <w:t xml:space="preserve"> </w:t>
      </w:r>
      <w:r w:rsidRPr="001D200B">
        <w:rPr>
          <w:b/>
          <w:bCs/>
          <w:szCs w:val="24"/>
        </w:rPr>
        <w:t>[</w:t>
      </w:r>
      <w:r w:rsidRPr="001D200B">
        <w:rPr>
          <w:b/>
        </w:rPr>
        <w:t>megawatogodzina]</w:t>
      </w:r>
      <w:r w:rsidRPr="001D200B">
        <w:t xml:space="preserve"> - jednostka pracy, energii i ciepła w układzie SI, </w:t>
      </w:r>
      <w:r w:rsidR="00F911D7" w:rsidRPr="001D200B">
        <w:t>1MWh = 10</w:t>
      </w:r>
      <w:r w:rsidR="00F911D7" w:rsidRPr="001D200B">
        <w:rPr>
          <w:vertAlign w:val="superscript"/>
        </w:rPr>
        <w:t>3</w:t>
      </w:r>
      <w:r w:rsidR="00096C16" w:rsidRPr="001D200B">
        <w:t xml:space="preserve"> kWh</w:t>
      </w:r>
    </w:p>
    <w:p w:rsidR="00DC4FF7" w:rsidRPr="001D200B" w:rsidRDefault="00F911D7" w:rsidP="00DC4FF7">
      <w:pPr>
        <w:spacing w:after="0" w:line="240" w:lineRule="auto"/>
      </w:pPr>
      <w:r w:rsidRPr="001D200B">
        <w:rPr>
          <w:b/>
          <w:bCs/>
          <w:szCs w:val="24"/>
        </w:rPr>
        <w:t>GWh [gigawatogodzina]</w:t>
      </w:r>
      <w:r w:rsidRPr="001D200B">
        <w:rPr>
          <w:bCs/>
          <w:szCs w:val="24"/>
        </w:rPr>
        <w:t xml:space="preserve"> - </w:t>
      </w:r>
      <w:r w:rsidRPr="001D200B">
        <w:t>jednostka pracy, energii i ciepła w układzie SI, 1GWh = 10</w:t>
      </w:r>
      <w:r w:rsidR="00096C16" w:rsidRPr="001D200B">
        <w:rPr>
          <w:vertAlign w:val="superscript"/>
        </w:rPr>
        <w:t>3</w:t>
      </w:r>
      <w:r w:rsidRPr="001D200B">
        <w:t xml:space="preserve"> MWh= 10</w:t>
      </w:r>
      <w:r w:rsidRPr="001D200B">
        <w:rPr>
          <w:vertAlign w:val="superscript"/>
        </w:rPr>
        <w:t>6</w:t>
      </w:r>
      <w:r w:rsidR="00096C16" w:rsidRPr="001D200B">
        <w:t xml:space="preserve"> kWh</w:t>
      </w:r>
    </w:p>
    <w:p w:rsidR="00E92580" w:rsidRPr="001D200B" w:rsidRDefault="00E92580" w:rsidP="00DC4FF7">
      <w:pPr>
        <w:spacing w:after="0" w:line="240" w:lineRule="auto"/>
      </w:pPr>
      <w:r w:rsidRPr="001D200B">
        <w:rPr>
          <w:b/>
        </w:rPr>
        <w:t>kV [kilowolt]</w:t>
      </w:r>
      <w:r w:rsidRPr="001D200B">
        <w:t xml:space="preserve"> – jednostka napięcia elektrycznego</w:t>
      </w:r>
    </w:p>
    <w:p w:rsidR="00E92580" w:rsidRPr="001D200B" w:rsidRDefault="00E92580" w:rsidP="00DC4FF7">
      <w:pPr>
        <w:spacing w:after="0" w:line="240" w:lineRule="auto"/>
      </w:pPr>
      <w:r w:rsidRPr="001D200B">
        <w:rPr>
          <w:b/>
        </w:rPr>
        <w:t>VA [woltamper]</w:t>
      </w:r>
      <w:r w:rsidRPr="001D200B">
        <w:t xml:space="preserve"> – jednostka miary mocy pozornej</w:t>
      </w:r>
    </w:p>
    <w:p w:rsidR="00E92580" w:rsidRPr="001D200B" w:rsidRDefault="00E92580" w:rsidP="00DC4FF7">
      <w:pPr>
        <w:spacing w:after="0" w:line="240" w:lineRule="auto"/>
        <w:rPr>
          <w:bCs/>
          <w:szCs w:val="24"/>
        </w:rPr>
      </w:pPr>
      <w:r w:rsidRPr="001D200B">
        <w:rPr>
          <w:b/>
        </w:rPr>
        <w:t>MVA [megawoltoamper]</w:t>
      </w:r>
      <w:r w:rsidRPr="001D200B">
        <w:t xml:space="preserve"> – jednostka pochodna VA, użyta do określenia mocy znamionowej transformatorów energetycznych</w:t>
      </w:r>
    </w:p>
    <w:p w:rsidR="00DC4FF7" w:rsidRPr="001D200B" w:rsidRDefault="00DC4FF7" w:rsidP="00DC4FF7">
      <w:pPr>
        <w:spacing w:after="0" w:line="240" w:lineRule="auto"/>
        <w:rPr>
          <w:bCs/>
          <w:szCs w:val="24"/>
        </w:rPr>
      </w:pPr>
      <w:r w:rsidRPr="001D200B">
        <w:rPr>
          <w:b/>
          <w:bCs/>
          <w:szCs w:val="24"/>
        </w:rPr>
        <w:t>Mg</w:t>
      </w:r>
      <w:r w:rsidRPr="001D200B">
        <w:rPr>
          <w:bCs/>
          <w:szCs w:val="24"/>
        </w:rPr>
        <w:t xml:space="preserve"> </w:t>
      </w:r>
      <w:r w:rsidRPr="001D200B">
        <w:rPr>
          <w:b/>
          <w:bCs/>
          <w:szCs w:val="24"/>
        </w:rPr>
        <w:t>[megagram]</w:t>
      </w:r>
      <w:r w:rsidRPr="001D200B">
        <w:rPr>
          <w:bCs/>
          <w:szCs w:val="24"/>
        </w:rPr>
        <w:t xml:space="preserve"> – jednostka masy, </w:t>
      </w:r>
      <w:r w:rsidR="009B58D2" w:rsidRPr="001D200B">
        <w:rPr>
          <w:bCs/>
          <w:szCs w:val="24"/>
        </w:rPr>
        <w:t>tzw.</w:t>
      </w:r>
      <w:r w:rsidRPr="001D200B">
        <w:rPr>
          <w:bCs/>
          <w:szCs w:val="24"/>
        </w:rPr>
        <w:t xml:space="preserve"> tona </w:t>
      </w:r>
    </w:p>
    <w:p w:rsidR="00DC4FF7" w:rsidRPr="001D200B" w:rsidRDefault="00096C16" w:rsidP="00DC4FF7">
      <w:pPr>
        <w:spacing w:after="0" w:line="240" w:lineRule="auto"/>
      </w:pPr>
      <w:r w:rsidRPr="001D200B">
        <w:rPr>
          <w:b/>
          <w:bCs/>
          <w:szCs w:val="24"/>
        </w:rPr>
        <w:t>J [</w:t>
      </w:r>
      <w:r w:rsidRPr="001D200B">
        <w:rPr>
          <w:b/>
        </w:rPr>
        <w:t>dżul]</w:t>
      </w:r>
      <w:r w:rsidRPr="001D200B">
        <w:t xml:space="preserve"> - jednostka </w:t>
      </w:r>
      <w:hyperlink r:id="rId15" w:tooltip="Praca (fizyka)" w:history="1">
        <w:r w:rsidRPr="001D200B">
          <w:t>pracy</w:t>
        </w:r>
      </w:hyperlink>
      <w:r w:rsidRPr="001D200B">
        <w:t xml:space="preserve">, </w:t>
      </w:r>
      <w:hyperlink r:id="rId16" w:tooltip="Energia (fizyka)" w:history="1">
        <w:r w:rsidRPr="001D200B">
          <w:t>energii</w:t>
        </w:r>
      </w:hyperlink>
      <w:r w:rsidRPr="001D200B">
        <w:t xml:space="preserve"> oraz </w:t>
      </w:r>
      <w:hyperlink r:id="rId17" w:tooltip="Ciepło" w:history="1">
        <w:r w:rsidRPr="001D200B">
          <w:t>ciepła</w:t>
        </w:r>
      </w:hyperlink>
      <w:r w:rsidRPr="001D200B">
        <w:t xml:space="preserve"> w </w:t>
      </w:r>
      <w:hyperlink r:id="rId18" w:tooltip="Układ SI" w:history="1">
        <w:r w:rsidRPr="001D200B">
          <w:t>układzie SI</w:t>
        </w:r>
      </w:hyperlink>
    </w:p>
    <w:p w:rsidR="00096C16" w:rsidRPr="001D200B" w:rsidRDefault="00096C16" w:rsidP="00DC4FF7">
      <w:pPr>
        <w:spacing w:after="0" w:line="240" w:lineRule="auto"/>
      </w:pPr>
      <w:r w:rsidRPr="001D200B">
        <w:rPr>
          <w:b/>
        </w:rPr>
        <w:t>MJ [megadżul]</w:t>
      </w:r>
      <w:r w:rsidRPr="001D200B">
        <w:t xml:space="preserve"> - jednostka </w:t>
      </w:r>
      <w:hyperlink r:id="rId19" w:tooltip="Praca (fizyka)" w:history="1">
        <w:r w:rsidRPr="001D200B">
          <w:t>pracy</w:t>
        </w:r>
      </w:hyperlink>
      <w:r w:rsidRPr="001D200B">
        <w:t xml:space="preserve">, </w:t>
      </w:r>
      <w:hyperlink r:id="rId20" w:tooltip="Energia (fizyka)" w:history="1">
        <w:r w:rsidRPr="001D200B">
          <w:t>energii</w:t>
        </w:r>
      </w:hyperlink>
      <w:r w:rsidRPr="001D200B">
        <w:t xml:space="preserve"> oraz </w:t>
      </w:r>
      <w:hyperlink r:id="rId21" w:tooltip="Ciepło" w:history="1">
        <w:r w:rsidRPr="001D200B">
          <w:t>ciepła</w:t>
        </w:r>
      </w:hyperlink>
      <w:r w:rsidRPr="001D200B">
        <w:t xml:space="preserve"> w </w:t>
      </w:r>
      <w:hyperlink r:id="rId22" w:tooltip="Układ SI" w:history="1">
        <w:r w:rsidRPr="001D200B">
          <w:t>układzie SI</w:t>
        </w:r>
      </w:hyperlink>
      <w:r w:rsidRPr="001D200B">
        <w:t>, 10</w:t>
      </w:r>
      <w:r w:rsidRPr="001D200B">
        <w:rPr>
          <w:vertAlign w:val="superscript"/>
        </w:rPr>
        <w:t>3</w:t>
      </w:r>
      <w:r w:rsidRPr="001D200B">
        <w:t xml:space="preserve"> J (dżula)</w:t>
      </w:r>
    </w:p>
    <w:p w:rsidR="00096C16" w:rsidRPr="001D200B" w:rsidRDefault="00096C16" w:rsidP="00DC4FF7">
      <w:pPr>
        <w:spacing w:after="0" w:line="240" w:lineRule="auto"/>
        <w:rPr>
          <w:b/>
          <w:bCs/>
          <w:szCs w:val="24"/>
        </w:rPr>
      </w:pPr>
      <w:r w:rsidRPr="001D200B">
        <w:rPr>
          <w:b/>
          <w:bCs/>
          <w:szCs w:val="24"/>
        </w:rPr>
        <w:t>GJ [gigadżul]</w:t>
      </w:r>
      <w:r w:rsidRPr="001D200B">
        <w:rPr>
          <w:bCs/>
          <w:szCs w:val="24"/>
        </w:rPr>
        <w:t xml:space="preserve"> - </w:t>
      </w:r>
      <w:r w:rsidRPr="001D200B">
        <w:t xml:space="preserve">jednostka </w:t>
      </w:r>
      <w:hyperlink r:id="rId23" w:tooltip="Praca (fizyka)" w:history="1">
        <w:r w:rsidRPr="001D200B">
          <w:t>pracy</w:t>
        </w:r>
      </w:hyperlink>
      <w:r w:rsidRPr="001D200B">
        <w:t xml:space="preserve">, </w:t>
      </w:r>
      <w:hyperlink r:id="rId24" w:tooltip="Energia (fizyka)" w:history="1">
        <w:r w:rsidRPr="001D200B">
          <w:t>energii</w:t>
        </w:r>
      </w:hyperlink>
      <w:r w:rsidRPr="001D200B">
        <w:t xml:space="preserve"> oraz </w:t>
      </w:r>
      <w:hyperlink r:id="rId25" w:tooltip="Ciepło" w:history="1">
        <w:r w:rsidRPr="001D200B">
          <w:t>ciepła</w:t>
        </w:r>
      </w:hyperlink>
      <w:r w:rsidRPr="001D200B">
        <w:t xml:space="preserve"> w </w:t>
      </w:r>
      <w:hyperlink r:id="rId26" w:tooltip="Układ SI" w:history="1">
        <w:r w:rsidRPr="001D200B">
          <w:t>układzie SI</w:t>
        </w:r>
      </w:hyperlink>
      <w:r w:rsidRPr="001D200B">
        <w:t>, 10</w:t>
      </w:r>
      <w:r w:rsidRPr="001D200B">
        <w:rPr>
          <w:vertAlign w:val="superscript"/>
        </w:rPr>
        <w:t>9</w:t>
      </w:r>
      <w:r w:rsidRPr="001D200B">
        <w:t xml:space="preserve"> J (dżula)</w:t>
      </w:r>
    </w:p>
    <w:p w:rsidR="00DC4FF7" w:rsidRPr="001D200B" w:rsidRDefault="00F911D7" w:rsidP="00DC4FF7">
      <w:pPr>
        <w:spacing w:after="0" w:line="240" w:lineRule="auto"/>
        <w:rPr>
          <w:bCs/>
          <w:szCs w:val="24"/>
        </w:rPr>
      </w:pPr>
      <w:r w:rsidRPr="001D200B">
        <w:rPr>
          <w:b/>
        </w:rPr>
        <w:t>TJ [teradżul]</w:t>
      </w:r>
      <w:r w:rsidRPr="001D200B">
        <w:t xml:space="preserve"> - jednostka </w:t>
      </w:r>
      <w:hyperlink r:id="rId27" w:tooltip="Praca (fizyka)" w:history="1">
        <w:r w:rsidRPr="001D200B">
          <w:t>pracy</w:t>
        </w:r>
      </w:hyperlink>
      <w:r w:rsidRPr="001D200B">
        <w:t xml:space="preserve">, </w:t>
      </w:r>
      <w:hyperlink r:id="rId28" w:tooltip="Energia (fizyka)" w:history="1">
        <w:r w:rsidRPr="001D200B">
          <w:t>energii</w:t>
        </w:r>
      </w:hyperlink>
      <w:r w:rsidRPr="001D200B">
        <w:t xml:space="preserve"> oraz </w:t>
      </w:r>
      <w:hyperlink r:id="rId29" w:tooltip="Ciepło" w:history="1">
        <w:r w:rsidRPr="001D200B">
          <w:t>ciepła</w:t>
        </w:r>
      </w:hyperlink>
      <w:r w:rsidRPr="001D200B">
        <w:t xml:space="preserve"> w </w:t>
      </w:r>
      <w:hyperlink r:id="rId30" w:tooltip="Układ SI" w:history="1">
        <w:r w:rsidRPr="001D200B">
          <w:t>układzie SI</w:t>
        </w:r>
      </w:hyperlink>
      <w:r w:rsidRPr="001D200B">
        <w:t>, 10</w:t>
      </w:r>
      <w:r w:rsidRPr="001D200B">
        <w:rPr>
          <w:vertAlign w:val="superscript"/>
        </w:rPr>
        <w:t>12</w:t>
      </w:r>
      <w:r w:rsidRPr="001D200B">
        <w:t>J (dżula)</w:t>
      </w:r>
    </w:p>
    <w:p w:rsidR="00DC4FF7" w:rsidRPr="001D200B" w:rsidRDefault="00DC4FF7">
      <w:pPr>
        <w:spacing w:line="240" w:lineRule="auto"/>
        <w:jc w:val="left"/>
        <w:rPr>
          <w:rFonts w:cstheme="minorHAnsi"/>
        </w:rPr>
      </w:pPr>
    </w:p>
    <w:p w:rsidR="003E004A" w:rsidRPr="001D200B" w:rsidRDefault="003E004A">
      <w:pPr>
        <w:spacing w:line="240" w:lineRule="auto"/>
        <w:jc w:val="left"/>
        <w:rPr>
          <w:rFonts w:cstheme="minorHAnsi"/>
        </w:rPr>
      </w:pPr>
    </w:p>
    <w:p w:rsidR="00DC4FF7" w:rsidRPr="001D200B" w:rsidRDefault="00DC4FF7">
      <w:pPr>
        <w:spacing w:line="240" w:lineRule="auto"/>
        <w:jc w:val="left"/>
        <w:rPr>
          <w:rFonts w:cstheme="minorHAnsi"/>
        </w:rPr>
      </w:pPr>
    </w:p>
    <w:p w:rsidR="00DC4FF7" w:rsidRPr="001D200B" w:rsidRDefault="00DC4FF7">
      <w:pPr>
        <w:spacing w:line="240" w:lineRule="auto"/>
        <w:jc w:val="left"/>
        <w:rPr>
          <w:rFonts w:cstheme="minorHAnsi"/>
        </w:rPr>
      </w:pPr>
    </w:p>
    <w:p w:rsidR="003E004A" w:rsidRPr="001D200B" w:rsidRDefault="003E004A">
      <w:pPr>
        <w:spacing w:line="240" w:lineRule="auto"/>
        <w:jc w:val="left"/>
        <w:rPr>
          <w:rFonts w:cstheme="minorHAnsi"/>
          <w:highlight w:val="yellow"/>
        </w:rPr>
      </w:pPr>
    </w:p>
    <w:p w:rsidR="003E004A" w:rsidRPr="001D200B" w:rsidRDefault="003E004A">
      <w:pPr>
        <w:spacing w:line="240" w:lineRule="auto"/>
        <w:jc w:val="left"/>
        <w:rPr>
          <w:rFonts w:cstheme="minorHAnsi"/>
          <w:highlight w:val="yellow"/>
        </w:rPr>
      </w:pPr>
    </w:p>
    <w:p w:rsidR="003E004A" w:rsidRPr="001D200B" w:rsidRDefault="003E004A">
      <w:pPr>
        <w:spacing w:line="240" w:lineRule="auto"/>
        <w:jc w:val="left"/>
        <w:rPr>
          <w:rFonts w:cstheme="minorHAnsi"/>
          <w:highlight w:val="yellow"/>
        </w:rPr>
      </w:pPr>
    </w:p>
    <w:p w:rsidR="00DC4FF7" w:rsidRPr="001D200B" w:rsidRDefault="00DC4FF7">
      <w:pPr>
        <w:spacing w:before="0" w:after="0" w:line="240" w:lineRule="auto"/>
        <w:jc w:val="left"/>
        <w:rPr>
          <w:rFonts w:cstheme="minorHAnsi"/>
          <w:highlight w:val="yellow"/>
        </w:rPr>
      </w:pPr>
      <w:r w:rsidRPr="001D200B">
        <w:rPr>
          <w:rFonts w:cstheme="minorHAnsi"/>
          <w:highlight w:val="yellow"/>
        </w:rPr>
        <w:br w:type="page"/>
      </w:r>
    </w:p>
    <w:p w:rsidR="00551741" w:rsidRPr="001D200B" w:rsidRDefault="00551741" w:rsidP="008E3932">
      <w:pPr>
        <w:pStyle w:val="Nagwek1"/>
      </w:pPr>
      <w:bookmarkStart w:id="0" w:name="_Toc31972808"/>
      <w:r w:rsidRPr="001D200B">
        <w:lastRenderedPageBreak/>
        <w:t>I. Informacje ogólne</w:t>
      </w:r>
      <w:bookmarkEnd w:id="0"/>
    </w:p>
    <w:p w:rsidR="00EA16D5" w:rsidRPr="001D200B" w:rsidRDefault="00EA16D5" w:rsidP="008E3932">
      <w:pPr>
        <w:pStyle w:val="Nagwek2"/>
        <w:rPr>
          <w:rFonts w:cstheme="minorHAnsi"/>
          <w:i/>
        </w:rPr>
      </w:pPr>
      <w:bookmarkStart w:id="1" w:name="_Toc264011551"/>
      <w:bookmarkStart w:id="2" w:name="_Toc23419980"/>
      <w:bookmarkStart w:id="3" w:name="_Toc31972809"/>
      <w:r w:rsidRPr="001D200B">
        <w:rPr>
          <w:rFonts w:cstheme="minorHAnsi"/>
        </w:rPr>
        <w:t xml:space="preserve">1.Podstawy prawne opracowania </w:t>
      </w:r>
      <w:r w:rsidRPr="001D200B">
        <w:rPr>
          <w:rFonts w:cstheme="minorHAnsi"/>
          <w:i/>
        </w:rPr>
        <w:t>Założeń do planu (...)</w:t>
      </w:r>
      <w:bookmarkEnd w:id="1"/>
      <w:bookmarkEnd w:id="2"/>
      <w:bookmarkEnd w:id="3"/>
    </w:p>
    <w:p w:rsidR="00EA16D5" w:rsidRPr="001D200B" w:rsidRDefault="00EA16D5" w:rsidP="00EA16D5">
      <w:r w:rsidRPr="001D200B">
        <w:t xml:space="preserve">Niniejsze </w:t>
      </w:r>
      <w:r w:rsidRPr="001D200B">
        <w:rPr>
          <w:i/>
        </w:rPr>
        <w:t>Założenia do planu (...)</w:t>
      </w:r>
      <w:r w:rsidRPr="001D200B">
        <w:t xml:space="preserve"> opracowane są w oparciu o art.7, ust. 1 pkt 3 ustawy o samorządzie gminnym oraz art. 18 i 19 ustawy prawo energetyczne. </w:t>
      </w:r>
    </w:p>
    <w:p w:rsidR="00EA16D5" w:rsidRPr="001D200B" w:rsidRDefault="00EA16D5" w:rsidP="00EA16D5">
      <w:pPr>
        <w:spacing w:line="300" w:lineRule="exact"/>
        <w:rPr>
          <w:rFonts w:cstheme="minorHAnsi"/>
        </w:rPr>
      </w:pPr>
      <w:r w:rsidRPr="001D200B">
        <w:rPr>
          <w:rFonts w:cstheme="minorHAnsi"/>
        </w:rPr>
        <w:t>Wyciągi z wymienionych ustaw zamieszczone są poniżej.</w:t>
      </w:r>
    </w:p>
    <w:p w:rsidR="00EA16D5" w:rsidRPr="001D200B" w:rsidRDefault="00EA16D5" w:rsidP="00EA16D5">
      <w:pPr>
        <w:shd w:val="clear" w:color="auto" w:fill="F2F2F2" w:themeFill="background1" w:themeFillShade="F2"/>
        <w:rPr>
          <w:rFonts w:cstheme="minorHAnsi"/>
          <w:b/>
          <w:i/>
          <w:u w:val="single"/>
        </w:rPr>
      </w:pPr>
      <w:r w:rsidRPr="001D200B">
        <w:rPr>
          <w:rFonts w:cstheme="minorHAnsi"/>
          <w:b/>
          <w:i/>
          <w:u w:val="single"/>
        </w:rPr>
        <w:t xml:space="preserve">Zapis z ustawy z dnia 08 marca 1990 o samorządzie gminnym (tj. Dz. U. </w:t>
      </w:r>
      <w:r w:rsidR="003F6508" w:rsidRPr="001D200B">
        <w:rPr>
          <w:rFonts w:cstheme="minorHAnsi"/>
          <w:b/>
          <w:i/>
          <w:u w:val="single"/>
        </w:rPr>
        <w:t>2020</w:t>
      </w:r>
      <w:r w:rsidRPr="001D200B">
        <w:rPr>
          <w:rFonts w:cstheme="minorHAnsi"/>
          <w:b/>
          <w:i/>
          <w:u w:val="single"/>
        </w:rPr>
        <w:t xml:space="preserve"> poz.</w:t>
      </w:r>
      <w:r w:rsidR="003F6508" w:rsidRPr="001D200B">
        <w:rPr>
          <w:rFonts w:cstheme="minorHAnsi"/>
          <w:b/>
          <w:i/>
          <w:u w:val="single"/>
        </w:rPr>
        <w:t>713</w:t>
      </w:r>
      <w:r w:rsidRPr="001D200B">
        <w:rPr>
          <w:rFonts w:cstheme="minorHAnsi"/>
          <w:b/>
          <w:i/>
          <w:u w:val="single"/>
        </w:rPr>
        <w:t>)</w:t>
      </w:r>
    </w:p>
    <w:p w:rsidR="00EA16D5" w:rsidRPr="001D200B" w:rsidRDefault="00EA16D5" w:rsidP="00EA16D5">
      <w:pPr>
        <w:rPr>
          <w:rStyle w:val="Pogrubienie"/>
          <w:rFonts w:ascii="Calibri" w:hAnsi="Calibri" w:cs="Calibri"/>
          <w:b w:val="0"/>
          <w:szCs w:val="24"/>
        </w:rPr>
      </w:pPr>
      <w:r w:rsidRPr="001D200B">
        <w:rPr>
          <w:rStyle w:val="Pogrubienie"/>
          <w:rFonts w:ascii="Calibri" w:hAnsi="Calibri" w:cs="Calibri"/>
          <w:szCs w:val="24"/>
        </w:rPr>
        <w:t>Art. 7.</w:t>
      </w:r>
      <w:r w:rsidRPr="001D200B">
        <w:rPr>
          <w:rStyle w:val="Pogrubienie"/>
          <w:rFonts w:ascii="Calibri" w:hAnsi="Calibri" w:cs="Calibri"/>
          <w:b w:val="0"/>
          <w:szCs w:val="24"/>
        </w:rPr>
        <w:t xml:space="preserve"> 1. Zaspokajanie zbiorowych potrzeb wspólnoty należy do zadań własnych gminy. W szczególności zadania własne obejmują sprawy:</w:t>
      </w:r>
    </w:p>
    <w:p w:rsidR="00EA16D5" w:rsidRPr="001D200B" w:rsidRDefault="00EA16D5" w:rsidP="00EA16D5">
      <w:pPr>
        <w:rPr>
          <w:rStyle w:val="Pogrubienie"/>
          <w:rFonts w:ascii="Calibri" w:hAnsi="Calibri" w:cs="Calibri"/>
          <w:b w:val="0"/>
          <w:szCs w:val="24"/>
        </w:rPr>
      </w:pPr>
      <w:r w:rsidRPr="001D200B">
        <w:rPr>
          <w:rStyle w:val="Pogrubienie"/>
          <w:rFonts w:ascii="Calibri" w:hAnsi="Calibri" w:cs="Calibri"/>
          <w:b w:val="0"/>
          <w:szCs w:val="24"/>
        </w:rPr>
        <w:t>1) ładu przestrzennego, gospodarki nieruchomościami, ochrony środowiska i przyrody oraz gospodarki wodnej,</w:t>
      </w:r>
    </w:p>
    <w:p w:rsidR="00EA16D5" w:rsidRPr="001D200B" w:rsidRDefault="00EA16D5" w:rsidP="00EA16D5">
      <w:pPr>
        <w:rPr>
          <w:rStyle w:val="Pogrubienie"/>
          <w:rFonts w:ascii="Calibri" w:hAnsi="Calibri" w:cs="Calibri"/>
          <w:b w:val="0"/>
          <w:szCs w:val="24"/>
        </w:rPr>
      </w:pPr>
      <w:r w:rsidRPr="001D200B">
        <w:rPr>
          <w:rStyle w:val="Pogrubienie"/>
          <w:rFonts w:ascii="Calibri" w:hAnsi="Calibri" w:cs="Calibri"/>
          <w:b w:val="0"/>
          <w:szCs w:val="24"/>
        </w:rPr>
        <w:t>2) gminnych dróg, ulic, mostów, placów oraz organizacji ruchu drogowego,</w:t>
      </w:r>
    </w:p>
    <w:p w:rsidR="00EA16D5" w:rsidRPr="001D200B" w:rsidRDefault="00EA16D5" w:rsidP="00EA16D5">
      <w:pPr>
        <w:rPr>
          <w:rStyle w:val="Pogrubienie"/>
          <w:rFonts w:ascii="Calibri" w:hAnsi="Calibri" w:cs="Calibri"/>
          <w:b w:val="0"/>
          <w:szCs w:val="24"/>
        </w:rPr>
      </w:pPr>
      <w:r w:rsidRPr="001D200B">
        <w:rPr>
          <w:rStyle w:val="Pogrubienie"/>
          <w:rFonts w:ascii="Calibri" w:hAnsi="Calibri" w:cs="Calibri"/>
          <w:b w:val="0"/>
          <w:szCs w:val="24"/>
        </w:rPr>
        <w:t>3) wodociągów i zaopatrzenia w wodę, kanalizacji, usuwania i oczyszczania ścieków komunalnych, utrzymania czystości i porządku oraz urządzeń sanitarnych, wysypisk i unieszkodliwiania odpadów komunalnych</w:t>
      </w:r>
      <w:r w:rsidRPr="001D200B">
        <w:rPr>
          <w:rStyle w:val="Pogrubienie"/>
          <w:rFonts w:ascii="Calibri" w:hAnsi="Calibri" w:cs="Calibri"/>
          <w:szCs w:val="24"/>
        </w:rPr>
        <w:t>, zaopatrzenia w energię elektryczną i cieplną oraz gaz</w:t>
      </w:r>
      <w:r w:rsidRPr="001D200B">
        <w:rPr>
          <w:rStyle w:val="Pogrubienie"/>
          <w:rFonts w:ascii="Calibri" w:hAnsi="Calibri" w:cs="Calibri"/>
          <w:b w:val="0"/>
          <w:szCs w:val="24"/>
        </w:rPr>
        <w:t xml:space="preserve">,(…) </w:t>
      </w:r>
    </w:p>
    <w:p w:rsidR="00EA16D5" w:rsidRPr="001D200B" w:rsidRDefault="00EA16D5" w:rsidP="00714AEB">
      <w:pPr>
        <w:rPr>
          <w:rFonts w:cstheme="minorHAnsi"/>
        </w:rPr>
      </w:pPr>
      <w:r w:rsidRPr="001D200B">
        <w:rPr>
          <w:rFonts w:cstheme="minorHAnsi"/>
          <w:i/>
        </w:rPr>
        <w:t>Prawo energetyczne</w:t>
      </w:r>
      <w:r w:rsidRPr="001D200B">
        <w:rPr>
          <w:rFonts w:cstheme="minorHAnsi"/>
        </w:rPr>
        <w:t xml:space="preserve"> to bazowy dokument prawny dla gospodarki energetycznej, który określa jej kierunki i mechanizmy działania, powołuje również </w:t>
      </w:r>
      <w:r w:rsidRPr="001D200B">
        <w:rPr>
          <w:rFonts w:cstheme="minorHAnsi"/>
          <w:i/>
        </w:rPr>
        <w:t>Założenia do planu zaopatrzenia w ciepło, energię elektryczną i paliwa gazowe</w:t>
      </w:r>
      <w:r w:rsidRPr="001D200B">
        <w:rPr>
          <w:rFonts w:cstheme="minorHAnsi"/>
        </w:rPr>
        <w:t>. Poniżej zamieszczono zapisy ustawy odnoszące się do zadań gminy i opracowania planów energetycznych.</w:t>
      </w:r>
    </w:p>
    <w:p w:rsidR="00EA16D5" w:rsidRPr="001D200B" w:rsidRDefault="00EA16D5" w:rsidP="00714AEB">
      <w:pPr>
        <w:rPr>
          <w:rStyle w:val="Pogrubienie"/>
          <w:rFonts w:asciiTheme="minorHAnsi" w:hAnsiTheme="minorHAnsi" w:cstheme="minorHAnsi"/>
          <w:i/>
          <w:u w:val="single"/>
        </w:rPr>
      </w:pPr>
      <w:r w:rsidRPr="001D200B">
        <w:rPr>
          <w:rStyle w:val="Pogrubienie"/>
          <w:rFonts w:asciiTheme="minorHAnsi" w:hAnsiTheme="minorHAnsi" w:cstheme="minorHAnsi"/>
          <w:i/>
          <w:u w:val="single"/>
        </w:rPr>
        <w:t>Zapis z ustawy z dnia 10 kwietnia 1997 prawo energetyczne (tj. Dz. U. 2019 poz. 755 ze zm.)</w:t>
      </w:r>
    </w:p>
    <w:p w:rsidR="00EA16D5" w:rsidRPr="001D200B" w:rsidRDefault="00EA16D5" w:rsidP="00714AEB">
      <w:pPr>
        <w:autoSpaceDE w:val="0"/>
        <w:autoSpaceDN w:val="0"/>
        <w:adjustRightInd w:val="0"/>
        <w:rPr>
          <w:rFonts w:cstheme="minorHAnsi"/>
          <w:szCs w:val="24"/>
        </w:rPr>
      </w:pPr>
      <w:r w:rsidRPr="001D200B">
        <w:rPr>
          <w:rStyle w:val="Pogrubienie"/>
          <w:rFonts w:asciiTheme="minorHAnsi" w:hAnsiTheme="minorHAnsi" w:cstheme="minorHAnsi"/>
          <w:szCs w:val="24"/>
        </w:rPr>
        <w:t>Art. 17.</w:t>
      </w:r>
      <w:r w:rsidRPr="001D200B">
        <w:rPr>
          <w:rFonts w:cstheme="minorHAnsi"/>
          <w:b/>
          <w:bCs/>
          <w:szCs w:val="24"/>
        </w:rPr>
        <w:t xml:space="preserve"> </w:t>
      </w:r>
      <w:r w:rsidRPr="001D200B">
        <w:rPr>
          <w:rFonts w:cstheme="minorHAnsi"/>
          <w:szCs w:val="24"/>
        </w:rPr>
        <w:t>Samorząd województwa uczestniczy w planowaniu zaopatrzenia w energię i paliwa na obszarze województwa w zakresie określonym w art. 19 ust. 5 oraz bada zgodność planów zaopatrzenia w energię i paliwa z polityką energetyczną państwa.</w:t>
      </w:r>
    </w:p>
    <w:p w:rsidR="00EA16D5" w:rsidRPr="001D200B" w:rsidRDefault="00EA16D5" w:rsidP="00714AEB">
      <w:pPr>
        <w:autoSpaceDE w:val="0"/>
        <w:autoSpaceDN w:val="0"/>
        <w:adjustRightInd w:val="0"/>
        <w:rPr>
          <w:rFonts w:cstheme="minorHAnsi"/>
          <w:szCs w:val="24"/>
        </w:rPr>
      </w:pPr>
      <w:r w:rsidRPr="001D200B">
        <w:rPr>
          <w:rStyle w:val="Pogrubienie"/>
          <w:rFonts w:asciiTheme="minorHAnsi" w:hAnsiTheme="minorHAnsi" w:cstheme="minorHAnsi"/>
          <w:szCs w:val="24"/>
        </w:rPr>
        <w:t>Art. 18.</w:t>
      </w:r>
      <w:r w:rsidRPr="001D200B">
        <w:rPr>
          <w:rFonts w:cstheme="minorHAnsi"/>
          <w:b/>
          <w:bCs/>
          <w:szCs w:val="24"/>
        </w:rPr>
        <w:t xml:space="preserve"> </w:t>
      </w:r>
      <w:r w:rsidRPr="001D200B">
        <w:rPr>
          <w:rFonts w:cstheme="minorHAnsi"/>
          <w:szCs w:val="24"/>
        </w:rPr>
        <w:t>1. Do zadań własnych gminy w zakresie zaopatrzenia w energię elektryczną, ciepło i</w:t>
      </w:r>
      <w:r w:rsidR="004237F5" w:rsidRPr="001D200B">
        <w:rPr>
          <w:rFonts w:cstheme="minorHAnsi"/>
          <w:szCs w:val="24"/>
        </w:rPr>
        <w:t> </w:t>
      </w:r>
      <w:r w:rsidRPr="001D200B">
        <w:rPr>
          <w:rFonts w:cstheme="minorHAnsi"/>
          <w:szCs w:val="24"/>
        </w:rPr>
        <w:t>paliwa gazowe należy:</w:t>
      </w:r>
    </w:p>
    <w:p w:rsidR="00EA16D5" w:rsidRPr="001D200B" w:rsidRDefault="00EA16D5" w:rsidP="00714AEB">
      <w:pPr>
        <w:autoSpaceDE w:val="0"/>
        <w:autoSpaceDN w:val="0"/>
        <w:adjustRightInd w:val="0"/>
        <w:ind w:left="284" w:hanging="284"/>
        <w:rPr>
          <w:rFonts w:cstheme="minorHAnsi"/>
          <w:szCs w:val="24"/>
        </w:rPr>
      </w:pPr>
      <w:r w:rsidRPr="001D200B">
        <w:rPr>
          <w:rFonts w:cstheme="minorHAnsi"/>
          <w:szCs w:val="24"/>
        </w:rPr>
        <w:t>1) planowanie i organizacja zaopatrzenia w ciepło, energię elektryczną i paliwa gazowe na obszarze gminy;</w:t>
      </w:r>
    </w:p>
    <w:p w:rsidR="00EA16D5" w:rsidRPr="001D200B" w:rsidRDefault="00EA16D5" w:rsidP="00714AEB">
      <w:pPr>
        <w:autoSpaceDE w:val="0"/>
        <w:autoSpaceDN w:val="0"/>
        <w:adjustRightInd w:val="0"/>
        <w:ind w:left="284" w:hanging="284"/>
        <w:rPr>
          <w:rFonts w:cstheme="minorHAnsi"/>
          <w:szCs w:val="24"/>
        </w:rPr>
      </w:pPr>
      <w:r w:rsidRPr="001D200B">
        <w:rPr>
          <w:rFonts w:cstheme="minorHAnsi"/>
          <w:szCs w:val="24"/>
        </w:rPr>
        <w:t xml:space="preserve">2) planowanie oświetlenia znajdujących się na terenie gminy; </w:t>
      </w:r>
    </w:p>
    <w:p w:rsidR="00936EC2" w:rsidRPr="001D200B" w:rsidRDefault="00936EC2" w:rsidP="00714AEB">
      <w:pPr>
        <w:pStyle w:val="Punktatory2"/>
        <w:numPr>
          <w:ilvl w:val="0"/>
          <w:numId w:val="34"/>
        </w:numPr>
        <w:spacing w:line="240" w:lineRule="auto"/>
      </w:pPr>
      <w:r w:rsidRPr="001D200B">
        <w:t>miejsc publicznych,</w:t>
      </w:r>
    </w:p>
    <w:p w:rsidR="00936EC2" w:rsidRPr="001D200B" w:rsidRDefault="00936EC2" w:rsidP="00714AEB">
      <w:pPr>
        <w:pStyle w:val="Punktatory2"/>
        <w:numPr>
          <w:ilvl w:val="0"/>
          <w:numId w:val="34"/>
        </w:numPr>
        <w:spacing w:line="240" w:lineRule="auto"/>
      </w:pPr>
      <w:r w:rsidRPr="001D200B">
        <w:t>dróg gminnych, dróg powiatowych i dróg wojewódzkich,</w:t>
      </w:r>
    </w:p>
    <w:p w:rsidR="00936EC2" w:rsidRPr="001D200B" w:rsidRDefault="00936EC2" w:rsidP="00714AEB">
      <w:pPr>
        <w:pStyle w:val="Punktatory2"/>
        <w:numPr>
          <w:ilvl w:val="0"/>
          <w:numId w:val="34"/>
        </w:numPr>
        <w:spacing w:line="240" w:lineRule="auto"/>
        <w:ind w:left="714" w:hanging="357"/>
      </w:pPr>
      <w:r w:rsidRPr="001D200B">
        <w:lastRenderedPageBreak/>
        <w:t>dróg krajowych, innych niż autostrady i drogi ekspresowe w rozumieniu ustawy z dnia 21 marca 1985 r. o drogach publicznych (</w:t>
      </w:r>
      <w:r w:rsidR="00002FC3" w:rsidRPr="001D200B">
        <w:t>t.j. Dz. U. z 2020 r. poz. 470</w:t>
      </w:r>
      <w:r w:rsidR="00530475" w:rsidRPr="001D200B">
        <w:t xml:space="preserve"> ze zm.</w:t>
      </w:r>
      <w:r w:rsidRPr="001D200B">
        <w:t>), przebiegających w granicach terenu zabudowy,</w:t>
      </w:r>
    </w:p>
    <w:p w:rsidR="00936EC2" w:rsidRPr="001D200B" w:rsidRDefault="00936EC2" w:rsidP="00714AEB">
      <w:pPr>
        <w:pStyle w:val="Punktatory2"/>
        <w:numPr>
          <w:ilvl w:val="0"/>
          <w:numId w:val="34"/>
        </w:numPr>
        <w:spacing w:line="240" w:lineRule="auto"/>
        <w:ind w:left="714" w:hanging="357"/>
      </w:pPr>
      <w:r w:rsidRPr="001D200B">
        <w:t>części dróg krajowych, innych niż autostrady i drogi ekspresowe w rozumieniu ustawy z dnia 27 października 1994 r. o autostradach płatnych oraz o Krajowym Funduszu Drogowym (</w:t>
      </w:r>
      <w:r w:rsidR="00002FC3" w:rsidRPr="001D200B">
        <w:t>t.j. Dz. U. z 2020 r. poz. 72</w:t>
      </w:r>
      <w:r w:rsidR="004D0524" w:rsidRPr="001D200B">
        <w:t xml:space="preserve"> ze zm.</w:t>
      </w:r>
      <w:r w:rsidRPr="001D200B">
        <w:t>), wymagających odrębnego oświetlenia:</w:t>
      </w:r>
    </w:p>
    <w:p w:rsidR="00EA16D5" w:rsidRPr="001D200B" w:rsidRDefault="00EA16D5" w:rsidP="00F21741">
      <w:pPr>
        <w:pStyle w:val="Punktatory1"/>
        <w:rPr>
          <w:szCs w:val="24"/>
        </w:rPr>
      </w:pPr>
      <w:r w:rsidRPr="001D200B">
        <w:rPr>
          <w:szCs w:val="24"/>
        </w:rPr>
        <w:t>przeznaczonych do ruchu pieszych lub rowerów,</w:t>
      </w:r>
    </w:p>
    <w:p w:rsidR="00EA16D5" w:rsidRPr="001D200B" w:rsidRDefault="00EA16D5" w:rsidP="00F21741">
      <w:pPr>
        <w:pStyle w:val="Punktatory1"/>
        <w:rPr>
          <w:szCs w:val="24"/>
        </w:rPr>
      </w:pPr>
      <w:r w:rsidRPr="001D200B">
        <w:rPr>
          <w:szCs w:val="24"/>
        </w:rPr>
        <w:t>stanowiących dodatkowe jezdnie obsługujące ruch z terenów przyległych do pasa drogowego drogi krajowej,</w:t>
      </w:r>
    </w:p>
    <w:p w:rsidR="00EA16D5" w:rsidRPr="001D200B" w:rsidRDefault="00EA16D5" w:rsidP="00EA16D5">
      <w:pPr>
        <w:pStyle w:val="Punktatory2"/>
        <w:numPr>
          <w:ilvl w:val="0"/>
          <w:numId w:val="0"/>
        </w:numPr>
        <w:spacing w:line="240" w:lineRule="auto"/>
        <w:ind w:left="170"/>
        <w:rPr>
          <w:szCs w:val="24"/>
        </w:rPr>
      </w:pPr>
      <w:r w:rsidRPr="001D200B">
        <w:rPr>
          <w:szCs w:val="24"/>
        </w:rPr>
        <w:t>3) finansowanie oświetlenia znajdujących się na terenie gminy:</w:t>
      </w:r>
    </w:p>
    <w:p w:rsidR="00EA16D5" w:rsidRPr="001D200B" w:rsidRDefault="00EA16D5" w:rsidP="00412E46">
      <w:pPr>
        <w:pStyle w:val="Punktatory2"/>
        <w:numPr>
          <w:ilvl w:val="0"/>
          <w:numId w:val="19"/>
        </w:numPr>
        <w:spacing w:line="240" w:lineRule="auto"/>
        <w:ind w:left="714" w:hanging="357"/>
        <w:rPr>
          <w:szCs w:val="24"/>
        </w:rPr>
      </w:pPr>
      <w:r w:rsidRPr="001D200B">
        <w:rPr>
          <w:szCs w:val="24"/>
        </w:rPr>
        <w:t>ulic,</w:t>
      </w:r>
    </w:p>
    <w:p w:rsidR="00EA16D5" w:rsidRPr="001D200B" w:rsidRDefault="00EA16D5" w:rsidP="00412E46">
      <w:pPr>
        <w:pStyle w:val="Punktatory2"/>
        <w:numPr>
          <w:ilvl w:val="0"/>
          <w:numId w:val="19"/>
        </w:numPr>
        <w:spacing w:line="240" w:lineRule="auto"/>
        <w:ind w:left="714" w:hanging="357"/>
        <w:rPr>
          <w:szCs w:val="24"/>
        </w:rPr>
      </w:pPr>
      <w:r w:rsidRPr="001D200B">
        <w:rPr>
          <w:szCs w:val="24"/>
        </w:rPr>
        <w:t>placów,</w:t>
      </w:r>
    </w:p>
    <w:p w:rsidR="00EA16D5" w:rsidRPr="001D200B" w:rsidRDefault="00EA16D5" w:rsidP="00412E46">
      <w:pPr>
        <w:pStyle w:val="Punktatory2"/>
        <w:numPr>
          <w:ilvl w:val="0"/>
          <w:numId w:val="19"/>
        </w:numPr>
        <w:spacing w:line="240" w:lineRule="auto"/>
        <w:ind w:left="714" w:hanging="357"/>
        <w:rPr>
          <w:szCs w:val="24"/>
        </w:rPr>
      </w:pPr>
      <w:r w:rsidRPr="001D200B">
        <w:rPr>
          <w:szCs w:val="24"/>
        </w:rPr>
        <w:t>dróg gminnych, dróg powiatowych i dróg wojewódzkich,</w:t>
      </w:r>
    </w:p>
    <w:p w:rsidR="00EA16D5" w:rsidRPr="001D200B" w:rsidRDefault="00EA16D5" w:rsidP="00412E46">
      <w:pPr>
        <w:pStyle w:val="Punktatory2"/>
        <w:numPr>
          <w:ilvl w:val="0"/>
          <w:numId w:val="19"/>
        </w:numPr>
        <w:spacing w:line="240" w:lineRule="auto"/>
        <w:ind w:left="714" w:hanging="357"/>
        <w:rPr>
          <w:szCs w:val="24"/>
        </w:rPr>
      </w:pPr>
      <w:r w:rsidRPr="001D200B">
        <w:rPr>
          <w:szCs w:val="24"/>
        </w:rPr>
        <w:t>dróg krajowych, innych niż autostrady i drogi ekspresowe w rozumieniu ustawy z dnia 21 marca 1985 r. o drogach publicznych, przebiegających w granicach terenu zabudowy,</w:t>
      </w:r>
    </w:p>
    <w:p w:rsidR="00EA16D5" w:rsidRPr="001D200B" w:rsidRDefault="00EA16D5" w:rsidP="00412E46">
      <w:pPr>
        <w:pStyle w:val="Punktatory2"/>
        <w:numPr>
          <w:ilvl w:val="0"/>
          <w:numId w:val="19"/>
        </w:numPr>
        <w:spacing w:line="240" w:lineRule="auto"/>
        <w:ind w:left="714" w:hanging="357"/>
        <w:rPr>
          <w:szCs w:val="24"/>
        </w:rPr>
      </w:pPr>
      <w:r w:rsidRPr="001D200B">
        <w:rPr>
          <w:szCs w:val="24"/>
        </w:rPr>
        <w:t>części dróg krajowych, innych niż autostrady i drogi ekspresowe w rozumieniu ustawy z dnia 27 października 1994 r. o autostradach płatnych oraz o Krajowym Funduszu Drogowym, wymagających odrębnego oświetlenia:</w:t>
      </w:r>
    </w:p>
    <w:p w:rsidR="00EA16D5" w:rsidRPr="001D200B" w:rsidRDefault="00EA16D5" w:rsidP="00F21741">
      <w:pPr>
        <w:pStyle w:val="Punktatory1"/>
        <w:rPr>
          <w:szCs w:val="24"/>
        </w:rPr>
      </w:pPr>
      <w:r w:rsidRPr="001D200B">
        <w:rPr>
          <w:szCs w:val="24"/>
        </w:rPr>
        <w:t>przeznaczonych do ruchu pieszych lub rowerów,</w:t>
      </w:r>
    </w:p>
    <w:p w:rsidR="00EA16D5" w:rsidRPr="001D200B" w:rsidRDefault="00EA16D5" w:rsidP="00F21741">
      <w:pPr>
        <w:pStyle w:val="Punktatory1"/>
        <w:rPr>
          <w:szCs w:val="24"/>
        </w:rPr>
      </w:pPr>
      <w:r w:rsidRPr="001D200B">
        <w:rPr>
          <w:szCs w:val="24"/>
        </w:rPr>
        <w:t>stanowiących dodatkowe jezdnie obsługujące ruch z terenów przyległych do pasa drogowego drogi krajowej</w:t>
      </w:r>
      <w:r w:rsidR="008E3932" w:rsidRPr="001D200B">
        <w:rPr>
          <w:szCs w:val="24"/>
        </w:rPr>
        <w:t>.</w:t>
      </w:r>
    </w:p>
    <w:p w:rsidR="00EA16D5" w:rsidRPr="001D200B" w:rsidRDefault="00EA16D5" w:rsidP="00EA16D5">
      <w:pPr>
        <w:autoSpaceDE w:val="0"/>
        <w:autoSpaceDN w:val="0"/>
        <w:adjustRightInd w:val="0"/>
        <w:ind w:left="284" w:hanging="284"/>
        <w:rPr>
          <w:rFonts w:cstheme="minorHAnsi"/>
          <w:szCs w:val="24"/>
        </w:rPr>
      </w:pPr>
      <w:r w:rsidRPr="001D200B">
        <w:rPr>
          <w:rFonts w:cstheme="minorHAnsi"/>
          <w:szCs w:val="24"/>
        </w:rPr>
        <w:t>4) planowanie i organizacja działań mających na celu racjonalizację zużycia energii i promocję rozwiązań zmniejszających zużycie energii na obszarze gminy;</w:t>
      </w:r>
    </w:p>
    <w:p w:rsidR="00EA16D5" w:rsidRPr="001D200B" w:rsidRDefault="00EA16D5" w:rsidP="00EA16D5">
      <w:pPr>
        <w:autoSpaceDE w:val="0"/>
        <w:autoSpaceDN w:val="0"/>
        <w:adjustRightInd w:val="0"/>
        <w:ind w:left="284" w:hanging="284"/>
        <w:rPr>
          <w:rFonts w:cstheme="minorHAnsi"/>
          <w:szCs w:val="24"/>
        </w:rPr>
      </w:pPr>
      <w:r w:rsidRPr="001D200B">
        <w:rPr>
          <w:rFonts w:cstheme="minorHAnsi"/>
          <w:szCs w:val="24"/>
        </w:rPr>
        <w:t>5) ocena potencjału wytwarzania energii elektrycznej w wysokosprawnej kogeneracji oraz efektywnych energetycznie systemów ciepłowniczych lub chłodniczych na obszarze gminy.</w:t>
      </w:r>
    </w:p>
    <w:p w:rsidR="00EA16D5" w:rsidRPr="001D200B" w:rsidRDefault="00EA16D5" w:rsidP="00EA16D5">
      <w:pPr>
        <w:autoSpaceDE w:val="0"/>
        <w:autoSpaceDN w:val="0"/>
        <w:adjustRightInd w:val="0"/>
        <w:ind w:left="284" w:hanging="284"/>
        <w:rPr>
          <w:rFonts w:cstheme="minorHAnsi"/>
          <w:szCs w:val="24"/>
        </w:rPr>
      </w:pPr>
      <w:r w:rsidRPr="001D200B">
        <w:rPr>
          <w:rFonts w:cstheme="minorHAnsi"/>
          <w:szCs w:val="24"/>
        </w:rPr>
        <w:t>2. Gmina realizuje zadania, o których mowa w ust. 1, zgodnie z:</w:t>
      </w:r>
    </w:p>
    <w:p w:rsidR="00EA16D5" w:rsidRPr="001D200B" w:rsidRDefault="00EA16D5" w:rsidP="00EA16D5">
      <w:pPr>
        <w:autoSpaceDE w:val="0"/>
        <w:autoSpaceDN w:val="0"/>
        <w:adjustRightInd w:val="0"/>
        <w:ind w:left="284" w:hanging="284"/>
        <w:rPr>
          <w:rFonts w:cstheme="minorHAnsi"/>
          <w:szCs w:val="24"/>
        </w:rPr>
      </w:pPr>
      <w:r w:rsidRPr="001D200B">
        <w:rPr>
          <w:rFonts w:cstheme="minorHAnsi"/>
          <w:szCs w:val="24"/>
        </w:rPr>
        <w:t>1) miejscowym planem zagospodarowania przestrzennego, a w przypadku braku takiego planu - z kierunkami rozwoju gminy zawartymi w studium uwarunkowań i kierunków zagospodarowania przestrzennego gminy;</w:t>
      </w:r>
    </w:p>
    <w:p w:rsidR="00EA16D5" w:rsidRPr="001D200B" w:rsidRDefault="00EA16D5" w:rsidP="00EA16D5">
      <w:pPr>
        <w:autoSpaceDE w:val="0"/>
        <w:autoSpaceDN w:val="0"/>
        <w:adjustRightInd w:val="0"/>
        <w:ind w:left="284" w:hanging="284"/>
        <w:rPr>
          <w:rFonts w:cstheme="minorHAnsi"/>
          <w:szCs w:val="24"/>
        </w:rPr>
      </w:pPr>
      <w:r w:rsidRPr="001D200B">
        <w:rPr>
          <w:rFonts w:cstheme="minorHAnsi"/>
          <w:szCs w:val="24"/>
        </w:rPr>
        <w:t>2) odpowiednim programem ochrony powietrza przyjętym na podstawie art. 91 ustawy z dnia 27 kwietnia 2001 r. - Prawo ochrony środowiska (…).</w:t>
      </w:r>
    </w:p>
    <w:p w:rsidR="00EA16D5" w:rsidRPr="001D200B" w:rsidRDefault="00EA16D5" w:rsidP="00EA16D5">
      <w:pPr>
        <w:autoSpaceDE w:val="0"/>
        <w:autoSpaceDN w:val="0"/>
        <w:adjustRightInd w:val="0"/>
        <w:rPr>
          <w:szCs w:val="24"/>
        </w:rPr>
      </w:pPr>
      <w:r w:rsidRPr="001D200B">
        <w:rPr>
          <w:rStyle w:val="Pogrubienie"/>
          <w:rFonts w:asciiTheme="minorHAnsi" w:hAnsiTheme="minorHAnsi" w:cstheme="minorHAnsi"/>
          <w:szCs w:val="24"/>
        </w:rPr>
        <w:lastRenderedPageBreak/>
        <w:t>Art. 19.</w:t>
      </w:r>
      <w:r w:rsidRPr="001D200B">
        <w:rPr>
          <w:rFonts w:cstheme="minorHAnsi"/>
          <w:szCs w:val="24"/>
        </w:rPr>
        <w:t>1. Wójt (burmistrz, prezydent miasta) opracowuje projekt założeń do planu</w:t>
      </w:r>
      <w:r w:rsidRPr="001D200B">
        <w:rPr>
          <w:szCs w:val="24"/>
        </w:rPr>
        <w:t xml:space="preserve"> zaopatrzenia w ciepło, energię elektryczną i paliwa gazowe, zwany dalej „projektem założeń”.</w:t>
      </w:r>
    </w:p>
    <w:p w:rsidR="00EA16D5" w:rsidRPr="001D200B" w:rsidRDefault="00EA16D5" w:rsidP="00EA16D5">
      <w:pPr>
        <w:autoSpaceDE w:val="0"/>
        <w:autoSpaceDN w:val="0"/>
        <w:adjustRightInd w:val="0"/>
        <w:rPr>
          <w:b/>
          <w:szCs w:val="24"/>
        </w:rPr>
      </w:pPr>
      <w:r w:rsidRPr="001D200B">
        <w:rPr>
          <w:szCs w:val="24"/>
        </w:rPr>
        <w:t xml:space="preserve">2. Projekt założeń sporządza się dla obszaru gminy </w:t>
      </w:r>
      <w:r w:rsidRPr="001D200B">
        <w:rPr>
          <w:b/>
          <w:szCs w:val="24"/>
        </w:rPr>
        <w:t>co najmniej na okres 15 lat i aktualizuje co najmniej raz na 3 lata.</w:t>
      </w:r>
    </w:p>
    <w:p w:rsidR="00EA16D5" w:rsidRPr="001D200B" w:rsidRDefault="00EA16D5" w:rsidP="00EA16D5">
      <w:pPr>
        <w:autoSpaceDE w:val="0"/>
        <w:autoSpaceDN w:val="0"/>
        <w:adjustRightInd w:val="0"/>
        <w:rPr>
          <w:szCs w:val="24"/>
        </w:rPr>
      </w:pPr>
      <w:r w:rsidRPr="001D200B">
        <w:rPr>
          <w:szCs w:val="24"/>
        </w:rPr>
        <w:t>3. Projekt założeń powinien określać:</w:t>
      </w:r>
    </w:p>
    <w:p w:rsidR="00EA16D5" w:rsidRPr="001D200B" w:rsidRDefault="00EA16D5" w:rsidP="00EA16D5">
      <w:pPr>
        <w:autoSpaceDE w:val="0"/>
        <w:autoSpaceDN w:val="0"/>
        <w:adjustRightInd w:val="0"/>
        <w:ind w:firstLine="284"/>
        <w:rPr>
          <w:szCs w:val="24"/>
        </w:rPr>
      </w:pPr>
      <w:r w:rsidRPr="001D200B">
        <w:rPr>
          <w:szCs w:val="24"/>
        </w:rPr>
        <w:t>1) ocenę stanu aktualnego i przewidywanych zmian zapotrzebowania na ciepło, energię elektryczną i paliwa gazowe;</w:t>
      </w:r>
    </w:p>
    <w:p w:rsidR="00EA16D5" w:rsidRPr="001D200B" w:rsidRDefault="00EA16D5" w:rsidP="00EA16D5">
      <w:pPr>
        <w:autoSpaceDE w:val="0"/>
        <w:autoSpaceDN w:val="0"/>
        <w:adjustRightInd w:val="0"/>
        <w:ind w:firstLine="284"/>
        <w:rPr>
          <w:szCs w:val="24"/>
        </w:rPr>
      </w:pPr>
      <w:r w:rsidRPr="001D200B">
        <w:rPr>
          <w:szCs w:val="24"/>
        </w:rPr>
        <w:t xml:space="preserve">2) przedsięwzięcia racjonalizujące użytkowanie ciepła, energii elektrycznej i paliw gazowych; </w:t>
      </w:r>
    </w:p>
    <w:p w:rsidR="00EA16D5" w:rsidRPr="001D200B" w:rsidRDefault="00EA16D5" w:rsidP="00EA16D5">
      <w:pPr>
        <w:autoSpaceDE w:val="0"/>
        <w:autoSpaceDN w:val="0"/>
        <w:adjustRightInd w:val="0"/>
        <w:ind w:firstLine="284"/>
        <w:rPr>
          <w:szCs w:val="24"/>
        </w:rPr>
      </w:pPr>
      <w:r w:rsidRPr="001D200B">
        <w:rPr>
          <w:szCs w:val="24"/>
        </w:rPr>
        <w:t>3) możliwości wykorzystania istniejących nadwyżek i lokalnych zasobów paliw i energii, z uwzględnieniem energii elektrycznej i ciepła wytwarzanych w instalacjach odnawialnego źródła energii, energii elektrycznej i ciepła użytkowego wytwarzanych w kogeneracji oraz zagospodarowania ciepła odpadowego z instalacji przemysłowych;</w:t>
      </w:r>
    </w:p>
    <w:p w:rsidR="00EA16D5" w:rsidRPr="001D200B" w:rsidRDefault="00EA16D5" w:rsidP="00EA16D5">
      <w:pPr>
        <w:autoSpaceDE w:val="0"/>
        <w:autoSpaceDN w:val="0"/>
        <w:adjustRightInd w:val="0"/>
        <w:ind w:firstLine="284"/>
        <w:rPr>
          <w:szCs w:val="24"/>
        </w:rPr>
      </w:pPr>
      <w:r w:rsidRPr="001D200B">
        <w:rPr>
          <w:szCs w:val="24"/>
        </w:rPr>
        <w:t>3a) możliwości stosowania środków poprawy efektywności energetycznej w rozumieniu art. 6 ust. 2 ustawy z dnia 20 maja 2016 r. o efektywności energetycznej</w:t>
      </w:r>
      <w:r w:rsidR="004237F5" w:rsidRPr="001D200B">
        <w:rPr>
          <w:szCs w:val="24"/>
        </w:rPr>
        <w:t xml:space="preserve"> </w:t>
      </w:r>
      <w:r w:rsidR="004237F5" w:rsidRPr="001D200B">
        <w:t>(tj. Dz. U. 2020 poz. 264 ze zm.)</w:t>
      </w:r>
      <w:r w:rsidRPr="001D200B">
        <w:rPr>
          <w:szCs w:val="24"/>
        </w:rPr>
        <w:t>;</w:t>
      </w:r>
    </w:p>
    <w:p w:rsidR="00EA16D5" w:rsidRPr="001D200B" w:rsidRDefault="00EA16D5" w:rsidP="00EA16D5">
      <w:pPr>
        <w:autoSpaceDE w:val="0"/>
        <w:autoSpaceDN w:val="0"/>
        <w:adjustRightInd w:val="0"/>
        <w:ind w:firstLine="284"/>
        <w:rPr>
          <w:szCs w:val="24"/>
        </w:rPr>
      </w:pPr>
      <w:r w:rsidRPr="001D200B">
        <w:rPr>
          <w:szCs w:val="24"/>
        </w:rPr>
        <w:t>4) zakres współpracy z innymi gminami.</w:t>
      </w:r>
    </w:p>
    <w:p w:rsidR="00EA16D5" w:rsidRPr="001D200B" w:rsidRDefault="00EA16D5" w:rsidP="00EA16D5">
      <w:pPr>
        <w:autoSpaceDE w:val="0"/>
        <w:autoSpaceDN w:val="0"/>
        <w:adjustRightInd w:val="0"/>
        <w:rPr>
          <w:szCs w:val="24"/>
        </w:rPr>
      </w:pPr>
      <w:r w:rsidRPr="001D200B">
        <w:rPr>
          <w:szCs w:val="24"/>
        </w:rPr>
        <w:t>4. Przedsiębiorstwa energetyczne udostępniają nieodpłatnie wójtowi (burmistrzowi, prezydentowi miasta) plany, o których mowa w art. 16 ust. 1, w zakresie dotyczącym terenu tej gminy oraz propozycje niezbędne do opracowania projektu założeń.</w:t>
      </w:r>
    </w:p>
    <w:p w:rsidR="00EA16D5" w:rsidRPr="001D200B" w:rsidRDefault="00EA16D5" w:rsidP="00EA16D5">
      <w:pPr>
        <w:autoSpaceDE w:val="0"/>
        <w:autoSpaceDN w:val="0"/>
        <w:adjustRightInd w:val="0"/>
        <w:rPr>
          <w:szCs w:val="24"/>
        </w:rPr>
      </w:pPr>
      <w:r w:rsidRPr="001D200B">
        <w:rPr>
          <w:szCs w:val="24"/>
        </w:rPr>
        <w:t>5. Projekt założeń podlega opiniowaniu przez samorząd województwa w zakresie koordynacji współpracy z innymi gminami oraz w zakresie zgodności z polityką energetyczną państwa.</w:t>
      </w:r>
    </w:p>
    <w:p w:rsidR="00EA16D5" w:rsidRPr="001D200B" w:rsidRDefault="00EA16D5" w:rsidP="00EA16D5">
      <w:pPr>
        <w:autoSpaceDE w:val="0"/>
        <w:autoSpaceDN w:val="0"/>
        <w:adjustRightInd w:val="0"/>
        <w:rPr>
          <w:szCs w:val="24"/>
        </w:rPr>
      </w:pPr>
      <w:r w:rsidRPr="001D200B">
        <w:rPr>
          <w:szCs w:val="24"/>
        </w:rPr>
        <w:t>6. Projekt założeń wykłada się do publicznego wglądu na okres 21 dni, powiadamiając o tym w sposób przyjęty zwyczajowo w danej miejscowości.</w:t>
      </w:r>
    </w:p>
    <w:p w:rsidR="00EA16D5" w:rsidRPr="001D200B" w:rsidRDefault="00EA16D5" w:rsidP="00EA16D5">
      <w:pPr>
        <w:autoSpaceDE w:val="0"/>
        <w:autoSpaceDN w:val="0"/>
        <w:adjustRightInd w:val="0"/>
        <w:rPr>
          <w:szCs w:val="24"/>
        </w:rPr>
      </w:pPr>
      <w:r w:rsidRPr="001D200B">
        <w:rPr>
          <w:szCs w:val="24"/>
        </w:rPr>
        <w:t>7. Osoby i jednostki organizacyjne zainteresowane zaopatrzeniem w ciepło, energię elektryczną i paliwa gazowe na obszarze gminy mają prawo składać wnioski, zastrzeżenia i uwagi do projektu założeń.</w:t>
      </w:r>
    </w:p>
    <w:p w:rsidR="00EA16D5" w:rsidRPr="001D200B" w:rsidRDefault="00EA16D5" w:rsidP="00EA16D5">
      <w:pPr>
        <w:rPr>
          <w:szCs w:val="24"/>
        </w:rPr>
      </w:pPr>
      <w:r w:rsidRPr="001D200B">
        <w:rPr>
          <w:szCs w:val="24"/>
        </w:rPr>
        <w:t>8. Rada gminy uchwala założenia do planu zaopatrzenia w ciepło, energię elektryczną i paliwa gazowe, rozpatrując jednocześnie wnioski, zastrzeżenia i uwagi zgłoszone w czasie wyłożenia projektu założeń do publicznego wglądu.</w:t>
      </w:r>
    </w:p>
    <w:p w:rsidR="00EA16D5" w:rsidRPr="001D200B" w:rsidRDefault="00EA16D5" w:rsidP="00EA16D5">
      <w:pPr>
        <w:autoSpaceDE w:val="0"/>
        <w:autoSpaceDN w:val="0"/>
        <w:adjustRightInd w:val="0"/>
        <w:rPr>
          <w:szCs w:val="24"/>
        </w:rPr>
      </w:pPr>
      <w:r w:rsidRPr="001D200B">
        <w:rPr>
          <w:b/>
          <w:bCs/>
          <w:szCs w:val="24"/>
        </w:rPr>
        <w:t xml:space="preserve">Art. 20. </w:t>
      </w:r>
      <w:r w:rsidRPr="001D200B">
        <w:rPr>
          <w:szCs w:val="24"/>
        </w:rPr>
        <w:t xml:space="preserve">1. W przypadku gdy plany przedsiębiorstw energetycznych nie zapewniają realizacji założeń, o których mowa w art. 19 ust. 8, wójt (burmistrz, prezydent miasta) opracowuje projekt planu zaopatrzenia w ciepło, energię elektryczną i paliwa gazowe, dla obszaru gminy </w:t>
      </w:r>
      <w:r w:rsidRPr="001D200B">
        <w:rPr>
          <w:szCs w:val="24"/>
        </w:rPr>
        <w:lastRenderedPageBreak/>
        <w:t>lub jej części. Projekt planu opracowywany jest na podstawie uchwalonych przez radę tej gminy założeń i winien być z nim zgodny.</w:t>
      </w:r>
    </w:p>
    <w:p w:rsidR="00EA16D5" w:rsidRPr="001D200B" w:rsidRDefault="00EA16D5" w:rsidP="00EA16D5">
      <w:pPr>
        <w:autoSpaceDE w:val="0"/>
        <w:autoSpaceDN w:val="0"/>
        <w:adjustRightInd w:val="0"/>
        <w:rPr>
          <w:szCs w:val="24"/>
        </w:rPr>
      </w:pPr>
      <w:r w:rsidRPr="001D200B">
        <w:rPr>
          <w:szCs w:val="24"/>
        </w:rPr>
        <w:t>2. Projekt planu, o którym mowa w ust. 1, powinien zawierać:</w:t>
      </w:r>
    </w:p>
    <w:p w:rsidR="00EA16D5" w:rsidRPr="001D200B" w:rsidRDefault="00EA16D5" w:rsidP="00EA16D5">
      <w:pPr>
        <w:autoSpaceDE w:val="0"/>
        <w:autoSpaceDN w:val="0"/>
        <w:adjustRightInd w:val="0"/>
        <w:rPr>
          <w:szCs w:val="24"/>
        </w:rPr>
      </w:pPr>
      <w:r w:rsidRPr="001D200B">
        <w:rPr>
          <w:szCs w:val="24"/>
        </w:rPr>
        <w:t>1) propozycje w zakresie rozwoju i modernizacji poszczególnych systemów zaopatrzenia w ciepło, energię elektryczną i paliwa gazowe, wraz z uzasadnieniem ekonomicznym;</w:t>
      </w:r>
    </w:p>
    <w:p w:rsidR="00EA16D5" w:rsidRPr="001D200B" w:rsidRDefault="00EA16D5" w:rsidP="00EA16D5">
      <w:pPr>
        <w:autoSpaceDE w:val="0"/>
        <w:autoSpaceDN w:val="0"/>
        <w:adjustRightInd w:val="0"/>
        <w:rPr>
          <w:szCs w:val="24"/>
        </w:rPr>
      </w:pPr>
      <w:r w:rsidRPr="001D200B">
        <w:rPr>
          <w:szCs w:val="24"/>
        </w:rPr>
        <w:t>1a) propozycje w zakresie wykorzystania odnawialnych źródeł energii i wysokosprawnej kogeneracji;</w:t>
      </w:r>
    </w:p>
    <w:p w:rsidR="00EA16D5" w:rsidRPr="001D200B" w:rsidRDefault="00EA16D5" w:rsidP="00EA16D5">
      <w:pPr>
        <w:autoSpaceDE w:val="0"/>
        <w:autoSpaceDN w:val="0"/>
        <w:adjustRightInd w:val="0"/>
        <w:rPr>
          <w:szCs w:val="24"/>
        </w:rPr>
      </w:pPr>
      <w:r w:rsidRPr="001D200B">
        <w:rPr>
          <w:szCs w:val="24"/>
        </w:rPr>
        <w:t>1b) propozycje stosowania środków poprawy efektywności energetycznej w rozumieniu art. 6 ust. 2 ustawy z dnia 20 maja 2016 r. o efektywności energetycznej;</w:t>
      </w:r>
    </w:p>
    <w:p w:rsidR="00EA16D5" w:rsidRPr="001D200B" w:rsidRDefault="00EA16D5" w:rsidP="00EA16D5">
      <w:pPr>
        <w:autoSpaceDE w:val="0"/>
        <w:autoSpaceDN w:val="0"/>
        <w:adjustRightInd w:val="0"/>
        <w:rPr>
          <w:szCs w:val="24"/>
        </w:rPr>
      </w:pPr>
      <w:r w:rsidRPr="001D200B">
        <w:rPr>
          <w:szCs w:val="24"/>
        </w:rPr>
        <w:t>2) harmonogram realizacji zadań;</w:t>
      </w:r>
    </w:p>
    <w:p w:rsidR="00EA16D5" w:rsidRPr="001D200B" w:rsidRDefault="00EA16D5" w:rsidP="00EA16D5">
      <w:pPr>
        <w:autoSpaceDE w:val="0"/>
        <w:autoSpaceDN w:val="0"/>
        <w:adjustRightInd w:val="0"/>
        <w:rPr>
          <w:szCs w:val="24"/>
        </w:rPr>
      </w:pPr>
      <w:r w:rsidRPr="001D200B">
        <w:rPr>
          <w:szCs w:val="24"/>
        </w:rPr>
        <w:t>3) przewidywane koszty realizacji proponowanych przedsięwzięć oraz źródło ich finansowania;</w:t>
      </w:r>
    </w:p>
    <w:p w:rsidR="00EA16D5" w:rsidRPr="001D200B" w:rsidRDefault="00EA16D5" w:rsidP="00EA16D5">
      <w:pPr>
        <w:autoSpaceDE w:val="0"/>
        <w:autoSpaceDN w:val="0"/>
        <w:adjustRightInd w:val="0"/>
        <w:rPr>
          <w:szCs w:val="24"/>
        </w:rPr>
      </w:pPr>
      <w:r w:rsidRPr="001D200B">
        <w:rPr>
          <w:szCs w:val="24"/>
        </w:rPr>
        <w:t xml:space="preserve">4) ocenę potencjału wytwarzania energii elektrycznej w wysokosprawnej kogeneracji oraz efektywnych energetycznie systemów ciepłowniczych lub chłodniczych na obszarze gminy. </w:t>
      </w:r>
    </w:p>
    <w:p w:rsidR="00EA16D5" w:rsidRPr="001D200B" w:rsidRDefault="00EA16D5" w:rsidP="00EA16D5">
      <w:pPr>
        <w:autoSpaceDE w:val="0"/>
        <w:autoSpaceDN w:val="0"/>
        <w:adjustRightInd w:val="0"/>
        <w:rPr>
          <w:szCs w:val="24"/>
        </w:rPr>
      </w:pPr>
      <w:r w:rsidRPr="001D200B">
        <w:rPr>
          <w:szCs w:val="24"/>
        </w:rPr>
        <w:t>3. (uchylony).</w:t>
      </w:r>
    </w:p>
    <w:p w:rsidR="00EA16D5" w:rsidRPr="001D200B" w:rsidRDefault="00EA16D5" w:rsidP="00EA16D5">
      <w:pPr>
        <w:autoSpaceDE w:val="0"/>
        <w:autoSpaceDN w:val="0"/>
        <w:adjustRightInd w:val="0"/>
        <w:rPr>
          <w:szCs w:val="24"/>
        </w:rPr>
      </w:pPr>
      <w:r w:rsidRPr="001D200B">
        <w:rPr>
          <w:szCs w:val="24"/>
        </w:rPr>
        <w:t>4. Rada gminy uchwala plan zaopatrzenia, o którym mowa w ust. 1.</w:t>
      </w:r>
    </w:p>
    <w:p w:rsidR="00EA16D5" w:rsidRPr="001D200B" w:rsidRDefault="00EA16D5" w:rsidP="00EA16D5">
      <w:pPr>
        <w:autoSpaceDE w:val="0"/>
        <w:autoSpaceDN w:val="0"/>
        <w:adjustRightInd w:val="0"/>
        <w:rPr>
          <w:szCs w:val="24"/>
        </w:rPr>
      </w:pPr>
      <w:r w:rsidRPr="001D200B">
        <w:rPr>
          <w:szCs w:val="24"/>
        </w:rPr>
        <w:t>5. W celu realizacji planu, o którym mowa w ust. 1, gmina może zawierać umowy z przedsiębiorstwami energetycznymi.</w:t>
      </w:r>
    </w:p>
    <w:p w:rsidR="00EA16D5" w:rsidRPr="001D200B" w:rsidRDefault="00EA16D5" w:rsidP="00EA16D5">
      <w:pPr>
        <w:spacing w:line="300" w:lineRule="exact"/>
        <w:rPr>
          <w:rFonts w:cstheme="minorHAnsi"/>
          <w:szCs w:val="24"/>
        </w:rPr>
      </w:pPr>
      <w:r w:rsidRPr="001D200B">
        <w:rPr>
          <w:rFonts w:cstheme="minorHAnsi"/>
          <w:szCs w:val="24"/>
        </w:rPr>
        <w:t>6. W przypadku gdy nie jest możliwa realizacja planu na podstawie umów, rada gminy - dla zapewnienia zaopatrzenia w ciepło, energię elektryczną i paliwa gazowe - może wskazać w drodze uchwały tę część planu, z którą prowadzone na obszarze gminy działania muszą być zgodne.</w:t>
      </w:r>
    </w:p>
    <w:p w:rsidR="00EA16D5" w:rsidRPr="001D200B" w:rsidRDefault="00EA16D5" w:rsidP="00D30D00">
      <w:pPr>
        <w:shd w:val="clear" w:color="auto" w:fill="F2F2F2" w:themeFill="background1" w:themeFillShade="F2"/>
        <w:autoSpaceDE w:val="0"/>
        <w:autoSpaceDN w:val="0"/>
        <w:adjustRightInd w:val="0"/>
        <w:rPr>
          <w:rFonts w:cstheme="minorHAnsi"/>
          <w:szCs w:val="24"/>
        </w:rPr>
      </w:pPr>
      <w:r w:rsidRPr="001D200B">
        <w:rPr>
          <w:rFonts w:cstheme="minorHAnsi"/>
          <w:b/>
          <w:szCs w:val="24"/>
        </w:rPr>
        <w:t>Uwarunkowania prawne wynikające z przepisów prawa w zakresie strategicznej oceny oddziaływania na środowisko</w:t>
      </w:r>
    </w:p>
    <w:p w:rsidR="00EA16D5" w:rsidRPr="001D200B" w:rsidRDefault="00EA16D5" w:rsidP="00EA16D5">
      <w:pPr>
        <w:autoSpaceDE w:val="0"/>
        <w:autoSpaceDN w:val="0"/>
        <w:adjustRightInd w:val="0"/>
        <w:rPr>
          <w:rFonts w:cstheme="minorHAnsi"/>
          <w:szCs w:val="24"/>
        </w:rPr>
      </w:pPr>
      <w:r w:rsidRPr="001D200B">
        <w:rPr>
          <w:rFonts w:cstheme="minorHAnsi"/>
          <w:szCs w:val="24"/>
        </w:rPr>
        <w:t xml:space="preserve">Zgodnie z art. 46 pkt. 2 ustawy z dnia 3 października 2008 r. </w:t>
      </w:r>
      <w:r w:rsidRPr="001D200B">
        <w:rPr>
          <w:rFonts w:cstheme="minorHAnsi"/>
          <w:i/>
          <w:szCs w:val="24"/>
        </w:rPr>
        <w:t>o udostępnianiu informacji o środowisku i jego ochronie, udziale społeczeństwa w ochronie środowiska oraz o ocenach oddziaływania na środowisko</w:t>
      </w:r>
      <w:r w:rsidRPr="001D200B">
        <w:rPr>
          <w:rFonts w:cstheme="minorHAnsi"/>
          <w:szCs w:val="24"/>
        </w:rPr>
        <w:t xml:space="preserve"> (</w:t>
      </w:r>
      <w:r w:rsidR="004237F5" w:rsidRPr="001D200B">
        <w:t>t.j. Dz. U. z 2020r. poz. 283 ze zm.)</w:t>
      </w:r>
      <w:r w:rsidRPr="001D200B">
        <w:rPr>
          <w:rFonts w:cstheme="minorHAnsi"/>
          <w:szCs w:val="24"/>
        </w:rPr>
        <w:t xml:space="preserve">, przedmiotowy dokument poddany zostanie procedurze strategicznej oceny oddziaływania na środowisko. </w:t>
      </w:r>
    </w:p>
    <w:p w:rsidR="00EA16D5" w:rsidRPr="001D200B" w:rsidRDefault="00EA16D5" w:rsidP="00EA16D5">
      <w:pPr>
        <w:rPr>
          <w:szCs w:val="24"/>
        </w:rPr>
      </w:pPr>
      <w:r w:rsidRPr="001D200B">
        <w:rPr>
          <w:szCs w:val="24"/>
        </w:rPr>
        <w:t>Etapy procedury w zakresie strategicznej oceny oddziaływania na środowisko są następujące:</w:t>
      </w:r>
    </w:p>
    <w:p w:rsidR="00EA16D5" w:rsidRPr="001D200B" w:rsidRDefault="00EA16D5" w:rsidP="00EA16D5">
      <w:pPr>
        <w:shd w:val="clear" w:color="auto" w:fill="D9D9D9" w:themeFill="background1" w:themeFillShade="D9"/>
      </w:pPr>
      <w:r w:rsidRPr="001D200B">
        <w:rPr>
          <w:noProof/>
        </w:rPr>
        <w:lastRenderedPageBreak/>
        <w:drawing>
          <wp:inline distT="0" distB="0" distL="0" distR="0">
            <wp:extent cx="5486400" cy="5000625"/>
            <wp:effectExtent l="19050" t="0" r="0" b="0"/>
            <wp:docPr id="3"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EA16D5" w:rsidRPr="001D200B" w:rsidRDefault="00EA16D5" w:rsidP="00EA16D5">
      <w:pPr>
        <w:rPr>
          <w:rFonts w:cstheme="minorHAnsi"/>
        </w:rPr>
      </w:pPr>
      <w:r w:rsidRPr="001D200B">
        <w:rPr>
          <w:rFonts w:cstheme="minorHAnsi"/>
          <w:snapToGrid w:val="0"/>
        </w:rPr>
        <w:t xml:space="preserve">Możliwość udziału społeczeństwa w ocenie oddziaływania na środowisko, o której mowa w art. 54 ustawy z dnia 3 października </w:t>
      </w:r>
      <w:r w:rsidRPr="001D200B">
        <w:rPr>
          <w:rFonts w:cstheme="minorHAnsi"/>
        </w:rPr>
        <w:t>2008 r</w:t>
      </w:r>
      <w:r w:rsidRPr="001D200B">
        <w:rPr>
          <w:rFonts w:cstheme="minorHAnsi"/>
          <w:i/>
        </w:rPr>
        <w:t>. o udostępnianiu informacji o środowisku i jego ochronie, udziale społeczeństwa w ochronie środowiska oraz o ocenach oddziaływania na środowisko</w:t>
      </w:r>
      <w:r w:rsidRPr="001D200B">
        <w:rPr>
          <w:rFonts w:cstheme="minorHAnsi"/>
        </w:rPr>
        <w:t>, zapewniona będzie na etapie wyłożenia dokumentu do publicznego wglądu (konsultacje społeczne przed przyjęciem dokumentu przez Radę Mi</w:t>
      </w:r>
      <w:r w:rsidR="00D8025B" w:rsidRPr="001D200B">
        <w:rPr>
          <w:rFonts w:cstheme="minorHAnsi"/>
        </w:rPr>
        <w:t>ejską</w:t>
      </w:r>
      <w:r w:rsidRPr="001D200B">
        <w:rPr>
          <w:rFonts w:cstheme="minorHAnsi"/>
        </w:rPr>
        <w:t xml:space="preserve">). </w:t>
      </w:r>
    </w:p>
    <w:p w:rsidR="00EA16D5" w:rsidRPr="001D200B" w:rsidRDefault="00EA16D5" w:rsidP="00EA16D5">
      <w:pPr>
        <w:rPr>
          <w:rFonts w:cstheme="minorHAnsi"/>
        </w:rPr>
      </w:pPr>
      <w:r w:rsidRPr="001D200B">
        <w:rPr>
          <w:rFonts w:cstheme="minorHAnsi"/>
        </w:rPr>
        <w:t>Informacja o możliwości udziału społeczeństwa w strategicznej ocenie oddziaływania na środowisko niniejszego dokumentu, sposobach wnoszenia uwag i wniosków zostanie zamieszczona na stronie internetowej gminy oraz na tablicy ogłoszeń w siedzibie Urzędu Miasta i Gminy</w:t>
      </w:r>
      <w:r w:rsidR="00D8025B" w:rsidRPr="001D200B">
        <w:rPr>
          <w:rFonts w:cstheme="minorHAnsi"/>
        </w:rPr>
        <w:t xml:space="preserve"> Połaniec</w:t>
      </w:r>
      <w:r w:rsidRPr="001D200B">
        <w:rPr>
          <w:rFonts w:cstheme="minorHAnsi"/>
        </w:rPr>
        <w:t>.</w:t>
      </w:r>
    </w:p>
    <w:p w:rsidR="00EA16D5" w:rsidRPr="001D200B" w:rsidRDefault="00EA16D5" w:rsidP="00EA16D5">
      <w:pPr>
        <w:rPr>
          <w:rFonts w:cstheme="minorHAnsi"/>
        </w:rPr>
      </w:pPr>
      <w:r w:rsidRPr="001D200B">
        <w:rPr>
          <w:rFonts w:cstheme="minorHAnsi"/>
        </w:rPr>
        <w:t>Celem procedury jest ocena skutków realizacji zadań ujętych w dokumencie na poszczególne elementy środowiska.</w:t>
      </w:r>
    </w:p>
    <w:p w:rsidR="00EA16D5" w:rsidRPr="001D200B" w:rsidRDefault="00EA16D5" w:rsidP="00EA16D5">
      <w:pPr>
        <w:pStyle w:val="Nagwek2"/>
        <w:spacing w:line="300" w:lineRule="exact"/>
        <w:rPr>
          <w:rFonts w:cstheme="minorHAnsi"/>
        </w:rPr>
      </w:pPr>
      <w:bookmarkStart w:id="4" w:name="_Toc264011552"/>
      <w:bookmarkStart w:id="5" w:name="_Toc23419981"/>
      <w:bookmarkStart w:id="6" w:name="_Toc31972810"/>
      <w:r w:rsidRPr="001D200B">
        <w:rPr>
          <w:rFonts w:cstheme="minorHAnsi"/>
        </w:rPr>
        <w:lastRenderedPageBreak/>
        <w:t>2. Cel i zakres opracowania</w:t>
      </w:r>
      <w:bookmarkEnd w:id="4"/>
      <w:bookmarkEnd w:id="5"/>
      <w:bookmarkEnd w:id="6"/>
    </w:p>
    <w:p w:rsidR="00EA16D5" w:rsidRPr="001D200B" w:rsidRDefault="00EA16D5" w:rsidP="009D4519">
      <w:r w:rsidRPr="001D200B">
        <w:t>Celem opracowania jest diagnoza obecnych potrzeb energetycznych i sposób ich zaspokajania na terenie gminy, określenie potrzeb energetycznych oraz źródeł ich pokrycia do 203</w:t>
      </w:r>
      <w:r w:rsidR="007E5D27" w:rsidRPr="001D200B">
        <w:t>5</w:t>
      </w:r>
      <w:r w:rsidRPr="001D200B">
        <w:t xml:space="preserve">r. z uwzględnieniem planowanego rozwoju gminy. </w:t>
      </w:r>
    </w:p>
    <w:p w:rsidR="00EA16D5" w:rsidRPr="001D200B" w:rsidRDefault="00EA16D5" w:rsidP="00EA16D5">
      <w:pPr>
        <w:jc w:val="center"/>
        <w:rPr>
          <w:rFonts w:cstheme="minorHAnsi"/>
        </w:rPr>
      </w:pPr>
      <w:r w:rsidRPr="001D200B">
        <w:rPr>
          <w:rFonts w:cstheme="minorHAnsi"/>
          <w:b/>
        </w:rPr>
        <w:t xml:space="preserve">Zakres </w:t>
      </w:r>
      <w:r w:rsidRPr="001D200B">
        <w:rPr>
          <w:rFonts w:cstheme="minorHAnsi"/>
          <w:b/>
          <w:i/>
        </w:rPr>
        <w:t>Założeń do planu (…)</w:t>
      </w:r>
      <w:r w:rsidRPr="001D200B">
        <w:rPr>
          <w:rFonts w:cstheme="minorHAnsi"/>
          <w:b/>
        </w:rPr>
        <w:t xml:space="preserve"> wynika bezpośrednio z ustawy </w:t>
      </w:r>
      <w:r w:rsidRPr="001D200B">
        <w:rPr>
          <w:rFonts w:cstheme="minorHAnsi"/>
          <w:b/>
          <w:i/>
        </w:rPr>
        <w:t>prawo energetyczne</w:t>
      </w:r>
      <w:r w:rsidRPr="001D200B">
        <w:rPr>
          <w:rFonts w:cstheme="minorHAnsi"/>
          <w:b/>
        </w:rPr>
        <w:t xml:space="preserve"> </w:t>
      </w:r>
      <w:r w:rsidRPr="001D200B">
        <w:rPr>
          <w:rStyle w:val="Pogrubienie"/>
          <w:rFonts w:asciiTheme="minorHAnsi" w:hAnsiTheme="minorHAnsi" w:cstheme="minorHAnsi"/>
          <w:b w:val="0"/>
        </w:rPr>
        <w:t>(tj. Dz. U. 2019 poz. 755 ze zm.)</w:t>
      </w:r>
      <w:r w:rsidRPr="001D200B">
        <w:rPr>
          <w:rFonts w:cstheme="minorHAnsi"/>
          <w:b/>
        </w:rPr>
        <w:t xml:space="preserve"> i obejmuje</w:t>
      </w:r>
      <w:r w:rsidRPr="001D200B">
        <w:rPr>
          <w:rFonts w:cstheme="minorHAnsi"/>
        </w:rPr>
        <w:t>:</w:t>
      </w:r>
    </w:p>
    <w:p w:rsidR="00EA16D5" w:rsidRPr="001D200B" w:rsidRDefault="00EA16D5" w:rsidP="009D4519">
      <w:pPr>
        <w:pStyle w:val="Punktatory1"/>
        <w:pBdr>
          <w:top w:val="single" w:sz="4" w:space="1" w:color="auto"/>
          <w:left w:val="single" w:sz="4" w:space="4" w:color="auto"/>
          <w:bottom w:val="single" w:sz="4" w:space="1" w:color="auto"/>
          <w:right w:val="single" w:sz="4" w:space="4" w:color="auto"/>
        </w:pBdr>
        <w:shd w:val="clear" w:color="auto" w:fill="F2F2F2" w:themeFill="background1" w:themeFillShade="F2"/>
      </w:pPr>
      <w:r w:rsidRPr="001D200B">
        <w:t>ocenę stanu aktualnego i przewidywanych zmian zapotrzebowania na ciepło, energię elektryczną i paliwa gazowe,</w:t>
      </w:r>
    </w:p>
    <w:p w:rsidR="00EA16D5" w:rsidRPr="001D200B" w:rsidRDefault="00EA16D5" w:rsidP="009D4519">
      <w:pPr>
        <w:pStyle w:val="Punktatory1"/>
        <w:pBdr>
          <w:top w:val="single" w:sz="4" w:space="1" w:color="auto"/>
          <w:left w:val="single" w:sz="4" w:space="4" w:color="auto"/>
          <w:bottom w:val="single" w:sz="4" w:space="1" w:color="auto"/>
          <w:right w:val="single" w:sz="4" w:space="4" w:color="auto"/>
        </w:pBdr>
        <w:shd w:val="clear" w:color="auto" w:fill="F2F2F2" w:themeFill="background1" w:themeFillShade="F2"/>
      </w:pPr>
      <w:r w:rsidRPr="001D200B">
        <w:t>przedsięwzięcia racjonalizujące użytkowanie ciepła, energii elektrycznej i paliw gazowych,</w:t>
      </w:r>
    </w:p>
    <w:p w:rsidR="00EA16D5" w:rsidRPr="001D200B" w:rsidRDefault="00EA16D5" w:rsidP="009D4519">
      <w:pPr>
        <w:pStyle w:val="Punktatory1"/>
        <w:pBdr>
          <w:top w:val="single" w:sz="4" w:space="1" w:color="auto"/>
          <w:left w:val="single" w:sz="4" w:space="4" w:color="auto"/>
          <w:bottom w:val="single" w:sz="4" w:space="1" w:color="auto"/>
          <w:right w:val="single" w:sz="4" w:space="4" w:color="auto"/>
        </w:pBdr>
        <w:shd w:val="clear" w:color="auto" w:fill="F2F2F2" w:themeFill="background1" w:themeFillShade="F2"/>
      </w:pPr>
      <w:r w:rsidRPr="001D200B">
        <w:t>możliwości wykorzystania istniejących nadwyżek i lokalnych zasobów paliw i energii, z uwzględnieniem energii elektrycznej i ciepła wytwarzanych w instalacjach odnawialnego źródła energii, energii elektrycznej i ciepła użytkowego wytwarzanych w kogeneracji oraz zagospodarowania ciepła odpadowego z instalacji przemysłowych,</w:t>
      </w:r>
    </w:p>
    <w:p w:rsidR="00EA16D5" w:rsidRPr="001D200B" w:rsidRDefault="00EA16D5" w:rsidP="009D4519">
      <w:pPr>
        <w:pStyle w:val="Punktatory1"/>
        <w:pBdr>
          <w:top w:val="single" w:sz="4" w:space="1" w:color="auto"/>
          <w:left w:val="single" w:sz="4" w:space="4" w:color="auto"/>
          <w:bottom w:val="single" w:sz="4" w:space="1" w:color="auto"/>
          <w:right w:val="single" w:sz="4" w:space="4" w:color="auto"/>
        </w:pBdr>
        <w:shd w:val="clear" w:color="auto" w:fill="F2F2F2" w:themeFill="background1" w:themeFillShade="F2"/>
      </w:pPr>
      <w:r w:rsidRPr="001D200B">
        <w:t xml:space="preserve">możliwości stosowania środków poprawy efektywności energetycznej w rozumieniu art. 6 ust. 2 ustawy z dnia 20 maja 2016 r. </w:t>
      </w:r>
      <w:r w:rsidRPr="001D200B">
        <w:rPr>
          <w:i/>
        </w:rPr>
        <w:t>o efektywności energetycznej</w:t>
      </w:r>
      <w:r w:rsidRPr="001D200B">
        <w:t>,</w:t>
      </w:r>
    </w:p>
    <w:p w:rsidR="00EA16D5" w:rsidRPr="001D200B" w:rsidRDefault="00EA16D5" w:rsidP="009D4519">
      <w:pPr>
        <w:pStyle w:val="Punktatory1"/>
        <w:pBdr>
          <w:top w:val="single" w:sz="4" w:space="1" w:color="auto"/>
          <w:left w:val="single" w:sz="4" w:space="4" w:color="auto"/>
          <w:bottom w:val="single" w:sz="4" w:space="1" w:color="auto"/>
          <w:right w:val="single" w:sz="4" w:space="4" w:color="auto"/>
        </w:pBdr>
        <w:shd w:val="clear" w:color="auto" w:fill="F2F2F2" w:themeFill="background1" w:themeFillShade="F2"/>
      </w:pPr>
      <w:r w:rsidRPr="001D200B">
        <w:t>zakres współpracy z innymi gminami.</w:t>
      </w:r>
    </w:p>
    <w:p w:rsidR="00EA16D5" w:rsidRPr="001D200B" w:rsidRDefault="00EA16D5" w:rsidP="00EA16D5">
      <w:pPr>
        <w:spacing w:line="300" w:lineRule="exact"/>
        <w:rPr>
          <w:rFonts w:cstheme="minorHAnsi"/>
        </w:rPr>
      </w:pPr>
    </w:p>
    <w:p w:rsidR="00EA16D5" w:rsidRPr="001D200B" w:rsidRDefault="00EA16D5" w:rsidP="00EA16D5">
      <w:r w:rsidRPr="001D200B">
        <w:t>Powyższe zagadnienia omówione zostaną odrębnie dla ciepłownictwa (rozdział III), elektroenergetyki (rozdział IV) i gazownictwa (rozdział V). Współpraca z innymi gminami przedstawiona będzie w rozdziale VIII.</w:t>
      </w:r>
    </w:p>
    <w:p w:rsidR="00EA16D5" w:rsidRPr="001D200B" w:rsidRDefault="00EA16D5" w:rsidP="00EA16D5">
      <w:r w:rsidRPr="001D200B">
        <w:t>Planowanie energetyczne pozostaje w ścisłym związku z innymi planami i strategiami rozwoju tworzonymi przez gminę, planami przedsiębiorstw energetycznych oraz innych uczestników rynku energetycznego, tj.:</w:t>
      </w:r>
    </w:p>
    <w:p w:rsidR="00EA16D5" w:rsidRPr="001D200B" w:rsidRDefault="00EA16D5" w:rsidP="00F21741">
      <w:pPr>
        <w:pStyle w:val="Punktatory1"/>
      </w:pPr>
      <w:r w:rsidRPr="001D200B">
        <w:t>studium uwarunkowań i kierunków zagospodarowania przestrzennego, miejscowym planem zagospodarowania przestrzennego, strategią rozwoju, programem ochrony środowiska, planem gospodarki niskoemisyjnej;</w:t>
      </w:r>
    </w:p>
    <w:p w:rsidR="00EA16D5" w:rsidRPr="001D200B" w:rsidRDefault="00EA16D5" w:rsidP="00F21741">
      <w:pPr>
        <w:pStyle w:val="Punktatory1"/>
      </w:pPr>
      <w:r w:rsidRPr="001D200B">
        <w:t>planami energetycznych operatorów sieciowych (przesyłowych i dystrybucyjnych) oraz innych przedsiębiorstw energetycznych działających na terenie gminy;</w:t>
      </w:r>
    </w:p>
    <w:p w:rsidR="00EA16D5" w:rsidRPr="001D200B" w:rsidRDefault="00EA16D5" w:rsidP="00F21741">
      <w:pPr>
        <w:pStyle w:val="Punktatory1"/>
      </w:pPr>
      <w:r w:rsidRPr="001D200B">
        <w:t>planami odbiorców ciepła, energii elektrycznej i paliw gazowych.</w:t>
      </w:r>
    </w:p>
    <w:p w:rsidR="00EA16D5" w:rsidRPr="001D200B" w:rsidRDefault="00EA16D5" w:rsidP="00EA16D5">
      <w:pPr>
        <w:pStyle w:val="Nagwek2"/>
        <w:spacing w:line="300" w:lineRule="exact"/>
        <w:rPr>
          <w:rFonts w:cstheme="minorHAnsi"/>
        </w:rPr>
      </w:pPr>
      <w:bookmarkStart w:id="7" w:name="_Toc264011553"/>
      <w:bookmarkStart w:id="8" w:name="_Toc23419982"/>
      <w:bookmarkStart w:id="9" w:name="_Toc31972811"/>
      <w:r w:rsidRPr="001D200B">
        <w:rPr>
          <w:rFonts w:cstheme="minorHAnsi"/>
        </w:rPr>
        <w:lastRenderedPageBreak/>
        <w:t>3. Polityka energetyczna państwa/regionu – założenia programowe</w:t>
      </w:r>
      <w:bookmarkEnd w:id="7"/>
      <w:bookmarkEnd w:id="8"/>
      <w:bookmarkEnd w:id="9"/>
    </w:p>
    <w:p w:rsidR="00EA16D5" w:rsidRPr="001D200B" w:rsidRDefault="00EA16D5" w:rsidP="00EA16D5">
      <w:pPr>
        <w:rPr>
          <w:rFonts w:cstheme="minorHAnsi"/>
        </w:rPr>
      </w:pPr>
      <w:r w:rsidRPr="001D200B">
        <w:rPr>
          <w:rFonts w:cstheme="minorHAnsi"/>
        </w:rPr>
        <w:t xml:space="preserve">Strategia państwa kształtująca najważniejsze kierunki rozwoju polskiej energetyki zarówno w perspektywie krótkoterminowej, jak i do 2030 roku, przyjęta została przez Radę Ministrów w dniu 10 listopada 2009 roku, w dokumencie </w:t>
      </w:r>
      <w:r w:rsidRPr="001D200B">
        <w:rPr>
          <w:rFonts w:cstheme="minorHAnsi"/>
          <w:b/>
          <w:bCs/>
          <w:i/>
        </w:rPr>
        <w:t>Polityka energetyczna Polski do 2030 roku</w:t>
      </w:r>
      <w:r w:rsidRPr="001D200B">
        <w:rPr>
          <w:rFonts w:cstheme="minorHAnsi"/>
          <w:b/>
          <w:bCs/>
        </w:rPr>
        <w:t xml:space="preserve">. </w:t>
      </w:r>
      <w:r w:rsidRPr="001D200B">
        <w:rPr>
          <w:rFonts w:cstheme="minorHAnsi"/>
        </w:rPr>
        <w:t>Podstawowe kierunki polityki energetycznej państwa, zgodnie z zapisami w/w dokumentu, obejmują: poprawę efektywności energetycznej; wzrost bezpieczeństwa dostaw paliw i energii; dywersyfikację struktury wytwarzania energii elektrycznej poprzez wprowadzenie energetyki jądrowej; rozwój wykorzystania odnawialnych źródeł energii, w tym biopaliw; rozwój konkurencyjnych rynków paliw i energii; ograniczenie oddziaływania energetyki na środowisko.</w:t>
      </w:r>
    </w:p>
    <w:p w:rsidR="00EA16D5" w:rsidRPr="001D200B" w:rsidRDefault="00EA16D5" w:rsidP="00EA16D5">
      <w:pPr>
        <w:rPr>
          <w:rFonts w:cstheme="minorHAnsi"/>
        </w:rPr>
      </w:pPr>
      <w:r w:rsidRPr="001D200B">
        <w:rPr>
          <w:rFonts w:cstheme="minorHAnsi"/>
        </w:rPr>
        <w:t xml:space="preserve">Aktualnie w przygotowaniu znajduje się projekt dokumentu pn. </w:t>
      </w:r>
      <w:r w:rsidRPr="001D200B">
        <w:rPr>
          <w:rFonts w:cstheme="minorHAnsi"/>
          <w:b/>
          <w:i/>
        </w:rPr>
        <w:t>Polityka energetyczna Polski do 2040 roku</w:t>
      </w:r>
      <w:r w:rsidRPr="001D200B">
        <w:rPr>
          <w:rFonts w:cstheme="minorHAnsi"/>
        </w:rPr>
        <w:t xml:space="preserve">. </w:t>
      </w:r>
    </w:p>
    <w:p w:rsidR="00EA16D5" w:rsidRPr="001D200B" w:rsidRDefault="00EA16D5" w:rsidP="00EA16D5">
      <w:pPr>
        <w:rPr>
          <w:rFonts w:cstheme="minorHAnsi"/>
        </w:rPr>
      </w:pPr>
      <w:r w:rsidRPr="001D200B">
        <w:rPr>
          <w:rFonts w:cstheme="minorHAnsi"/>
        </w:rPr>
        <w:t xml:space="preserve">Cel polityki energetycznej państwa według projektu </w:t>
      </w:r>
      <w:r w:rsidRPr="001D200B">
        <w:rPr>
          <w:rFonts w:cstheme="minorHAnsi"/>
          <w:i/>
        </w:rPr>
        <w:t>Polityki energetycznej Polski do 2040 roku</w:t>
      </w:r>
      <w:r w:rsidRPr="001D200B">
        <w:rPr>
          <w:rFonts w:cstheme="minorHAnsi"/>
        </w:rPr>
        <w:t xml:space="preserve">, to bezpieczeństwo energetyczne przy zapewnieniu konkurencyjności gospodarki, efektywności energetycznej i zmniejszenia oddziaływania sektora energii na środowisko, przy optymalnym wykorzystaniu własnych zasobów energetycznych. </w:t>
      </w:r>
    </w:p>
    <w:p w:rsidR="00EA16D5" w:rsidRPr="001D200B" w:rsidRDefault="00EA16D5" w:rsidP="00EA16D5">
      <w:pPr>
        <w:rPr>
          <w:rFonts w:cstheme="minorHAnsi"/>
        </w:rPr>
      </w:pPr>
      <w:r w:rsidRPr="001D200B">
        <w:rPr>
          <w:rFonts w:cstheme="minorHAnsi"/>
        </w:rPr>
        <w:t xml:space="preserve">Kierunki polityki energetycznej: </w:t>
      </w:r>
    </w:p>
    <w:p w:rsidR="00EA16D5" w:rsidRPr="001D200B" w:rsidRDefault="00EA16D5" w:rsidP="00F006D6">
      <w:pPr>
        <w:pStyle w:val="Akapitzlist"/>
      </w:pPr>
      <w:r w:rsidRPr="001D200B">
        <w:t>Optymalne wykorzystanie własnych zasobów energetycznych;</w:t>
      </w:r>
    </w:p>
    <w:p w:rsidR="00EA16D5" w:rsidRPr="001D200B" w:rsidRDefault="00EA16D5" w:rsidP="00F006D6">
      <w:pPr>
        <w:pStyle w:val="Akapitzlist"/>
      </w:pPr>
      <w:r w:rsidRPr="001D200B">
        <w:t>Rozbudowa infrastruktury wytwórczej i sieciowej energii elektrycznej;</w:t>
      </w:r>
    </w:p>
    <w:p w:rsidR="00EA16D5" w:rsidRPr="001D200B" w:rsidRDefault="00EA16D5" w:rsidP="00F006D6">
      <w:pPr>
        <w:pStyle w:val="Akapitzlist"/>
      </w:pPr>
      <w:r w:rsidRPr="001D200B">
        <w:t>Dywersyfikacja dostaw gazu i ropy oraz rozbudowa infrastruktury sieciowej;</w:t>
      </w:r>
    </w:p>
    <w:p w:rsidR="00EA16D5" w:rsidRPr="001D200B" w:rsidRDefault="00EA16D5" w:rsidP="00F006D6">
      <w:pPr>
        <w:pStyle w:val="Akapitzlist"/>
      </w:pPr>
      <w:r w:rsidRPr="001D200B">
        <w:t>Rozwój rynków energii;</w:t>
      </w:r>
    </w:p>
    <w:p w:rsidR="00EA16D5" w:rsidRPr="001D200B" w:rsidRDefault="00EA16D5" w:rsidP="00F006D6">
      <w:pPr>
        <w:pStyle w:val="Akapitzlist"/>
      </w:pPr>
      <w:r w:rsidRPr="001D200B">
        <w:t>Wdrożenie energetyki jądrowej;</w:t>
      </w:r>
    </w:p>
    <w:p w:rsidR="00EA16D5" w:rsidRPr="001D200B" w:rsidRDefault="00EA16D5" w:rsidP="00F006D6">
      <w:pPr>
        <w:pStyle w:val="Akapitzlist"/>
      </w:pPr>
      <w:r w:rsidRPr="001D200B">
        <w:t>Rozwój odnawialnych źródeł energii;</w:t>
      </w:r>
    </w:p>
    <w:p w:rsidR="00EA16D5" w:rsidRPr="001D200B" w:rsidRDefault="00EA16D5" w:rsidP="00F006D6">
      <w:pPr>
        <w:pStyle w:val="Akapitzlist"/>
      </w:pPr>
      <w:r w:rsidRPr="001D200B">
        <w:t>Rozwój ciepłownictwa i kogeneracji;</w:t>
      </w:r>
    </w:p>
    <w:p w:rsidR="00EA16D5" w:rsidRPr="001D200B" w:rsidRDefault="00EA16D5" w:rsidP="00F006D6">
      <w:pPr>
        <w:pStyle w:val="Akapitzlist"/>
      </w:pPr>
      <w:r w:rsidRPr="001D200B">
        <w:t>Poprawa efektywności energetycznej gospodarki.</w:t>
      </w:r>
    </w:p>
    <w:p w:rsidR="006A5470" w:rsidRPr="001D200B" w:rsidRDefault="006A5470" w:rsidP="006A5470">
      <w:r w:rsidRPr="001D200B">
        <w:rPr>
          <w:b/>
          <w:i/>
        </w:rPr>
        <w:t xml:space="preserve">Strategia na rzecz odpowiedzialnego rozwoju do roku 2020 z perspektywą do 2030 r. </w:t>
      </w:r>
      <w:r w:rsidRPr="001D200B">
        <w:t>przyjęta przez Radę Ministrów 14 lutego 2017r. Strategia (tzw. SOR) ok</w:t>
      </w:r>
      <w:r w:rsidRPr="001D200B">
        <w:rPr>
          <w:shd w:val="clear" w:color="auto" w:fill="FFFFFF"/>
        </w:rPr>
        <w:t>reśla podstawowe uwarunkowania, cele i kierunki rozwoju kraju w wymiarze społecznym, gospodarczym, regionalnym i przestrzennym w perspektywie roku 2020 i 2030.</w:t>
      </w:r>
      <w:r w:rsidRPr="001D200B">
        <w:t xml:space="preserve"> </w:t>
      </w:r>
    </w:p>
    <w:p w:rsidR="006A5470" w:rsidRPr="001D200B" w:rsidRDefault="006A5470" w:rsidP="006A5470">
      <w:r w:rsidRPr="001D200B">
        <w:t xml:space="preserve">Głównym celem rozwoju jest </w:t>
      </w:r>
      <w:r w:rsidRPr="001D200B">
        <w:rPr>
          <w:i/>
        </w:rPr>
        <w:t>tworzenie warunków dla wzrostu dochodów mieszkańców Polski przy jednoczesnym wzroście spójności w wymiarze społecznym, ekonomicznym, środowiskowym i terytorialnym</w:t>
      </w:r>
      <w:r w:rsidRPr="001D200B">
        <w:t xml:space="preserve">. </w:t>
      </w:r>
    </w:p>
    <w:p w:rsidR="006A5470" w:rsidRPr="001D200B" w:rsidRDefault="006A5470" w:rsidP="006A5470">
      <w:r w:rsidRPr="001D200B">
        <w:t xml:space="preserve">Jednym z ważniejszych obszarów wpływających na osiągnięcie założeń Strategii jest obszar energii, gdzie określono cel: </w:t>
      </w:r>
      <w:r w:rsidRPr="001D200B">
        <w:rPr>
          <w:i/>
        </w:rPr>
        <w:t>zapewnienie powszechnego dostępu do energii pochodzącej z różnych źródeł</w:t>
      </w:r>
      <w:r w:rsidRPr="001D200B">
        <w:t>. Kierunki interwencji skoncentrowane są na poprawie bezpieczeństwa energetycznego poprzez:</w:t>
      </w:r>
    </w:p>
    <w:p w:rsidR="006A5470" w:rsidRPr="001D200B" w:rsidRDefault="006A5470" w:rsidP="00F21741">
      <w:pPr>
        <w:pStyle w:val="Punktatory1"/>
      </w:pPr>
      <w:r w:rsidRPr="001D200B">
        <w:lastRenderedPageBreak/>
        <w:t>zapewnienie dywersyfikacji źródeł wytwórczych,</w:t>
      </w:r>
    </w:p>
    <w:p w:rsidR="006A5470" w:rsidRPr="001D200B" w:rsidRDefault="006A5470" w:rsidP="00F21741">
      <w:pPr>
        <w:pStyle w:val="Punktatory1"/>
      </w:pPr>
      <w:r w:rsidRPr="001D200B">
        <w:t>dywersyfikację źródeł, kierunków i dostawców gazu,</w:t>
      </w:r>
    </w:p>
    <w:p w:rsidR="006A5470" w:rsidRPr="001D200B" w:rsidRDefault="006A5470" w:rsidP="00F21741">
      <w:pPr>
        <w:pStyle w:val="Punktatory1"/>
      </w:pPr>
      <w:r w:rsidRPr="001D200B">
        <w:t>stworzenie warunków ułatwiających inwestycje w infrastrukturę wytwórczą energii elektrycznej,</w:t>
      </w:r>
    </w:p>
    <w:p w:rsidR="006A5470" w:rsidRPr="001D200B" w:rsidRDefault="006A5470" w:rsidP="00F21741">
      <w:pPr>
        <w:pStyle w:val="Punktatory1"/>
      </w:pPr>
      <w:r w:rsidRPr="001D200B">
        <w:t>zwiększanie udziału stabilnych odnawialnych źródeł energii, w tym klastrów, spółdzielni energetycznych, itp.,</w:t>
      </w:r>
    </w:p>
    <w:p w:rsidR="006A5470" w:rsidRPr="001D200B" w:rsidRDefault="006A5470" w:rsidP="00F21741">
      <w:pPr>
        <w:pStyle w:val="Punktatory1"/>
      </w:pPr>
      <w:r w:rsidRPr="001D200B">
        <w:t>zwiększanie efektywności polskiego sektora górniczego,</w:t>
      </w:r>
    </w:p>
    <w:p w:rsidR="006A5470" w:rsidRPr="001D200B" w:rsidRDefault="006A5470" w:rsidP="00F21741">
      <w:pPr>
        <w:pStyle w:val="Punktatory1"/>
      </w:pPr>
      <w:r w:rsidRPr="001D200B">
        <w:t>zachowanie priorytetowej roli poprawy efektywności energetycznej gospodarki, w tym eliminowania emisji szkodzących środowisku,</w:t>
      </w:r>
    </w:p>
    <w:p w:rsidR="006A5470" w:rsidRPr="001D200B" w:rsidRDefault="006A5470" w:rsidP="00F21741">
      <w:pPr>
        <w:pStyle w:val="Punktatory1"/>
      </w:pPr>
      <w:r w:rsidRPr="001D200B">
        <w:t>rozwój mechanizmów inteligentnej sieci energetycznej w zakresie monitoringu i zarządzania siecią oraz opomiarowania wspierającego innowacyjne produkty,</w:t>
      </w:r>
    </w:p>
    <w:p w:rsidR="006A5470" w:rsidRPr="001D200B" w:rsidRDefault="006A5470" w:rsidP="00F21741">
      <w:pPr>
        <w:pStyle w:val="Punktatory1"/>
      </w:pPr>
      <w:r w:rsidRPr="001D200B">
        <w:t>podjęcie działań organizacyjno-prawnych i technicznych związanych z przebudową polskiej sieci elektroenergetycznej do sieci inteligentnej (</w:t>
      </w:r>
      <w:r w:rsidRPr="001D200B">
        <w:rPr>
          <w:i/>
          <w:iCs/>
        </w:rPr>
        <w:t>smart power grid).</w:t>
      </w:r>
    </w:p>
    <w:p w:rsidR="006A5470" w:rsidRPr="001D200B" w:rsidRDefault="006A5470" w:rsidP="00F21741">
      <w:pPr>
        <w:pStyle w:val="Punktatory1"/>
      </w:pPr>
      <w:r w:rsidRPr="001D200B">
        <w:t xml:space="preserve">Priorytety w polityce energetycznej kraju to: </w:t>
      </w:r>
    </w:p>
    <w:p w:rsidR="006A5470" w:rsidRPr="001D200B" w:rsidRDefault="006A5470" w:rsidP="00F21741">
      <w:pPr>
        <w:pStyle w:val="Punktatory1"/>
      </w:pPr>
      <w:r w:rsidRPr="001D200B">
        <w:t>poprawa bezpieczeństwa energetycznego kraju (projekty strategiczne: Rynek mocy, Program polskiej energetyki jądrowej, Hub gazowy);</w:t>
      </w:r>
    </w:p>
    <w:p w:rsidR="006A5470" w:rsidRPr="001D200B" w:rsidRDefault="006A5470" w:rsidP="00F21741">
      <w:pPr>
        <w:pStyle w:val="Punktatory1"/>
      </w:pPr>
      <w:r w:rsidRPr="001D200B">
        <w:t>poprawa efektywności energetycznej (projekt strategiczny: Program budowy inteligentnej sieci elektroenergetycznej w Polsce);</w:t>
      </w:r>
    </w:p>
    <w:p w:rsidR="006A5470" w:rsidRPr="001D200B" w:rsidRDefault="006A5470" w:rsidP="00F21741">
      <w:pPr>
        <w:pStyle w:val="Punktatory1"/>
      </w:pPr>
      <w:r w:rsidRPr="001D200B">
        <w:t>rozwój techniki (projekty strategiczne: Program Rozwoju Elektromobilności, Rozwój i wykorzystanie potencjału geotermalnego w Polsce, Energetyka rozproszona, Wykorzystanie potencjału hydroenergetycznego, Innowacyjne metody poszukiwania i wydobycia węglowodorów);</w:t>
      </w:r>
    </w:p>
    <w:p w:rsidR="006A5470" w:rsidRPr="001D200B" w:rsidRDefault="006A5470" w:rsidP="00F21741">
      <w:pPr>
        <w:pStyle w:val="Punktatory1"/>
      </w:pPr>
      <w:r w:rsidRPr="001D200B">
        <w:t>restrukturyzacja sektora górnictwa węgla kamiennego (projekt strategiczny: Restrukturyzacja sektora górnictwa węgla kamiennego).</w:t>
      </w:r>
    </w:p>
    <w:p w:rsidR="006A5470" w:rsidRPr="001D200B" w:rsidRDefault="006A5470" w:rsidP="006A5470">
      <w:r w:rsidRPr="001D200B">
        <w:rPr>
          <w:b/>
          <w:bCs/>
        </w:rPr>
        <w:t xml:space="preserve">Strategiczny plan adaptacji dla sektorów i obszarów wrażliwych na zmiany klimatu do roku 2020 z perspektywą do roku 2030. </w:t>
      </w:r>
      <w:r w:rsidRPr="001D200B">
        <w:t xml:space="preserve">Celem głównym dokumentu jest: </w:t>
      </w:r>
      <w:r w:rsidRPr="001D200B">
        <w:rPr>
          <w:i/>
        </w:rPr>
        <w:t>zapewnienie zrównoważonego rozwoju oraz efektywnego funkcjonowania gospodarki i społeczeństwa w warunkach zmian klimatu</w:t>
      </w:r>
      <w:r w:rsidRPr="001D200B">
        <w:t>. Cele szczegółowe to: zapewnienie bezpieczeństwa energetycznego i dobrego stanu środowiska, skuteczna adaptacja do zmian klimatu na obszarach wiejskich, rozwój transportu w warunkach zmian klimatu, zapewnienie zrównoważonego rozwoju regionalnego i lokalnego z uwzględnieniem zmian klimatu, stymulowanie innowacji sprzyjających adaptacji do zmian klimatu, kształtowanie postaw społecznych sprzyjających adaptacji do zmian klimatu.</w:t>
      </w:r>
    </w:p>
    <w:p w:rsidR="00EA16D5" w:rsidRPr="001D200B" w:rsidRDefault="00EA16D5" w:rsidP="00EA16D5">
      <w:r w:rsidRPr="001D200B">
        <w:rPr>
          <w:b/>
          <w:bCs/>
          <w:i/>
        </w:rPr>
        <w:t>Krajowy Plan Działań dotyczący efektywności energetycznej dla Polski 2017</w:t>
      </w:r>
      <w:r w:rsidRPr="001D200B">
        <w:rPr>
          <w:b/>
          <w:bCs/>
        </w:rPr>
        <w:t xml:space="preserve"> </w:t>
      </w:r>
      <w:r w:rsidRPr="001D200B">
        <w:t xml:space="preserve">jest czwartym krajowym planem, sporządzonym zgodnie z załącznikiem XIV do dyrektywy Parlamentu </w:t>
      </w:r>
      <w:r w:rsidRPr="001D200B">
        <w:lastRenderedPageBreak/>
        <w:t xml:space="preserve">Europejskiego i Rady 2012/27/UE w sprawie efektywności energetycznej (Dz. Urz. L315 z 14.11.2012, str. 1). Celem efektywności energetycznej dla Polski jest osiągnięcie w latach 2010-2020 ograniczenia zużycia energii pierwotnej o 13,6 Mtoe (milion ton oleju ekwiwalentnego 1Mtoe=11630GWh). </w:t>
      </w:r>
    </w:p>
    <w:p w:rsidR="006A5470" w:rsidRPr="001D200B" w:rsidRDefault="006A5470" w:rsidP="006A5470">
      <w:r w:rsidRPr="001D200B">
        <w:rPr>
          <w:b/>
          <w:bCs/>
          <w:i/>
        </w:rPr>
        <w:t>Krajowy plan działania w zakresie energii ze źródeł odnawialnych</w:t>
      </w:r>
      <w:r w:rsidRPr="001D200B">
        <w:rPr>
          <w:b/>
          <w:bCs/>
        </w:rPr>
        <w:t xml:space="preserve"> </w:t>
      </w:r>
      <w:r w:rsidRPr="001D200B">
        <w:t xml:space="preserve">(przyjęty przez Radę Ministrów 7 grudnia 2010r.) określa krajowe cele w zakresie udziału energii ze źródeł odnawialnych w sektorze transportowym, sektorze energii elektrycznej, sektorze ogrzewania i chłodzenia w 2020 r. Cel krajowy do 2020 roku w zakresie udziału energii ze źródeł odnawialnych w końcowym zużyciu energii brutto wynosi 15%, natomiast w zakresie udziału odnawialnych źródeł w sektorze transportowym 10%. </w:t>
      </w:r>
    </w:p>
    <w:p w:rsidR="006A5470" w:rsidRPr="001D200B" w:rsidRDefault="006A5470" w:rsidP="006A5470">
      <w:pPr>
        <w:rPr>
          <w:rFonts w:cstheme="minorHAnsi"/>
        </w:rPr>
      </w:pPr>
      <w:r w:rsidRPr="001D200B">
        <w:rPr>
          <w:b/>
          <w:i/>
        </w:rPr>
        <w:t xml:space="preserve">Polityka ekologiczna państwa 2030. </w:t>
      </w:r>
      <w:r w:rsidRPr="001D200B">
        <w:rPr>
          <w:rFonts w:cstheme="minorHAnsi"/>
        </w:rPr>
        <w:t xml:space="preserve">Celem głównym Polityki jest rozwój potencjału środowiska na rzecz obywateli i przedsiębiorców. </w:t>
      </w:r>
      <w:r w:rsidRPr="001D200B">
        <w:t>Temat energii jest uwzględniony w kierunkach interwencji dotyczących likwidacji źródeł emisji zanieczyszczeń powietrza. Określone są tu kierunki działań: inwestycje związane ze zwiększeniem udziału OZE, modernizację systemów elektrociepłowni, elektrowni i ciepłowni w celu zmniejszenia emisji zanieczyszczeń, rozwój transportu niskoemisyjnego, zmniejszenie strat energii związanych z jej przesyłem oraz rozwój klastrów energii i transformacji gmin w samowystarczalne energetycznie.</w:t>
      </w:r>
    </w:p>
    <w:p w:rsidR="006A5470" w:rsidRPr="001D200B" w:rsidRDefault="006A5470" w:rsidP="006A5470">
      <w:pPr>
        <w:rPr>
          <w:b/>
          <w:bCs/>
          <w:i/>
          <w:iCs/>
        </w:rPr>
      </w:pPr>
      <w:r w:rsidRPr="001D200B">
        <w:rPr>
          <w:b/>
          <w:bCs/>
          <w:i/>
          <w:iCs/>
        </w:rPr>
        <w:t xml:space="preserve">Założenia Narodowego programu rozwoju gospodarki niskoemisyjnej. </w:t>
      </w:r>
      <w:r w:rsidRPr="001D200B">
        <w:t xml:space="preserve">Celem głównym jest: rozwój gospodarki niskoemisyjnej przy zapewnieniu zrównoważonego rozwoju kraju, cele szczegółowe dotyczą: rozwoju niskoemisyjnych źródeł energii, poprawy efektywności energetycznej, poprawy efektywności gospodarowania surowcami i materiałami, rozwoju i wykorzystania technologii niskoemisyjnych, zapobiegania powstawaniu oraz poprawy efektywności gospodarowania odpadami, promocji nowych wzorców konsumpcji. </w:t>
      </w:r>
    </w:p>
    <w:p w:rsidR="006A5470" w:rsidRPr="001D200B" w:rsidRDefault="006A5470" w:rsidP="006A5470">
      <w:r w:rsidRPr="001D200B">
        <w:rPr>
          <w:b/>
          <w:i/>
        </w:rPr>
        <w:t>Krajowy program ochrony powietrza do roku 2020 (z perspektywą do 2030)</w:t>
      </w:r>
      <w:r w:rsidRPr="001D200B">
        <w:t xml:space="preserve"> przyjęty przez Rząd 3 września 2015r. Krajowy Program Ochrony Powietrza (KPOP) to dokument strategiczny wyznaczający cele i kierunki działań, jakie powinny zostać uwzględnione, w szczególności na szczeblu lokalnym oraz w programach ochrony powietrza. Program w największym zakresie odnosi się do </w:t>
      </w:r>
      <w:r w:rsidRPr="001D200B">
        <w:rPr>
          <w:rFonts w:eastAsia="MinionPro-Regular"/>
        </w:rPr>
        <w:t xml:space="preserve">obszarów o najwyższych stężeniach zanieczyszczeń powietrza oraz obszarów, na których występują duże skupiska ludności. </w:t>
      </w:r>
    </w:p>
    <w:p w:rsidR="006A5470" w:rsidRPr="001D200B" w:rsidRDefault="006A5470" w:rsidP="006A5470">
      <w:r w:rsidRPr="001D200B">
        <w:rPr>
          <w:rFonts w:cstheme="minorHAnsi"/>
          <w:b/>
          <w:bCs/>
        </w:rPr>
        <w:t>Celem głównym</w:t>
      </w:r>
      <w:r w:rsidRPr="001D200B">
        <w:rPr>
          <w:rFonts w:cstheme="minorHAnsi"/>
          <w:bCs/>
        </w:rPr>
        <w:t xml:space="preserve"> (KPOP) </w:t>
      </w:r>
      <w:r w:rsidRPr="001D200B">
        <w:t>jest poprawa jakości życia mieszkańców Rzeczypospolitej Polskiej, szczególnie ochrona ich zdrowia i warunków życia, z uwzględnieniem ochrony środowiska, z jednoczesnym zachowaniem zasad zrównoważonego rozwoju.</w:t>
      </w:r>
    </w:p>
    <w:p w:rsidR="006A5470" w:rsidRPr="001D200B" w:rsidRDefault="006A5470" w:rsidP="006A5470">
      <w:r w:rsidRPr="001D200B">
        <w:rPr>
          <w:u w:val="single"/>
        </w:rPr>
        <w:t>Kierunki działań</w:t>
      </w:r>
      <w:r w:rsidRPr="001D200B">
        <w:t xml:space="preserve">: </w:t>
      </w:r>
    </w:p>
    <w:p w:rsidR="006A5470" w:rsidRPr="001D200B" w:rsidRDefault="006A5470" w:rsidP="00F21741">
      <w:pPr>
        <w:pStyle w:val="Punktatory1"/>
      </w:pPr>
      <w:r w:rsidRPr="001D200B">
        <w:t>Podniesienie rangi zagadnienia poprawy jakości powietrza poprzez skonsolidowanie działań na szczeblu krajowym oraz powołanie Partnerstwa na rzecz poprawy jakości powietrza;</w:t>
      </w:r>
    </w:p>
    <w:p w:rsidR="006A5470" w:rsidRPr="001D200B" w:rsidRDefault="006A5470" w:rsidP="00F21741">
      <w:pPr>
        <w:pStyle w:val="Punktatory1"/>
      </w:pPr>
      <w:r w:rsidRPr="001D200B">
        <w:lastRenderedPageBreak/>
        <w:t>Stworzenie ram prawnych sprzyjających realizacji efektywnych działań mających na celu poprawę jakości powietrza;</w:t>
      </w:r>
    </w:p>
    <w:p w:rsidR="006A5470" w:rsidRPr="001D200B" w:rsidRDefault="006A5470" w:rsidP="00F21741">
      <w:pPr>
        <w:pStyle w:val="Punktatory1"/>
      </w:pPr>
      <w:r w:rsidRPr="001D200B">
        <w:t>Włączenie społeczeństwa w działania na rzecz poprawy jakości powietrza poprzez zwiększenie świadomości społecznej oraz tworzenie trwałych platform dialogu z organizacjami społecznymi;</w:t>
      </w:r>
    </w:p>
    <w:p w:rsidR="006A5470" w:rsidRPr="001D200B" w:rsidRDefault="006A5470" w:rsidP="00F21741">
      <w:pPr>
        <w:pStyle w:val="Punktatory1"/>
      </w:pPr>
      <w:r w:rsidRPr="001D200B">
        <w:t>Rozwój i rozpowszechnienie technologii sprzyjających poprawie jakości powietrza;</w:t>
      </w:r>
    </w:p>
    <w:p w:rsidR="006A5470" w:rsidRPr="001D200B" w:rsidRDefault="006A5470" w:rsidP="00F21741">
      <w:pPr>
        <w:pStyle w:val="Punktatory1"/>
      </w:pPr>
      <w:r w:rsidRPr="001D200B">
        <w:t>Rozwój mechanizmów kontrolowania źródeł niskiej emisji sprzyjających poprawie jakości powietrza;</w:t>
      </w:r>
    </w:p>
    <w:p w:rsidR="00EA16D5" w:rsidRPr="001D200B" w:rsidRDefault="00EA16D5" w:rsidP="00EA16D5">
      <w:pPr>
        <w:rPr>
          <w:b/>
          <w:u w:val="single"/>
        </w:rPr>
      </w:pPr>
      <w:r w:rsidRPr="001D200B">
        <w:rPr>
          <w:b/>
          <w:u w:val="single"/>
        </w:rPr>
        <w:t xml:space="preserve">Dodatkowymi dokumentami kierunkującymi </w:t>
      </w:r>
      <w:r w:rsidRPr="001D200B">
        <w:rPr>
          <w:b/>
          <w:i/>
          <w:u w:val="single"/>
        </w:rPr>
        <w:t>Założenia do planu (…)</w:t>
      </w:r>
      <w:r w:rsidRPr="001D200B">
        <w:rPr>
          <w:b/>
          <w:u w:val="single"/>
        </w:rPr>
        <w:t>, są:</w:t>
      </w:r>
    </w:p>
    <w:p w:rsidR="00EA16D5" w:rsidRPr="001D200B" w:rsidRDefault="00EA16D5" w:rsidP="00412E46">
      <w:pPr>
        <w:pStyle w:val="Punktatory2"/>
        <w:numPr>
          <w:ilvl w:val="0"/>
          <w:numId w:val="13"/>
        </w:numPr>
        <w:spacing w:before="0" w:after="0"/>
        <w:ind w:left="567" w:hanging="425"/>
        <w:rPr>
          <w:i/>
          <w:iCs/>
          <w:u w:val="single"/>
        </w:rPr>
      </w:pPr>
      <w:r w:rsidRPr="001D200B">
        <w:rPr>
          <w:u w:val="single"/>
        </w:rPr>
        <w:t xml:space="preserve">Dyrektywa 2004/8/WE Parlamentu Europejskiego i Rady z dnia 11 lutego 2004r. </w:t>
      </w:r>
      <w:r w:rsidRPr="001D200B">
        <w:rPr>
          <w:i/>
          <w:iCs/>
          <w:u w:val="single"/>
        </w:rPr>
        <w:t>w sprawie wspierania Kogeneracji w oparciu o zapotrzebowanie na ciepło użytkowe na rynku wewnętrznym energii oraz zmieniające dyrektywę 92/42/EWG</w:t>
      </w:r>
    </w:p>
    <w:p w:rsidR="00EA16D5" w:rsidRPr="001D200B" w:rsidRDefault="00EA16D5" w:rsidP="00EA16D5">
      <w:r w:rsidRPr="001D200B">
        <w:t>Celem dyrektywy jest wzrost sprawności produkcji energii elektrycznej poprzez zwiększenie równoczesnego wytwarzania ciepła i energii elektrycznej we wspólnym procesie technologicznym, jak najbliżej miejsca jej zużycia, tj. odbiorcy końcowego (kogeneracja rozproszona). Rozwój skojarzonych systemów produkcji energii możliwy jest na obszarach objętych scentralizowanym systemem zaopatrzenia w ciepło i związany jest bezpośrednio z rozbudową sieci ciepłowniczych.</w:t>
      </w:r>
    </w:p>
    <w:p w:rsidR="00EA16D5" w:rsidRPr="001D200B" w:rsidRDefault="00EA16D5" w:rsidP="00412E46">
      <w:pPr>
        <w:pStyle w:val="Punktatory2"/>
        <w:numPr>
          <w:ilvl w:val="0"/>
          <w:numId w:val="13"/>
        </w:numPr>
        <w:spacing w:before="0" w:after="0"/>
        <w:ind w:left="567"/>
        <w:rPr>
          <w:u w:val="single"/>
        </w:rPr>
      </w:pPr>
      <w:r w:rsidRPr="001D200B">
        <w:rPr>
          <w:u w:val="single"/>
        </w:rPr>
        <w:t>Dyrektywa 2009/28/WE Parlamentu Europejskiego i Rady z dnia 23 kwietnia 2009r.</w:t>
      </w:r>
      <w:r w:rsidRPr="001D200B">
        <w:rPr>
          <w:i/>
          <w:iCs/>
          <w:u w:val="single"/>
        </w:rPr>
        <w:t xml:space="preserve"> w sprawie promowania stosowania energii ze źródeł odnawialnych. </w:t>
      </w:r>
    </w:p>
    <w:p w:rsidR="00EA16D5" w:rsidRPr="001D200B" w:rsidRDefault="00EA16D5" w:rsidP="00EA16D5">
      <w:r w:rsidRPr="001D200B">
        <w:t xml:space="preserve">Głównym założeniem dyrektywy, która jest elementem pakietu klimatycznego UE, jest zobligowanie Państwa Członkowskiego do promowania, zachęcania i wspierania inwestycji i rozwoju na rynku odnawialnych źródeł energii. Dyrektywa również wymaga usprawnienia i ułatwienia procedur administracyjnych w odniesieniu do realizacji inwestycji w źródła energii odnawialnej. Cel ilościowy dla Polski to osiągnięcie 15% udziału energii ze źródeł odnawialnych w końcowym zużyciu energii brutto w 2020 roku. </w:t>
      </w:r>
    </w:p>
    <w:p w:rsidR="00EA16D5" w:rsidRPr="001D200B" w:rsidRDefault="00EA16D5" w:rsidP="00412E46">
      <w:pPr>
        <w:pStyle w:val="Punktatory2"/>
        <w:numPr>
          <w:ilvl w:val="0"/>
          <w:numId w:val="13"/>
        </w:numPr>
        <w:spacing w:before="0" w:after="0"/>
        <w:ind w:left="567"/>
        <w:rPr>
          <w:b/>
          <w:u w:val="single"/>
        </w:rPr>
      </w:pPr>
      <w:r w:rsidRPr="001D200B">
        <w:rPr>
          <w:rStyle w:val="Pogrubienie"/>
          <w:rFonts w:asciiTheme="minorHAnsi" w:hAnsiTheme="minorHAnsi"/>
          <w:b w:val="0"/>
          <w:u w:val="single"/>
        </w:rPr>
        <w:t xml:space="preserve">Dyrektywa Parlamentu Europejskiego i Rady 2008/50/WE z dnia 21 maja 2008r. </w:t>
      </w:r>
      <w:r w:rsidRPr="001D200B">
        <w:rPr>
          <w:rStyle w:val="Pogrubienie"/>
          <w:rFonts w:asciiTheme="minorHAnsi" w:hAnsiTheme="minorHAnsi"/>
          <w:b w:val="0"/>
          <w:u w:val="single"/>
        </w:rPr>
        <w:br/>
      </w:r>
      <w:r w:rsidRPr="001D200B">
        <w:rPr>
          <w:rStyle w:val="Pogrubienie"/>
          <w:rFonts w:asciiTheme="minorHAnsi" w:hAnsiTheme="minorHAnsi"/>
          <w:b w:val="0"/>
          <w:i/>
          <w:u w:val="single"/>
        </w:rPr>
        <w:t>w sprawie jakości powietrza i czystszego powietrza dla Europy</w:t>
      </w:r>
      <w:r w:rsidRPr="001D200B">
        <w:rPr>
          <w:rStyle w:val="Pogrubienie"/>
          <w:rFonts w:asciiTheme="minorHAnsi" w:hAnsiTheme="minorHAnsi"/>
          <w:b w:val="0"/>
          <w:u w:val="single"/>
        </w:rPr>
        <w:t xml:space="preserve"> (CAFE)</w:t>
      </w:r>
      <w:r w:rsidRPr="001D200B">
        <w:rPr>
          <w:b/>
          <w:i/>
          <w:iCs/>
          <w:u w:val="single"/>
        </w:rPr>
        <w:t xml:space="preserve"> </w:t>
      </w:r>
    </w:p>
    <w:p w:rsidR="00EA16D5" w:rsidRPr="001D200B" w:rsidRDefault="00EA16D5" w:rsidP="00EA16D5">
      <w:r w:rsidRPr="001D200B">
        <w:t xml:space="preserve">Dyrektywa CAFE stanowi główny instrument prawny na szczeblu unijnym dotyczący zanieczyszczeń powietrza, tym samym ma na celu ochronę środowiska i zdrowia ludzkiego. Dyrektywa wyznacza m.in. standardy oceny i pomiaru oraz cele redukcyjne stężenia w powietrzu pyłów zawieszonych, tj. substancji zanieczyszczających powietrze, które są najbardziej szkodliwe dla zdrowia ludzkiego. </w:t>
      </w:r>
    </w:p>
    <w:p w:rsidR="00EA16D5" w:rsidRPr="001D200B" w:rsidRDefault="00EA16D5" w:rsidP="00412E46">
      <w:pPr>
        <w:pStyle w:val="Punktatory2"/>
        <w:numPr>
          <w:ilvl w:val="0"/>
          <w:numId w:val="13"/>
        </w:numPr>
        <w:spacing w:before="0" w:after="0"/>
        <w:ind w:left="426" w:hanging="284"/>
        <w:rPr>
          <w:i/>
          <w:iCs/>
          <w:u w:val="single"/>
        </w:rPr>
      </w:pPr>
      <w:r w:rsidRPr="001D200B">
        <w:rPr>
          <w:u w:val="single"/>
        </w:rPr>
        <w:t xml:space="preserve">Ustawa z dnia 21 listopada 2008r. </w:t>
      </w:r>
      <w:r w:rsidRPr="001D200B">
        <w:rPr>
          <w:i/>
          <w:iCs/>
          <w:u w:val="single"/>
        </w:rPr>
        <w:t xml:space="preserve">o wspieraniu termomodernizacji i remontów </w:t>
      </w:r>
      <w:r w:rsidRPr="001D200B">
        <w:rPr>
          <w:iCs/>
          <w:u w:val="single"/>
        </w:rPr>
        <w:t xml:space="preserve">(tj. </w:t>
      </w:r>
      <w:r w:rsidRPr="001D200B">
        <w:rPr>
          <w:u w:val="single"/>
        </w:rPr>
        <w:t xml:space="preserve">Dz. U. </w:t>
      </w:r>
      <w:r w:rsidR="005C7EB4" w:rsidRPr="001D200B">
        <w:rPr>
          <w:u w:val="single"/>
        </w:rPr>
        <w:t>2020</w:t>
      </w:r>
      <w:r w:rsidRPr="001D200B">
        <w:rPr>
          <w:u w:val="single"/>
        </w:rPr>
        <w:t>, poz.</w:t>
      </w:r>
      <w:r w:rsidR="005C7EB4" w:rsidRPr="001D200B">
        <w:rPr>
          <w:u w:val="single"/>
        </w:rPr>
        <w:t>22</w:t>
      </w:r>
      <w:r w:rsidR="007740CC" w:rsidRPr="001D200B">
        <w:rPr>
          <w:u w:val="single"/>
        </w:rPr>
        <w:t xml:space="preserve"> ze zm.</w:t>
      </w:r>
      <w:r w:rsidRPr="001D200B">
        <w:rPr>
          <w:u w:val="single"/>
        </w:rPr>
        <w:t xml:space="preserve">) </w:t>
      </w:r>
    </w:p>
    <w:p w:rsidR="00EA16D5" w:rsidRPr="001D200B" w:rsidRDefault="00EA16D5" w:rsidP="00EA16D5">
      <w:r w:rsidRPr="001D200B">
        <w:lastRenderedPageBreak/>
        <w:t xml:space="preserve">Ustawa określa zasady udzielania wsparcia finansowego przedsięwzięć termomodernizacyjnych i remontowych mających na celu m.in. zmniejszenie zapotrzebowania na energię dostarczaną na potrzeby ogrzewania i podgrzewania wody użytkowej oraz ogrzewania budynków mieszkalnych, budynków zbiorowego zamieszkania oraz budynków stanowiących własność jednostek samorządu terytorialnego służących do wykonywania przez nie zadań publicznych; zmniejszenie strat energii pierwotnej w lokalnych sieciach ciepłowniczych oraz zasilających je lokalnych źródłach ciepła, wykonanie przyłącza technicznego do scentralizowanego źródła ciepła, zamianę źródeł energii na źródła odnawialne lub zastosowanie wysokosprawnej kogeneracji. Przewidzianą formą wsparcia jest premia termomodernizacyjna, remontowa lub kompensacyjna na refinansowanie kosztów przedsięwzięcia. </w:t>
      </w:r>
    </w:p>
    <w:p w:rsidR="00EA16D5" w:rsidRPr="001D200B" w:rsidRDefault="00EA16D5" w:rsidP="00412E46">
      <w:pPr>
        <w:pStyle w:val="Punktatory2"/>
        <w:numPr>
          <w:ilvl w:val="0"/>
          <w:numId w:val="13"/>
        </w:numPr>
        <w:spacing w:before="0" w:after="0"/>
        <w:ind w:left="426" w:hanging="284"/>
        <w:rPr>
          <w:u w:val="single"/>
        </w:rPr>
      </w:pPr>
      <w:r w:rsidRPr="001D200B">
        <w:rPr>
          <w:u w:val="single"/>
        </w:rPr>
        <w:t>Ustawa z dnia 20 maja 2016 roku o efektywności energetycznej (</w:t>
      </w:r>
      <w:r w:rsidR="007740CC" w:rsidRPr="001D200B">
        <w:rPr>
          <w:u w:val="single"/>
        </w:rPr>
        <w:t>tj. Dz. U. z 2020, poz. 264 ze zm</w:t>
      </w:r>
      <w:r w:rsidR="00240D93" w:rsidRPr="001D200B">
        <w:rPr>
          <w:u w:val="single"/>
        </w:rPr>
        <w:t>.</w:t>
      </w:r>
      <w:r w:rsidRPr="001D200B">
        <w:rPr>
          <w:u w:val="single"/>
        </w:rPr>
        <w:t>)</w:t>
      </w:r>
    </w:p>
    <w:p w:rsidR="00EA16D5" w:rsidRPr="001D200B" w:rsidRDefault="00EA16D5" w:rsidP="00EA16D5">
      <w:r w:rsidRPr="001D200B">
        <w:t xml:space="preserve">Ustawa o efektywności energetycznej jest wdrożeniem Dyrektywy WE z 2006 roku (2006/32/WE) w sprawie efektywności końcowego wykorzystania energii i usług energetycznych. Ustala zasady opracowania krajowego planu działań dotyczącego efektywności energetycznej oraz </w:t>
      </w:r>
    </w:p>
    <w:p w:rsidR="00EA16D5" w:rsidRPr="001D200B" w:rsidRDefault="00EA16D5" w:rsidP="00F006D6">
      <w:pPr>
        <w:pStyle w:val="Punktory"/>
        <w:rPr>
          <w:lang w:val="pl-PL"/>
        </w:rPr>
      </w:pPr>
      <w:r w:rsidRPr="001D200B">
        <w:rPr>
          <w:lang w:val="pl-PL"/>
        </w:rPr>
        <w:t>zadania jednostek sektora publicznego w zakresie efektywności energetycznej,</w:t>
      </w:r>
    </w:p>
    <w:p w:rsidR="00EA16D5" w:rsidRPr="001D200B" w:rsidRDefault="00EA16D5" w:rsidP="00F006D6">
      <w:pPr>
        <w:pStyle w:val="Punktory"/>
        <w:rPr>
          <w:lang w:val="pl-PL"/>
        </w:rPr>
      </w:pPr>
      <w:r w:rsidRPr="001D200B">
        <w:rPr>
          <w:lang w:val="pl-PL"/>
        </w:rPr>
        <w:t>zasady realizacji obowiązku oszczędności energii,</w:t>
      </w:r>
    </w:p>
    <w:p w:rsidR="00EA16D5" w:rsidRPr="001D200B" w:rsidRDefault="00EA16D5" w:rsidP="00F006D6">
      <w:pPr>
        <w:pStyle w:val="Punktory"/>
        <w:rPr>
          <w:lang w:val="pl-PL"/>
        </w:rPr>
      </w:pPr>
      <w:r w:rsidRPr="001D200B">
        <w:rPr>
          <w:rFonts w:eastAsiaTheme="minorHAnsi"/>
          <w:lang w:val="pl-PL" w:eastAsia="en-US"/>
        </w:rPr>
        <w:t>zasady przeprowadzania audytu energetycznego przedsiębiorstwa.</w:t>
      </w:r>
    </w:p>
    <w:p w:rsidR="00EA16D5" w:rsidRPr="001D200B" w:rsidRDefault="00EA16D5" w:rsidP="00EA16D5">
      <w:r w:rsidRPr="001D200B">
        <w:t xml:space="preserve">Jednostka sektora publicznego realizuje swoje zadania, stosując co najmniej jeden ze środków poprawy efektywności energetycznej. </w:t>
      </w:r>
    </w:p>
    <w:p w:rsidR="00EA16D5" w:rsidRPr="001D200B" w:rsidRDefault="00EA16D5" w:rsidP="00EA16D5">
      <w:pPr>
        <w:rPr>
          <w:i/>
          <w:iCs/>
        </w:rPr>
      </w:pPr>
      <w:r w:rsidRPr="001D200B">
        <w:rPr>
          <w:i/>
          <w:iCs/>
        </w:rPr>
        <w:t>Środkiem poprawy efektywności energetycznej są:</w:t>
      </w:r>
    </w:p>
    <w:p w:rsidR="00EA16D5" w:rsidRPr="001D200B" w:rsidRDefault="00EA16D5" w:rsidP="00EA16D5">
      <w:pPr>
        <w:rPr>
          <w:i/>
          <w:iCs/>
        </w:rPr>
      </w:pPr>
      <w:r w:rsidRPr="001D200B">
        <w:rPr>
          <w:i/>
          <w:iCs/>
        </w:rPr>
        <w:t>1) realizacja i finansowanie przedsięwzięcia służącego poprawie efektywności energetycznej;</w:t>
      </w:r>
    </w:p>
    <w:p w:rsidR="00EA16D5" w:rsidRPr="001D200B" w:rsidRDefault="00EA16D5" w:rsidP="00EA16D5">
      <w:pPr>
        <w:rPr>
          <w:i/>
          <w:iCs/>
        </w:rPr>
      </w:pPr>
      <w:r w:rsidRPr="001D200B">
        <w:rPr>
          <w:i/>
          <w:iCs/>
        </w:rPr>
        <w:t>2) nabycie urządzenia, instalacji lub pojazdu, charakteryzujących się niskim zużyciem energii oraz niskimi kosztami eksploatacji;</w:t>
      </w:r>
    </w:p>
    <w:p w:rsidR="00EA16D5" w:rsidRPr="001D200B" w:rsidRDefault="00EA16D5" w:rsidP="00EA16D5">
      <w:pPr>
        <w:rPr>
          <w:i/>
          <w:iCs/>
        </w:rPr>
      </w:pPr>
      <w:r w:rsidRPr="001D200B">
        <w:rPr>
          <w:i/>
          <w:iCs/>
        </w:rPr>
        <w:t>3) wymiana eksploatowanego urządzenia, instalacji lub pojazdu na urządzenie, instalację lub pojazd, o których mowa w pkt 2, lub ich modernizacja;</w:t>
      </w:r>
    </w:p>
    <w:p w:rsidR="00EA16D5" w:rsidRPr="001D200B" w:rsidRDefault="00EA16D5" w:rsidP="00EA16D5">
      <w:pPr>
        <w:rPr>
          <w:i/>
          <w:iCs/>
        </w:rPr>
      </w:pPr>
      <w:r w:rsidRPr="001D200B">
        <w:rPr>
          <w:i/>
          <w:iCs/>
        </w:rPr>
        <w:t>4) realizacja przedsięwzięcia termomodernizacyjnego w rozumieniu ustawy z dnia 21 listopada 2008r. o wspieraniu termomodernizacji i remontów (…);</w:t>
      </w:r>
    </w:p>
    <w:p w:rsidR="00EA16D5" w:rsidRPr="001D200B" w:rsidRDefault="00EA16D5" w:rsidP="00EA16D5">
      <w:pPr>
        <w:rPr>
          <w:i/>
          <w:iCs/>
        </w:rPr>
      </w:pPr>
      <w:r w:rsidRPr="001D200B">
        <w:rPr>
          <w:i/>
          <w:iCs/>
        </w:rPr>
        <w:t>5) wdrożenie systemu zarządzania środowiskiem (…)</w:t>
      </w:r>
    </w:p>
    <w:p w:rsidR="00EA16D5" w:rsidRPr="001D200B" w:rsidRDefault="00EA16D5" w:rsidP="00EA16D5">
      <w:pPr>
        <w:rPr>
          <w:i/>
          <w:iCs/>
        </w:rPr>
      </w:pPr>
      <w:r w:rsidRPr="001D200B">
        <w:rPr>
          <w:i/>
          <w:iCs/>
        </w:rPr>
        <w:t>6) realizacja gminnych programów niskoemisyjnych, o których mowa w ustawie z dnia 21 listopada 2008r. o wspieraniu termomodernizacji i remontów.</w:t>
      </w:r>
    </w:p>
    <w:p w:rsidR="00EA16D5" w:rsidRPr="001D200B" w:rsidRDefault="00EA16D5" w:rsidP="00EA16D5">
      <w:r w:rsidRPr="001D200B">
        <w:lastRenderedPageBreak/>
        <w:t>Jednostka sektora publicznego winna informować o stosowanych środkach poprawy efektywności energetycznej na swojej stronie internetowej lub w inny sposób zwyczajowo przyjęty w danej miejscowości.</w:t>
      </w:r>
    </w:p>
    <w:p w:rsidR="00EA16D5" w:rsidRPr="001D200B" w:rsidRDefault="00EA16D5" w:rsidP="00412E46">
      <w:pPr>
        <w:pStyle w:val="Punktatory2"/>
        <w:numPr>
          <w:ilvl w:val="0"/>
          <w:numId w:val="13"/>
        </w:numPr>
        <w:spacing w:before="0" w:after="0"/>
        <w:ind w:left="426" w:hanging="284"/>
        <w:rPr>
          <w:u w:val="single"/>
        </w:rPr>
      </w:pPr>
      <w:r w:rsidRPr="001D200B">
        <w:rPr>
          <w:u w:val="single"/>
        </w:rPr>
        <w:t>Ustawa z dnia 20 lutego 2015r. o odnawialnych źródłach energii (</w:t>
      </w:r>
      <w:r w:rsidR="00240D93" w:rsidRPr="001D200B">
        <w:rPr>
          <w:u w:val="single"/>
        </w:rPr>
        <w:t>tj. Dz. U. z 2020, poz. 261 ze zm.</w:t>
      </w:r>
      <w:r w:rsidRPr="001D200B">
        <w:rPr>
          <w:u w:val="single"/>
        </w:rPr>
        <w:t>)</w:t>
      </w:r>
    </w:p>
    <w:p w:rsidR="00EA16D5" w:rsidRPr="001D200B" w:rsidRDefault="00EA16D5" w:rsidP="00EA16D5">
      <w:r w:rsidRPr="001D200B">
        <w:t>Ustawa o OZE umożliwia kształtowanie mechanizmów i instrumentów wspierających wytwarzanie energii elektrycznej, ciepła lub chłodu, lub biogazu rolniczego w instalacjach odnawialnego źródła energii, wypracowanie optymalnego i zrównoważonego zaopatrzenia w energię odbiorców końcowych, a także wykorzystanie na cele energetyczne produktów ubocznych lub pozostałości z rolnictwa oraz przemysłu wykorzystującego surowce rolnicze.</w:t>
      </w:r>
    </w:p>
    <w:p w:rsidR="00EA16D5" w:rsidRPr="001D200B" w:rsidRDefault="00EA16D5" w:rsidP="006A5470">
      <w:pPr>
        <w:pStyle w:val="Tekstpodstawowy2"/>
        <w:shd w:val="clear" w:color="auto" w:fill="F2F2F2" w:themeFill="background1" w:themeFillShade="F2"/>
        <w:rPr>
          <w:rStyle w:val="Pogrubienie"/>
          <w:rFonts w:asciiTheme="minorHAnsi" w:hAnsiTheme="minorHAnsi" w:cstheme="minorHAnsi"/>
        </w:rPr>
      </w:pPr>
      <w:r w:rsidRPr="001D200B">
        <w:rPr>
          <w:rStyle w:val="Pogrubienie"/>
          <w:rFonts w:asciiTheme="minorHAnsi" w:hAnsiTheme="minorHAnsi" w:cstheme="minorHAnsi"/>
        </w:rPr>
        <w:t>Polityka energetyczna województwa świętokrzyskiego</w:t>
      </w:r>
    </w:p>
    <w:p w:rsidR="00EA16D5" w:rsidRPr="001D200B" w:rsidRDefault="00EA16D5" w:rsidP="00EA16D5">
      <w:pPr>
        <w:spacing w:line="300" w:lineRule="exact"/>
        <w:rPr>
          <w:rFonts w:cstheme="minorHAnsi"/>
        </w:rPr>
      </w:pPr>
      <w:r w:rsidRPr="001D200B">
        <w:rPr>
          <w:rFonts w:cstheme="minorHAnsi"/>
        </w:rPr>
        <w:t>Udział samorządu województwa w planowaniu energetycznym obejmuje:</w:t>
      </w:r>
    </w:p>
    <w:p w:rsidR="00EA16D5" w:rsidRPr="001D200B" w:rsidRDefault="00EA16D5" w:rsidP="00412E46">
      <w:pPr>
        <w:pStyle w:val="Punktatory2"/>
        <w:numPr>
          <w:ilvl w:val="0"/>
          <w:numId w:val="16"/>
        </w:numPr>
        <w:spacing w:line="240" w:lineRule="auto"/>
        <w:ind w:left="714" w:hanging="357"/>
        <w:rPr>
          <w:rFonts w:eastAsia="Calibri"/>
          <w:snapToGrid w:val="0"/>
        </w:rPr>
      </w:pPr>
      <w:r w:rsidRPr="001D200B">
        <w:rPr>
          <w:rFonts w:eastAsia="Calibri"/>
          <w:snapToGrid w:val="0"/>
        </w:rPr>
        <w:t xml:space="preserve">planowanie zaopatrzenia w energię i paliwa na obszarze województwa w zakresie określonym w art. 19 ust. 5 ustawy </w:t>
      </w:r>
      <w:r w:rsidRPr="001D200B">
        <w:rPr>
          <w:rFonts w:eastAsia="Calibri"/>
          <w:i/>
          <w:snapToGrid w:val="0"/>
        </w:rPr>
        <w:t>prawo energetyczne</w:t>
      </w:r>
      <w:r w:rsidRPr="001D200B">
        <w:rPr>
          <w:rStyle w:val="Pogrubienie"/>
          <w:rFonts w:asciiTheme="minorHAnsi" w:hAnsiTheme="minorHAnsi" w:cstheme="minorHAnsi"/>
        </w:rPr>
        <w:t xml:space="preserve"> </w:t>
      </w:r>
      <w:r w:rsidRPr="001D200B">
        <w:rPr>
          <w:rStyle w:val="Pogrubienie"/>
          <w:rFonts w:asciiTheme="minorHAnsi" w:hAnsiTheme="minorHAnsi" w:cstheme="minorHAnsi"/>
          <w:b w:val="0"/>
        </w:rPr>
        <w:t>(tj.</w:t>
      </w:r>
      <w:r w:rsidRPr="001D200B">
        <w:rPr>
          <w:rStyle w:val="Pogrubienie"/>
          <w:rFonts w:asciiTheme="minorHAnsi" w:hAnsiTheme="minorHAnsi" w:cstheme="minorHAnsi"/>
        </w:rPr>
        <w:t xml:space="preserve"> </w:t>
      </w:r>
      <w:r w:rsidRPr="001D200B">
        <w:rPr>
          <w:rStyle w:val="Pogrubienie"/>
          <w:rFonts w:asciiTheme="minorHAnsi" w:hAnsiTheme="minorHAnsi" w:cstheme="minorHAnsi"/>
          <w:b w:val="0"/>
        </w:rPr>
        <w:t>Dz. U. 2019 poz. 755 ze zm.)</w:t>
      </w:r>
      <w:r w:rsidRPr="001D200B">
        <w:rPr>
          <w:rFonts w:eastAsia="Calibri"/>
          <w:b/>
          <w:snapToGrid w:val="0"/>
        </w:rPr>
        <w:t>,</w:t>
      </w:r>
      <w:r w:rsidRPr="001D200B">
        <w:rPr>
          <w:rFonts w:eastAsia="Calibri"/>
          <w:snapToGrid w:val="0"/>
        </w:rPr>
        <w:t xml:space="preserve"> tj. poprzez opiniowanie gminnych projektów założeń do planów zaopatrzenia w ciepło energię elektryczną i paliwa gazowe w zakresie koordynacji współpracy z innymi gminami oraz w zakresie zgodności z polityką energetyczną państwa; </w:t>
      </w:r>
    </w:p>
    <w:p w:rsidR="00EA16D5" w:rsidRPr="001D200B" w:rsidRDefault="00EA16D5" w:rsidP="00412E46">
      <w:pPr>
        <w:pStyle w:val="Punktatory2"/>
        <w:numPr>
          <w:ilvl w:val="0"/>
          <w:numId w:val="16"/>
        </w:numPr>
        <w:spacing w:line="240" w:lineRule="auto"/>
        <w:ind w:left="714" w:hanging="357"/>
        <w:rPr>
          <w:rFonts w:eastAsia="Calibri"/>
          <w:snapToGrid w:val="0"/>
        </w:rPr>
      </w:pPr>
      <w:r w:rsidRPr="001D200B">
        <w:rPr>
          <w:rFonts w:eastAsia="Calibri"/>
          <w:snapToGrid w:val="0"/>
        </w:rPr>
        <w:t>opiniowanie planów rozwoju przedsiębiorstw energetycznych działających na obszarze województwa;</w:t>
      </w:r>
    </w:p>
    <w:p w:rsidR="00EA16D5" w:rsidRPr="001D200B" w:rsidRDefault="00EA16D5" w:rsidP="00412E46">
      <w:pPr>
        <w:pStyle w:val="Punktatory2"/>
        <w:numPr>
          <w:ilvl w:val="0"/>
          <w:numId w:val="16"/>
        </w:numPr>
        <w:spacing w:line="240" w:lineRule="auto"/>
        <w:ind w:left="714" w:hanging="357"/>
      </w:pPr>
      <w:r w:rsidRPr="001D200B">
        <w:t>opiniowanie wniosków o udzielenie koncesji na prowadzenie działalności w zakresie energetyki.</w:t>
      </w:r>
    </w:p>
    <w:p w:rsidR="00EA16D5" w:rsidRPr="001D200B" w:rsidRDefault="00EA16D5" w:rsidP="00EA16D5">
      <w:pPr>
        <w:pStyle w:val="Tekstpodstawowy2"/>
        <w:rPr>
          <w:rFonts w:cstheme="minorHAnsi"/>
        </w:rPr>
      </w:pPr>
      <w:r w:rsidRPr="001D200B">
        <w:rPr>
          <w:rFonts w:cstheme="minorHAnsi"/>
        </w:rPr>
        <w:t>Problematyka sektora energetycznego wpisana jest w dokumenty planistyczne oraz programowe rozwoju województwa świętokrzyskiego,</w:t>
      </w:r>
      <w:r w:rsidRPr="001D200B">
        <w:t xml:space="preserve"> tj. program ochrony środowiska; strategia rozwoju, regionalny program operacyjny, programy rozwoju, plan zagospodarowania przestrzennego.</w:t>
      </w:r>
    </w:p>
    <w:p w:rsidR="00EA16D5" w:rsidRPr="001D200B" w:rsidRDefault="00EA16D5" w:rsidP="00EA16D5">
      <w:r w:rsidRPr="001D200B">
        <w:t xml:space="preserve">Polityka zagospodarowania przestrzennego województwa w zakresie infrastruktury energetycznej zgodnie z </w:t>
      </w:r>
      <w:r w:rsidRPr="001D200B">
        <w:rPr>
          <w:b/>
        </w:rPr>
        <w:t xml:space="preserve">Planem Zagospodarowania Przestrzennego Województwa Świętokrzyskiego </w:t>
      </w:r>
      <w:r w:rsidRPr="001D200B">
        <w:t xml:space="preserve">(Uchwała Nr XLVII/833/14 Sejmiku Województwa Świętokrzyskiego z dnia 22 września 2014r.) koncentruje się na zwiększeniu niezawodności dostaw paliw i energii, minimalizacji negatywnego oddziaływania energetyki na środowisko oraz dywersyfikacji zaopatrzenia w energię. Cel główny Planu w tym zakresie zdefiniowano jako: </w:t>
      </w:r>
      <w:r w:rsidRPr="001D200B">
        <w:rPr>
          <w:i/>
        </w:rPr>
        <w:t>ukształtowanie nowoczesnych i niezawodnych systemów infrastruktury energetycznej oraz sukcesywne zwiększenie wykorzystania odnawialnych zasobów energii.</w:t>
      </w:r>
    </w:p>
    <w:p w:rsidR="00EA16D5" w:rsidRPr="001D200B" w:rsidRDefault="00EA16D5" w:rsidP="00EA16D5">
      <w:pPr>
        <w:autoSpaceDE w:val="0"/>
        <w:autoSpaceDN w:val="0"/>
        <w:adjustRightInd w:val="0"/>
        <w:spacing w:line="240" w:lineRule="auto"/>
        <w:rPr>
          <w:rFonts w:cstheme="minorHAnsi"/>
        </w:rPr>
      </w:pPr>
      <w:r w:rsidRPr="001D200B">
        <w:rPr>
          <w:rFonts w:cstheme="minorHAnsi"/>
        </w:rPr>
        <w:t>Priorytety polityki energetycznej to:</w:t>
      </w:r>
    </w:p>
    <w:p w:rsidR="00EA16D5" w:rsidRPr="001D200B" w:rsidRDefault="00EA16D5" w:rsidP="00F006D6">
      <w:pPr>
        <w:pStyle w:val="Akapitzlist"/>
      </w:pPr>
      <w:r w:rsidRPr="001D200B">
        <w:t>rozwój wykorzystania odnawialnych źródeł energii, zwłaszcza na terenach posiadających najkorzystniejsze warunki pozyskania tej energii;</w:t>
      </w:r>
    </w:p>
    <w:p w:rsidR="00EA16D5" w:rsidRPr="001D200B" w:rsidRDefault="00EA16D5" w:rsidP="00F006D6">
      <w:pPr>
        <w:pStyle w:val="Akapitzlist"/>
      </w:pPr>
      <w:r w:rsidRPr="001D200B">
        <w:t>poprawa efektywności energetycznej;</w:t>
      </w:r>
    </w:p>
    <w:p w:rsidR="00EA16D5" w:rsidRPr="001D200B" w:rsidRDefault="00EA16D5" w:rsidP="00F006D6">
      <w:pPr>
        <w:pStyle w:val="Akapitzlist"/>
      </w:pPr>
      <w:r w:rsidRPr="001D200B">
        <w:lastRenderedPageBreak/>
        <w:t>wzrost bezpieczeństwa energetycznego, zwłaszcza na terenach gęsto zaludnionych wokół Kielc i na obszarze dużych miast Aglomeracji Świętokrzyskiej;</w:t>
      </w:r>
    </w:p>
    <w:p w:rsidR="00EA16D5" w:rsidRPr="001D200B" w:rsidRDefault="00EA16D5" w:rsidP="00F006D6">
      <w:pPr>
        <w:pStyle w:val="Akapitzlist"/>
      </w:pPr>
      <w:r w:rsidRPr="001D200B">
        <w:t xml:space="preserve">sprawny system zaopatrzenia w energię do celów przemysłowych na obszarach </w:t>
      </w:r>
      <w:r w:rsidRPr="001D200B">
        <w:br/>
        <w:t>i w strefach o podwyższonej aktywności gospodarczej;</w:t>
      </w:r>
    </w:p>
    <w:p w:rsidR="00EA16D5" w:rsidRPr="001D200B" w:rsidRDefault="00EA16D5" w:rsidP="00F006D6">
      <w:pPr>
        <w:pStyle w:val="Akapitzlist"/>
      </w:pPr>
      <w:r w:rsidRPr="001D200B">
        <w:t>ukształtowanie konkurencyjnych rynków paliw i energii;</w:t>
      </w:r>
    </w:p>
    <w:p w:rsidR="00EA16D5" w:rsidRPr="001D200B" w:rsidRDefault="00EA16D5" w:rsidP="00F006D6">
      <w:pPr>
        <w:pStyle w:val="Akapitzlist"/>
      </w:pPr>
      <w:r w:rsidRPr="001D200B">
        <w:t>minimalizacja negatywnego oddziaływania energetyki na środowisko;</w:t>
      </w:r>
    </w:p>
    <w:p w:rsidR="00EA16D5" w:rsidRPr="001D200B" w:rsidRDefault="00EA16D5" w:rsidP="00F006D6">
      <w:pPr>
        <w:pStyle w:val="Akapitzlist"/>
      </w:pPr>
      <w:r w:rsidRPr="001D200B">
        <w:t>w rejonach intensywnie zurbanizowanych należy dążyć do przejścia z linii napowietrznych do kablowych;</w:t>
      </w:r>
    </w:p>
    <w:p w:rsidR="00EA16D5" w:rsidRPr="001D200B" w:rsidRDefault="00EA16D5" w:rsidP="00F006D6">
      <w:pPr>
        <w:pStyle w:val="Akapitzlist"/>
      </w:pPr>
      <w:r w:rsidRPr="001D200B">
        <w:t>wyrównanie jakości usług w zaopatrzeniu w energię elektryczną na terenach wiejskich i małych miast</w:t>
      </w:r>
    </w:p>
    <w:p w:rsidR="00EA16D5" w:rsidRPr="001D200B" w:rsidRDefault="00EA16D5" w:rsidP="00EA16D5">
      <w:r w:rsidRPr="001D200B">
        <w:t>Kierunki rozwoju energetyki związane są także z realizacją pakietu klimatycznego UE zakładającego ograniczenie emisji gazów cieplarnianych, wzrost udziału energii odnawialnej oraz poprawę efektywności energetycznej.</w:t>
      </w:r>
    </w:p>
    <w:p w:rsidR="00EA16D5" w:rsidRPr="001D200B" w:rsidRDefault="00EA16D5" w:rsidP="00EA16D5">
      <w:r w:rsidRPr="001D200B">
        <w:t xml:space="preserve">Celem nadrzędnym </w:t>
      </w:r>
      <w:r w:rsidRPr="001D200B">
        <w:rPr>
          <w:b/>
        </w:rPr>
        <w:t xml:space="preserve">Programu Ochrony Środowiska Województwa Świętokrzyskiego na lata 2015–2020 z uwzględnieniem perspektywy do roku 2025 </w:t>
      </w:r>
      <w:r w:rsidRPr="001D200B">
        <w:t xml:space="preserve">(Uchwała Nr XX/290/16 Sejmiku Województwa Świętokrzyskiego z dnia 5 lutego 2016r.) jest </w:t>
      </w:r>
      <w:r w:rsidRPr="001D200B">
        <w:rPr>
          <w:i/>
        </w:rPr>
        <w:t>zrównoważony rozwój regionu sprzyjający klimatowi z zachowaniem walorów przyrodniczych i racjonalnej gospodarki zasobami.</w:t>
      </w:r>
      <w:r w:rsidRPr="001D200B">
        <w:t xml:space="preserve"> </w:t>
      </w:r>
    </w:p>
    <w:p w:rsidR="00EA16D5" w:rsidRPr="001D200B" w:rsidRDefault="00EA16D5" w:rsidP="00EA16D5">
      <w:r w:rsidRPr="001D200B">
        <w:t xml:space="preserve">Wśród priorytetów środowiskowych w obszarze </w:t>
      </w:r>
      <w:r w:rsidRPr="001D200B">
        <w:rPr>
          <w:u w:val="single"/>
        </w:rPr>
        <w:t>powietrze atmosferyczne</w:t>
      </w:r>
      <w:r w:rsidRPr="001D200B">
        <w:t xml:space="preserve"> wymienia się:  </w:t>
      </w:r>
    </w:p>
    <w:p w:rsidR="00EA16D5" w:rsidRPr="001D200B" w:rsidRDefault="00EA16D5" w:rsidP="00EA16D5">
      <w:pPr>
        <w:spacing w:line="300" w:lineRule="exact"/>
        <w:rPr>
          <w:rFonts w:cstheme="minorHAnsi"/>
          <w:i/>
        </w:rPr>
      </w:pPr>
      <w:r w:rsidRPr="001D200B">
        <w:rPr>
          <w:rFonts w:cstheme="minorHAnsi"/>
        </w:rPr>
        <w:t xml:space="preserve">Cel strategiczny (długoterminowy do 2025 roku): </w:t>
      </w:r>
      <w:r w:rsidRPr="001D200B">
        <w:rPr>
          <w:rFonts w:cstheme="minorHAnsi"/>
          <w:i/>
        </w:rPr>
        <w:t>Poprawa jakości powietrza w województwie świętokrzyskim</w:t>
      </w:r>
    </w:p>
    <w:p w:rsidR="00EA16D5" w:rsidRPr="001D200B" w:rsidRDefault="00EA16D5" w:rsidP="00EA16D5">
      <w:pPr>
        <w:spacing w:line="300" w:lineRule="exact"/>
        <w:rPr>
          <w:rFonts w:cstheme="minorHAnsi"/>
          <w:i/>
          <w:snapToGrid w:val="0"/>
        </w:rPr>
      </w:pPr>
      <w:r w:rsidRPr="001D200B">
        <w:rPr>
          <w:rFonts w:cstheme="minorHAnsi"/>
          <w:snapToGrid w:val="0"/>
        </w:rPr>
        <w:t xml:space="preserve">Cel operacyjny (krótkoterminowy do 2020 roku): PA 1. </w:t>
      </w:r>
      <w:r w:rsidRPr="001D200B">
        <w:rPr>
          <w:rFonts w:cstheme="minorHAnsi"/>
          <w:i/>
          <w:snapToGrid w:val="0"/>
        </w:rPr>
        <w:t>Redukcja emisji ze źródeł spalania paliw o małej mocy do 1 MW</w:t>
      </w:r>
    </w:p>
    <w:p w:rsidR="00EA16D5" w:rsidRPr="001D200B" w:rsidRDefault="00EA16D5" w:rsidP="00EA16D5">
      <w:pPr>
        <w:spacing w:line="300" w:lineRule="exact"/>
        <w:rPr>
          <w:u w:val="single"/>
        </w:rPr>
      </w:pPr>
      <w:r w:rsidRPr="001D200B">
        <w:rPr>
          <w:u w:val="single"/>
        </w:rPr>
        <w:t xml:space="preserve">Kierunki działań: </w:t>
      </w:r>
    </w:p>
    <w:p w:rsidR="00EA16D5" w:rsidRPr="001D200B" w:rsidRDefault="00EA16D5" w:rsidP="00EA16D5">
      <w:pPr>
        <w:spacing w:before="0" w:after="0" w:line="240" w:lineRule="auto"/>
        <w:ind w:left="567"/>
        <w:rPr>
          <w:sz w:val="22"/>
          <w:szCs w:val="22"/>
        </w:rPr>
      </w:pPr>
      <w:r w:rsidRPr="001D200B">
        <w:rPr>
          <w:sz w:val="22"/>
          <w:szCs w:val="22"/>
        </w:rPr>
        <w:t>1. Wdrażanie rozwiązań niskoemisyjnych.</w:t>
      </w:r>
    </w:p>
    <w:p w:rsidR="00EA16D5" w:rsidRPr="001D200B" w:rsidRDefault="00EA16D5" w:rsidP="00EA16D5">
      <w:pPr>
        <w:spacing w:before="0" w:after="0" w:line="240" w:lineRule="auto"/>
        <w:ind w:left="567"/>
        <w:rPr>
          <w:sz w:val="22"/>
          <w:szCs w:val="22"/>
        </w:rPr>
      </w:pPr>
      <w:r w:rsidRPr="001D200B">
        <w:rPr>
          <w:sz w:val="22"/>
          <w:szCs w:val="22"/>
        </w:rPr>
        <w:t>2. Poprawa efektywności energetycznej.</w:t>
      </w:r>
    </w:p>
    <w:p w:rsidR="00EA16D5" w:rsidRPr="001D200B" w:rsidRDefault="00EA16D5" w:rsidP="00EA16D5">
      <w:pPr>
        <w:spacing w:before="0" w:after="0" w:line="240" w:lineRule="auto"/>
        <w:ind w:left="567"/>
        <w:rPr>
          <w:sz w:val="22"/>
          <w:szCs w:val="22"/>
        </w:rPr>
      </w:pPr>
      <w:r w:rsidRPr="001D200B">
        <w:rPr>
          <w:sz w:val="22"/>
          <w:szCs w:val="22"/>
        </w:rPr>
        <w:t>3. Zwiększenie udziału energii odnawialnej w ogólnej produkcji energii.</w:t>
      </w:r>
    </w:p>
    <w:p w:rsidR="00EA16D5" w:rsidRPr="001D200B" w:rsidRDefault="00EA16D5" w:rsidP="00EA16D5">
      <w:pPr>
        <w:rPr>
          <w:rFonts w:cstheme="minorHAnsi"/>
          <w:i/>
          <w:snapToGrid w:val="0"/>
        </w:rPr>
      </w:pPr>
      <w:r w:rsidRPr="001D200B">
        <w:rPr>
          <w:rFonts w:cstheme="minorHAnsi"/>
          <w:snapToGrid w:val="0"/>
        </w:rPr>
        <w:t xml:space="preserve">Cel operacyjny (krótkoterminowy do 2020 roku): PA 2. </w:t>
      </w:r>
      <w:r w:rsidRPr="001D200B">
        <w:rPr>
          <w:rFonts w:cstheme="minorHAnsi"/>
          <w:i/>
          <w:snapToGrid w:val="0"/>
        </w:rPr>
        <w:t xml:space="preserve">Ograniczenie emisji zanieczyszczeń ze źródeł komunikacyjnych </w:t>
      </w:r>
    </w:p>
    <w:p w:rsidR="00EA16D5" w:rsidRPr="001D200B" w:rsidRDefault="00EA16D5" w:rsidP="00EA16D5">
      <w:pPr>
        <w:spacing w:line="300" w:lineRule="exact"/>
        <w:rPr>
          <w:u w:val="single"/>
        </w:rPr>
      </w:pPr>
      <w:r w:rsidRPr="001D200B">
        <w:rPr>
          <w:u w:val="single"/>
        </w:rPr>
        <w:t xml:space="preserve">Kierunki działań: </w:t>
      </w:r>
    </w:p>
    <w:p w:rsidR="00EA16D5" w:rsidRPr="001D200B" w:rsidRDefault="00EA16D5" w:rsidP="00EA16D5">
      <w:pPr>
        <w:spacing w:before="0" w:after="0" w:line="240" w:lineRule="auto"/>
        <w:ind w:left="567"/>
        <w:rPr>
          <w:sz w:val="22"/>
          <w:szCs w:val="22"/>
        </w:rPr>
      </w:pPr>
      <w:r w:rsidRPr="001D200B">
        <w:rPr>
          <w:sz w:val="22"/>
          <w:szCs w:val="22"/>
        </w:rPr>
        <w:t>1.Poprawa połączeń komunikacyjnych.</w:t>
      </w:r>
    </w:p>
    <w:p w:rsidR="00EA16D5" w:rsidRPr="001D200B" w:rsidRDefault="00EA16D5" w:rsidP="00EA16D5">
      <w:pPr>
        <w:spacing w:before="0" w:after="0" w:line="240" w:lineRule="auto"/>
        <w:ind w:left="567"/>
        <w:rPr>
          <w:sz w:val="22"/>
          <w:szCs w:val="22"/>
        </w:rPr>
      </w:pPr>
      <w:r w:rsidRPr="001D200B">
        <w:rPr>
          <w:sz w:val="22"/>
          <w:szCs w:val="22"/>
        </w:rPr>
        <w:t>2. Upłynnienie ruchu pojazdów w miastach.</w:t>
      </w:r>
    </w:p>
    <w:p w:rsidR="00EA16D5" w:rsidRPr="001D200B" w:rsidRDefault="00EA16D5" w:rsidP="00EA16D5">
      <w:pPr>
        <w:spacing w:before="0" w:after="0" w:line="240" w:lineRule="auto"/>
        <w:ind w:left="567"/>
        <w:rPr>
          <w:sz w:val="22"/>
          <w:szCs w:val="22"/>
        </w:rPr>
      </w:pPr>
      <w:r w:rsidRPr="001D200B">
        <w:rPr>
          <w:sz w:val="22"/>
          <w:szCs w:val="22"/>
        </w:rPr>
        <w:t>3. Rozwój komunikacji publicznej i transportu rowerowego.</w:t>
      </w:r>
    </w:p>
    <w:p w:rsidR="00EA16D5" w:rsidRPr="001D200B" w:rsidRDefault="00EA16D5" w:rsidP="00EA16D5">
      <w:pPr>
        <w:spacing w:before="0" w:after="0" w:line="240" w:lineRule="auto"/>
        <w:ind w:left="567"/>
        <w:rPr>
          <w:sz w:val="22"/>
          <w:szCs w:val="22"/>
        </w:rPr>
      </w:pPr>
      <w:r w:rsidRPr="001D200B">
        <w:rPr>
          <w:sz w:val="22"/>
          <w:szCs w:val="22"/>
        </w:rPr>
        <w:t>4. Ograniczenie emisji wtórnej z dróg.</w:t>
      </w:r>
    </w:p>
    <w:p w:rsidR="00EA16D5" w:rsidRPr="001D200B" w:rsidRDefault="00EA16D5" w:rsidP="00EA16D5">
      <w:r w:rsidRPr="001D200B">
        <w:rPr>
          <w:rFonts w:cstheme="minorHAnsi"/>
          <w:snapToGrid w:val="0"/>
        </w:rPr>
        <w:t xml:space="preserve">Cel operacyjny (krótkoterminowy do 2020 roku): </w:t>
      </w:r>
      <w:r w:rsidRPr="001D200B">
        <w:t xml:space="preserve">PA 3. </w:t>
      </w:r>
      <w:r w:rsidRPr="001D200B">
        <w:rPr>
          <w:i/>
        </w:rPr>
        <w:t>Ograniczenie emisji zanieczyszczeń ze źródeł przemysłowych</w:t>
      </w:r>
      <w:r w:rsidRPr="001D200B">
        <w:t xml:space="preserve"> </w:t>
      </w:r>
    </w:p>
    <w:p w:rsidR="00C064C8" w:rsidRPr="001D200B" w:rsidRDefault="00C064C8">
      <w:pPr>
        <w:spacing w:before="0" w:after="0" w:line="240" w:lineRule="auto"/>
        <w:rPr>
          <w:u w:val="single"/>
        </w:rPr>
      </w:pPr>
      <w:r w:rsidRPr="001D200B">
        <w:rPr>
          <w:u w:val="single"/>
        </w:rPr>
        <w:br w:type="page"/>
      </w:r>
    </w:p>
    <w:p w:rsidR="00EA16D5" w:rsidRPr="001D200B" w:rsidRDefault="00EA16D5" w:rsidP="00EA16D5">
      <w:pPr>
        <w:spacing w:line="300" w:lineRule="exact"/>
        <w:rPr>
          <w:u w:val="single"/>
        </w:rPr>
      </w:pPr>
      <w:r w:rsidRPr="001D200B">
        <w:rPr>
          <w:u w:val="single"/>
        </w:rPr>
        <w:lastRenderedPageBreak/>
        <w:t xml:space="preserve">Kierunki działań: </w:t>
      </w:r>
    </w:p>
    <w:p w:rsidR="00EA16D5" w:rsidRPr="001D200B" w:rsidRDefault="00EA16D5" w:rsidP="00EA16D5">
      <w:pPr>
        <w:spacing w:before="0" w:after="0" w:line="240" w:lineRule="auto"/>
        <w:ind w:left="567"/>
        <w:rPr>
          <w:sz w:val="22"/>
          <w:szCs w:val="22"/>
        </w:rPr>
      </w:pPr>
      <w:r w:rsidRPr="001D200B">
        <w:rPr>
          <w:sz w:val="22"/>
          <w:szCs w:val="22"/>
        </w:rPr>
        <w:t xml:space="preserve">1. Ograniczenie emisji gazów cieplarnianych i substancji szkodliwych z procesów technologicznych. </w:t>
      </w:r>
    </w:p>
    <w:p w:rsidR="00EA16D5" w:rsidRPr="001D200B" w:rsidRDefault="00EA16D5" w:rsidP="00EA16D5">
      <w:pPr>
        <w:spacing w:before="0" w:after="0" w:line="240" w:lineRule="auto"/>
        <w:ind w:left="567"/>
        <w:rPr>
          <w:sz w:val="22"/>
          <w:szCs w:val="22"/>
        </w:rPr>
      </w:pPr>
      <w:r w:rsidRPr="001D200B">
        <w:rPr>
          <w:sz w:val="22"/>
          <w:szCs w:val="22"/>
        </w:rPr>
        <w:t xml:space="preserve">2. Rozpowszechnienie technologii sprzyjających poprawie jakości powietrza. </w:t>
      </w:r>
    </w:p>
    <w:p w:rsidR="00EA16D5" w:rsidRPr="001D200B" w:rsidRDefault="00EA16D5" w:rsidP="00EA16D5">
      <w:pPr>
        <w:spacing w:before="0" w:after="0" w:line="240" w:lineRule="auto"/>
        <w:ind w:left="567"/>
        <w:rPr>
          <w:sz w:val="22"/>
          <w:szCs w:val="22"/>
        </w:rPr>
      </w:pPr>
      <w:r w:rsidRPr="001D200B">
        <w:rPr>
          <w:sz w:val="22"/>
          <w:szCs w:val="22"/>
        </w:rPr>
        <w:t xml:space="preserve">3. Opracowanie i wdrażanie nowatorskich rozwiązań technologicznych. </w:t>
      </w:r>
    </w:p>
    <w:p w:rsidR="00EA16D5" w:rsidRPr="001D200B" w:rsidRDefault="00EA16D5" w:rsidP="00EA16D5">
      <w:pPr>
        <w:spacing w:before="0" w:after="0" w:line="240" w:lineRule="auto"/>
        <w:ind w:left="567"/>
        <w:rPr>
          <w:sz w:val="22"/>
          <w:szCs w:val="22"/>
        </w:rPr>
      </w:pPr>
      <w:r w:rsidRPr="001D200B">
        <w:rPr>
          <w:sz w:val="22"/>
          <w:szCs w:val="22"/>
        </w:rPr>
        <w:t xml:space="preserve">4. Zarządzanie energią w przedsiębiorstwach. </w:t>
      </w:r>
    </w:p>
    <w:p w:rsidR="00EA16D5" w:rsidRPr="001D200B" w:rsidRDefault="00EA16D5" w:rsidP="00EA16D5">
      <w:pPr>
        <w:rPr>
          <w:rFonts w:cstheme="minorHAnsi"/>
          <w:i/>
          <w:snapToGrid w:val="0"/>
        </w:rPr>
      </w:pPr>
      <w:r w:rsidRPr="001D200B">
        <w:rPr>
          <w:rFonts w:cstheme="minorHAnsi"/>
          <w:snapToGrid w:val="0"/>
        </w:rPr>
        <w:t xml:space="preserve">Cel operacyjny (krótkoterminowy do 2020 roku): PA 4. </w:t>
      </w:r>
      <w:r w:rsidRPr="001D200B">
        <w:rPr>
          <w:rFonts w:cstheme="minorHAnsi"/>
          <w:i/>
          <w:snapToGrid w:val="0"/>
        </w:rPr>
        <w:t xml:space="preserve">Podniesienie świadomości społeczeństwa w zakresie wpływu zanieczyszczeń na zdrowie oraz konieczności ochrony powietrza </w:t>
      </w:r>
    </w:p>
    <w:p w:rsidR="00EA16D5" w:rsidRPr="001D200B" w:rsidRDefault="00EA16D5" w:rsidP="00EA16D5">
      <w:pPr>
        <w:spacing w:line="300" w:lineRule="exact"/>
        <w:rPr>
          <w:u w:val="single"/>
        </w:rPr>
      </w:pPr>
      <w:r w:rsidRPr="001D200B">
        <w:rPr>
          <w:u w:val="single"/>
        </w:rPr>
        <w:t xml:space="preserve">Kierunki działań: </w:t>
      </w:r>
    </w:p>
    <w:p w:rsidR="00EA16D5" w:rsidRPr="001D200B" w:rsidRDefault="00EA16D5" w:rsidP="00EA16D5">
      <w:pPr>
        <w:spacing w:before="0" w:after="0" w:line="240" w:lineRule="auto"/>
        <w:ind w:left="567"/>
        <w:rPr>
          <w:sz w:val="22"/>
          <w:szCs w:val="22"/>
        </w:rPr>
      </w:pPr>
      <w:r w:rsidRPr="001D200B">
        <w:rPr>
          <w:sz w:val="22"/>
          <w:szCs w:val="22"/>
        </w:rPr>
        <w:t>1. Edukacja w zakresie ochrony powietrza w tym promowanie gospodarki niskoemisyjnej.</w:t>
      </w:r>
    </w:p>
    <w:p w:rsidR="00EA16D5" w:rsidRPr="001D200B" w:rsidRDefault="00EA16D5" w:rsidP="00EA16D5">
      <w:pPr>
        <w:rPr>
          <w:rFonts w:cstheme="minorHAnsi"/>
          <w:snapToGrid w:val="0"/>
        </w:rPr>
      </w:pPr>
      <w:r w:rsidRPr="001D200B">
        <w:rPr>
          <w:rFonts w:cstheme="minorHAnsi"/>
          <w:snapToGrid w:val="0"/>
        </w:rPr>
        <w:t xml:space="preserve">Cel operacyjny (krótkoterminowy do 2020 roku): PA 5. </w:t>
      </w:r>
      <w:r w:rsidRPr="001D200B">
        <w:rPr>
          <w:rFonts w:cstheme="minorHAnsi"/>
          <w:i/>
          <w:snapToGrid w:val="0"/>
        </w:rPr>
        <w:t>Osiągnięcie poziomu celu długoterminowego dla ozonu</w:t>
      </w:r>
      <w:r w:rsidRPr="001D200B">
        <w:rPr>
          <w:rFonts w:cstheme="minorHAnsi"/>
          <w:snapToGrid w:val="0"/>
        </w:rPr>
        <w:t xml:space="preserve"> </w:t>
      </w:r>
    </w:p>
    <w:p w:rsidR="00EA16D5" w:rsidRPr="001D200B" w:rsidRDefault="00EA16D5" w:rsidP="00EA16D5">
      <w:pPr>
        <w:spacing w:line="300" w:lineRule="exact"/>
        <w:rPr>
          <w:u w:val="single"/>
        </w:rPr>
      </w:pPr>
      <w:r w:rsidRPr="001D200B">
        <w:rPr>
          <w:u w:val="single"/>
        </w:rPr>
        <w:t xml:space="preserve">Kierunki działań: </w:t>
      </w:r>
    </w:p>
    <w:p w:rsidR="00EA16D5" w:rsidRPr="001D200B" w:rsidRDefault="00EA16D5" w:rsidP="00EA16D5">
      <w:pPr>
        <w:spacing w:before="0" w:after="0" w:line="240" w:lineRule="auto"/>
        <w:ind w:left="567"/>
        <w:rPr>
          <w:sz w:val="22"/>
          <w:szCs w:val="22"/>
        </w:rPr>
      </w:pPr>
      <w:r w:rsidRPr="001D200B">
        <w:rPr>
          <w:sz w:val="22"/>
          <w:szCs w:val="22"/>
        </w:rPr>
        <w:t xml:space="preserve">1. Zmniejszenie emisji prekursorów ozonu. </w:t>
      </w:r>
    </w:p>
    <w:p w:rsidR="00EA16D5" w:rsidRPr="001D200B" w:rsidRDefault="00EA16D5" w:rsidP="00EA16D5">
      <w:pPr>
        <w:rPr>
          <w:rFonts w:cstheme="minorHAnsi"/>
          <w:snapToGrid w:val="0"/>
        </w:rPr>
      </w:pPr>
      <w:r w:rsidRPr="001D200B">
        <w:rPr>
          <w:rFonts w:cstheme="minorHAnsi"/>
          <w:snapToGrid w:val="0"/>
        </w:rPr>
        <w:t xml:space="preserve">Cel operacyjny (krótkoterminowy do 2020 roku): PA 6. Zwiększenie roli planowania przestrzennego w ochronie powietrza </w:t>
      </w:r>
    </w:p>
    <w:p w:rsidR="00EA16D5" w:rsidRPr="001D200B" w:rsidRDefault="00EA16D5" w:rsidP="00EA16D5">
      <w:pPr>
        <w:spacing w:line="300" w:lineRule="exact"/>
        <w:rPr>
          <w:u w:val="single"/>
        </w:rPr>
      </w:pPr>
      <w:r w:rsidRPr="001D200B">
        <w:rPr>
          <w:u w:val="single"/>
        </w:rPr>
        <w:t xml:space="preserve">Kierunki działań: </w:t>
      </w:r>
    </w:p>
    <w:p w:rsidR="00EA16D5" w:rsidRPr="001D200B" w:rsidRDefault="00EA16D5" w:rsidP="00EA16D5">
      <w:pPr>
        <w:spacing w:before="0" w:after="0" w:line="240" w:lineRule="auto"/>
        <w:ind w:left="567"/>
        <w:rPr>
          <w:sz w:val="22"/>
          <w:szCs w:val="22"/>
        </w:rPr>
      </w:pPr>
      <w:r w:rsidRPr="001D200B">
        <w:rPr>
          <w:sz w:val="22"/>
          <w:szCs w:val="22"/>
        </w:rPr>
        <w:t xml:space="preserve">1. Uwzględnienie ochrony powietrza w planowaniu przestrzennym. </w:t>
      </w:r>
    </w:p>
    <w:p w:rsidR="00EA16D5" w:rsidRPr="001D200B" w:rsidRDefault="00EA16D5" w:rsidP="00EA16D5">
      <w:pPr>
        <w:rPr>
          <w:rFonts w:cstheme="minorHAnsi"/>
          <w:snapToGrid w:val="0"/>
        </w:rPr>
      </w:pPr>
      <w:r w:rsidRPr="001D200B">
        <w:rPr>
          <w:rFonts w:cstheme="minorHAnsi"/>
          <w:snapToGrid w:val="0"/>
        </w:rPr>
        <w:t xml:space="preserve">Cel operacyjny (krótkoterminowy do 2020 roku): PA 7. </w:t>
      </w:r>
      <w:r w:rsidRPr="001D200B">
        <w:rPr>
          <w:rFonts w:cstheme="minorHAnsi"/>
          <w:i/>
          <w:snapToGrid w:val="0"/>
        </w:rPr>
        <w:t xml:space="preserve">Osiągnięcie krajowego celu redukcji narażenia </w:t>
      </w:r>
    </w:p>
    <w:p w:rsidR="00EA16D5" w:rsidRPr="001D200B" w:rsidRDefault="00EA16D5" w:rsidP="00EA16D5">
      <w:pPr>
        <w:spacing w:line="300" w:lineRule="exact"/>
        <w:rPr>
          <w:u w:val="single"/>
        </w:rPr>
      </w:pPr>
      <w:r w:rsidRPr="001D200B">
        <w:rPr>
          <w:u w:val="single"/>
        </w:rPr>
        <w:t xml:space="preserve">Kierunki działań: </w:t>
      </w:r>
    </w:p>
    <w:p w:rsidR="00EA16D5" w:rsidRPr="001D200B" w:rsidRDefault="00EA16D5" w:rsidP="00EA16D5">
      <w:pPr>
        <w:autoSpaceDE w:val="0"/>
        <w:autoSpaceDN w:val="0"/>
        <w:adjustRightInd w:val="0"/>
        <w:spacing w:before="0" w:after="0" w:line="240" w:lineRule="auto"/>
        <w:rPr>
          <w:rFonts w:cstheme="minorHAnsi"/>
        </w:rPr>
      </w:pPr>
      <w:r w:rsidRPr="001D200B">
        <w:rPr>
          <w:rFonts w:cstheme="minorHAnsi"/>
        </w:rPr>
        <w:t xml:space="preserve">1. Ograniczenie emisji pyłu PM2,5 na obszarze miasta Kielce </w:t>
      </w:r>
    </w:p>
    <w:p w:rsidR="00EA16D5" w:rsidRPr="001D200B" w:rsidRDefault="00EA16D5" w:rsidP="00EA16D5">
      <w:pPr>
        <w:spacing w:line="300" w:lineRule="exact"/>
      </w:pPr>
      <w:r w:rsidRPr="001D200B">
        <w:t xml:space="preserve">Wśród priorytetów środowiskowych w obszarze </w:t>
      </w:r>
      <w:r w:rsidRPr="001D200B">
        <w:rPr>
          <w:u w:val="single"/>
        </w:rPr>
        <w:t>odnawialne źródła energii</w:t>
      </w:r>
      <w:r w:rsidRPr="001D200B">
        <w:t xml:space="preserve"> wskazano na:</w:t>
      </w:r>
    </w:p>
    <w:p w:rsidR="00EA16D5" w:rsidRPr="001D200B" w:rsidRDefault="00EA16D5" w:rsidP="00EA16D5">
      <w:pPr>
        <w:spacing w:line="300" w:lineRule="exact"/>
        <w:rPr>
          <w:rFonts w:cstheme="minorHAnsi"/>
          <w:i/>
        </w:rPr>
      </w:pPr>
      <w:r w:rsidRPr="001D200B">
        <w:rPr>
          <w:rFonts w:cstheme="minorHAnsi"/>
        </w:rPr>
        <w:t xml:space="preserve">Cel strategiczny (długoterminowy do 2025 roku): </w:t>
      </w:r>
      <w:r w:rsidRPr="001D200B">
        <w:rPr>
          <w:rFonts w:cstheme="minorHAnsi"/>
          <w:i/>
        </w:rPr>
        <w:t>Wzrost wykorzystania energii z odnawialnych źródeł energii</w:t>
      </w:r>
    </w:p>
    <w:p w:rsidR="00EA16D5" w:rsidRPr="001D200B" w:rsidRDefault="00EA16D5" w:rsidP="00EA16D5">
      <w:pPr>
        <w:spacing w:line="300" w:lineRule="exact"/>
        <w:rPr>
          <w:rFonts w:cstheme="minorHAnsi"/>
          <w:snapToGrid w:val="0"/>
        </w:rPr>
      </w:pPr>
      <w:r w:rsidRPr="001D200B">
        <w:rPr>
          <w:rFonts w:cstheme="minorHAnsi"/>
          <w:snapToGrid w:val="0"/>
        </w:rPr>
        <w:t>Cel operacyjny (krótkoterminowy do 2020 roku): OZE 1: Zwiększenie zastosowania instalacji do produkcji energii z OZE</w:t>
      </w:r>
    </w:p>
    <w:p w:rsidR="00EA16D5" w:rsidRPr="001D200B" w:rsidRDefault="00EA16D5" w:rsidP="00EA16D5">
      <w:pPr>
        <w:autoSpaceDE w:val="0"/>
        <w:autoSpaceDN w:val="0"/>
        <w:adjustRightInd w:val="0"/>
        <w:spacing w:before="0" w:after="0" w:line="340" w:lineRule="exact"/>
        <w:rPr>
          <w:rFonts w:cstheme="minorHAnsi"/>
          <w:u w:val="single"/>
        </w:rPr>
      </w:pPr>
      <w:r w:rsidRPr="001D200B">
        <w:rPr>
          <w:rFonts w:cstheme="minorHAnsi"/>
          <w:bCs/>
          <w:u w:val="single"/>
        </w:rPr>
        <w:t xml:space="preserve">Kierunki działań: </w:t>
      </w:r>
    </w:p>
    <w:p w:rsidR="00EA16D5" w:rsidRPr="001D200B" w:rsidRDefault="00EA16D5" w:rsidP="00EA16D5">
      <w:pPr>
        <w:autoSpaceDE w:val="0"/>
        <w:autoSpaceDN w:val="0"/>
        <w:adjustRightInd w:val="0"/>
        <w:spacing w:before="0" w:after="0" w:line="340" w:lineRule="exact"/>
        <w:rPr>
          <w:rFonts w:cstheme="minorHAnsi"/>
        </w:rPr>
      </w:pPr>
      <w:r w:rsidRPr="001D200B">
        <w:rPr>
          <w:rFonts w:cstheme="minorHAnsi"/>
        </w:rPr>
        <w:t xml:space="preserve">1. Rozwój OZE w województwie. </w:t>
      </w:r>
    </w:p>
    <w:p w:rsidR="00EA16D5" w:rsidRPr="001D200B" w:rsidRDefault="00EA16D5" w:rsidP="00EA16D5">
      <w:pPr>
        <w:autoSpaceDE w:val="0"/>
        <w:autoSpaceDN w:val="0"/>
        <w:adjustRightInd w:val="0"/>
        <w:spacing w:before="0" w:after="0" w:line="340" w:lineRule="exact"/>
        <w:rPr>
          <w:rFonts w:cstheme="minorHAnsi"/>
        </w:rPr>
      </w:pPr>
      <w:r w:rsidRPr="001D200B">
        <w:rPr>
          <w:rFonts w:cstheme="minorHAnsi"/>
        </w:rPr>
        <w:t xml:space="preserve">2. Wspieranie i aktywizacja w kierunku wykorzystania lokalnych zasobów energii odnawialnej. </w:t>
      </w:r>
    </w:p>
    <w:p w:rsidR="00EA16D5" w:rsidRPr="001D200B" w:rsidRDefault="00EA16D5" w:rsidP="00EA16D5">
      <w:pPr>
        <w:autoSpaceDE w:val="0"/>
        <w:autoSpaceDN w:val="0"/>
        <w:adjustRightInd w:val="0"/>
        <w:spacing w:before="0" w:after="0" w:line="340" w:lineRule="exact"/>
        <w:rPr>
          <w:rFonts w:cstheme="minorHAnsi"/>
        </w:rPr>
      </w:pPr>
      <w:r w:rsidRPr="001D200B">
        <w:rPr>
          <w:rFonts w:cstheme="minorHAnsi"/>
        </w:rPr>
        <w:t xml:space="preserve">3. Wzmocnienie potencjału badawczo-rozwojowego na rzecz odnawialnych źródeł energii. </w:t>
      </w:r>
    </w:p>
    <w:p w:rsidR="00EA16D5" w:rsidRPr="001D200B" w:rsidRDefault="00EA16D5" w:rsidP="00EA16D5">
      <w:pPr>
        <w:autoSpaceDE w:val="0"/>
        <w:autoSpaceDN w:val="0"/>
        <w:adjustRightInd w:val="0"/>
        <w:spacing w:before="0" w:after="0" w:line="340" w:lineRule="exact"/>
        <w:rPr>
          <w:rFonts w:cstheme="minorHAnsi"/>
        </w:rPr>
      </w:pPr>
      <w:r w:rsidRPr="001D200B">
        <w:rPr>
          <w:rFonts w:cstheme="minorHAnsi"/>
        </w:rPr>
        <w:t xml:space="preserve">4. Edukacja ekologiczna w zakresie rozwoju OZE. </w:t>
      </w:r>
    </w:p>
    <w:p w:rsidR="00EA16D5" w:rsidRPr="001D200B" w:rsidRDefault="00EA16D5" w:rsidP="00EA16D5">
      <w:pPr>
        <w:autoSpaceDE w:val="0"/>
        <w:autoSpaceDN w:val="0"/>
        <w:adjustRightInd w:val="0"/>
        <w:spacing w:before="0" w:after="0" w:line="340" w:lineRule="exact"/>
        <w:rPr>
          <w:rFonts w:cstheme="minorHAnsi"/>
        </w:rPr>
      </w:pPr>
      <w:r w:rsidRPr="001D200B">
        <w:rPr>
          <w:rFonts w:cstheme="minorHAnsi"/>
        </w:rPr>
        <w:t xml:space="preserve">5. Promowanie odnawialnych źródeł energii. </w:t>
      </w:r>
    </w:p>
    <w:p w:rsidR="00EA16D5" w:rsidRPr="001D200B" w:rsidRDefault="00EA16D5" w:rsidP="00EA16D5">
      <w:pPr>
        <w:spacing w:line="300" w:lineRule="exact"/>
        <w:rPr>
          <w:rFonts w:cstheme="minorHAnsi"/>
        </w:rPr>
      </w:pPr>
    </w:p>
    <w:p w:rsidR="00EA16D5" w:rsidRPr="001D200B" w:rsidRDefault="00EA16D5" w:rsidP="00EA16D5">
      <w:pPr>
        <w:spacing w:line="300" w:lineRule="exact"/>
        <w:rPr>
          <w:rFonts w:cstheme="minorHAnsi"/>
        </w:rPr>
      </w:pPr>
      <w:r w:rsidRPr="001D200B">
        <w:rPr>
          <w:rFonts w:cstheme="minorHAnsi"/>
        </w:rPr>
        <w:lastRenderedPageBreak/>
        <w:t xml:space="preserve">Zapisy programowe </w:t>
      </w:r>
      <w:r w:rsidRPr="001D200B">
        <w:rPr>
          <w:rFonts w:cstheme="minorHAnsi"/>
          <w:b/>
        </w:rPr>
        <w:t xml:space="preserve">Regionalnego Programu Operacyjnego Województwa Świętokrzyskiego na lata 2014-2020 </w:t>
      </w:r>
      <w:r w:rsidRPr="001D200B">
        <w:rPr>
          <w:rFonts w:cstheme="minorHAnsi"/>
        </w:rPr>
        <w:t xml:space="preserve">w zakresie energetyki uwzględnione zostały w Osi Priorytetowej 3 </w:t>
      </w:r>
      <w:r w:rsidRPr="001D200B">
        <w:rPr>
          <w:rFonts w:cstheme="minorHAnsi"/>
          <w:i/>
        </w:rPr>
        <w:t>Efektywna i zielona energia</w:t>
      </w:r>
      <w:r w:rsidRPr="001D200B">
        <w:rPr>
          <w:rFonts w:cstheme="minorHAnsi"/>
        </w:rPr>
        <w:t xml:space="preserve">. </w:t>
      </w:r>
    </w:p>
    <w:p w:rsidR="00EA16D5" w:rsidRPr="001D200B" w:rsidRDefault="00EA16D5" w:rsidP="00EA16D5">
      <w:pPr>
        <w:spacing w:line="300" w:lineRule="exact"/>
        <w:rPr>
          <w:rFonts w:cstheme="minorHAnsi"/>
        </w:rPr>
      </w:pPr>
      <w:r w:rsidRPr="001D200B">
        <w:rPr>
          <w:rFonts w:cstheme="minorHAnsi"/>
        </w:rPr>
        <w:t>Cele szczegółowe osi priorytetowej:</w:t>
      </w:r>
    </w:p>
    <w:p w:rsidR="00EA16D5" w:rsidRPr="001D200B" w:rsidRDefault="00EA16D5" w:rsidP="00F006D6">
      <w:pPr>
        <w:pStyle w:val="Akapitzlist"/>
      </w:pPr>
      <w:r w:rsidRPr="001D200B">
        <w:t xml:space="preserve">Zwiększony udział energii produkowanej z OZE w ogólnej produkcji energii w województwie świętokrzyskim. </w:t>
      </w:r>
    </w:p>
    <w:p w:rsidR="00EA16D5" w:rsidRPr="001D200B" w:rsidRDefault="00EA16D5" w:rsidP="00F006D6">
      <w:pPr>
        <w:pStyle w:val="Akapitzlist"/>
      </w:pPr>
      <w:r w:rsidRPr="001D200B">
        <w:t xml:space="preserve">Zwiększona efektywność energetyczna przedsiębiorstw prowadzących działalność w województwie świętokrzyskim. </w:t>
      </w:r>
    </w:p>
    <w:p w:rsidR="00EA16D5" w:rsidRPr="001D200B" w:rsidRDefault="00EA16D5" w:rsidP="00F006D6">
      <w:pPr>
        <w:pStyle w:val="Akapitzlist"/>
      </w:pPr>
      <w:r w:rsidRPr="001D200B">
        <w:t xml:space="preserve">Zwiększona efektywność energetyczna budynków publicznych oraz sektora mieszkaniowego. </w:t>
      </w:r>
    </w:p>
    <w:p w:rsidR="00EA16D5" w:rsidRPr="001D200B" w:rsidRDefault="00EA16D5" w:rsidP="00F006D6">
      <w:pPr>
        <w:pStyle w:val="Akapitzlist"/>
        <w:rPr>
          <w:szCs w:val="23"/>
        </w:rPr>
      </w:pPr>
      <w:r w:rsidRPr="001D200B">
        <w:t>Ograniczona emisja pyłów i substancji szkodliwych do atmosfery.</w:t>
      </w:r>
    </w:p>
    <w:p w:rsidR="00EA16D5" w:rsidRPr="001D200B" w:rsidRDefault="00EA16D5" w:rsidP="00EA16D5">
      <w:pPr>
        <w:spacing w:line="300" w:lineRule="exact"/>
      </w:pPr>
      <w:r w:rsidRPr="001D200B">
        <w:rPr>
          <w:bCs/>
          <w:u w:val="single"/>
        </w:rPr>
        <w:t>Priorytet inwestycyjny 4a</w:t>
      </w:r>
      <w:r w:rsidRPr="001D200B">
        <w:rPr>
          <w:b/>
          <w:bCs/>
        </w:rPr>
        <w:t xml:space="preserve"> </w:t>
      </w:r>
      <w:r w:rsidRPr="001D200B">
        <w:t>wspieranie wytwarzania i dystrybucji energii pochodzącej ze źródeł odnawialnych</w:t>
      </w:r>
    </w:p>
    <w:p w:rsidR="00EA16D5" w:rsidRPr="001D200B" w:rsidRDefault="00EA16D5" w:rsidP="00EA16D5">
      <w:pPr>
        <w:spacing w:line="300" w:lineRule="exact"/>
        <w:rPr>
          <w:rFonts w:cstheme="minorHAnsi"/>
          <w:highlight w:val="yellow"/>
        </w:rPr>
      </w:pPr>
      <w:r w:rsidRPr="001D200B">
        <w:rPr>
          <w:bCs/>
          <w:u w:val="single"/>
        </w:rPr>
        <w:t xml:space="preserve">Priorytet inwestycyjny 4.b </w:t>
      </w:r>
      <w:r w:rsidRPr="001D200B">
        <w:t>promowanie efektywności energetycznej i korzystania z</w:t>
      </w:r>
      <w:r w:rsidR="007D4DB6">
        <w:t> </w:t>
      </w:r>
      <w:r w:rsidRPr="001D200B">
        <w:t>odnawialnych źródeł energii w przedsiębiorstwach</w:t>
      </w:r>
    </w:p>
    <w:p w:rsidR="00EA16D5" w:rsidRPr="001D200B" w:rsidRDefault="00EA16D5" w:rsidP="00EA16D5">
      <w:pPr>
        <w:spacing w:line="300" w:lineRule="exact"/>
        <w:rPr>
          <w:rFonts w:cstheme="minorHAnsi"/>
          <w:highlight w:val="yellow"/>
        </w:rPr>
      </w:pPr>
      <w:r w:rsidRPr="001D200B">
        <w:rPr>
          <w:bCs/>
          <w:u w:val="single"/>
        </w:rPr>
        <w:t>Priorytet inwestycyjny 4.c</w:t>
      </w:r>
      <w:r w:rsidRPr="001D200B">
        <w:rPr>
          <w:b/>
          <w:bCs/>
        </w:rPr>
        <w:t xml:space="preserve"> </w:t>
      </w:r>
      <w:r w:rsidRPr="001D200B">
        <w:t>wspieranie efektywności energetycznej inteligentnego zarządzania energią i wykorzystania odnawialnych źródeł energii w infrastrukturze publicznej, w tym w</w:t>
      </w:r>
      <w:r w:rsidR="007D4DB6">
        <w:t> </w:t>
      </w:r>
      <w:r w:rsidRPr="001D200B">
        <w:t>budynkach publicznych i sektorze mieszkaniowym</w:t>
      </w:r>
    </w:p>
    <w:p w:rsidR="00EA16D5" w:rsidRPr="001D200B" w:rsidRDefault="00EA16D5" w:rsidP="00EA16D5">
      <w:pPr>
        <w:spacing w:line="300" w:lineRule="exact"/>
        <w:rPr>
          <w:rFonts w:cstheme="minorHAnsi"/>
          <w:highlight w:val="yellow"/>
        </w:rPr>
      </w:pPr>
      <w:r w:rsidRPr="001D200B">
        <w:rPr>
          <w:bCs/>
          <w:u w:val="single"/>
        </w:rPr>
        <w:t>Priorytet inwestycyjny 4.e</w:t>
      </w:r>
      <w:r w:rsidRPr="001D200B">
        <w:rPr>
          <w:b/>
          <w:bCs/>
        </w:rPr>
        <w:t xml:space="preserve"> </w:t>
      </w:r>
      <w:r w:rsidRPr="001D200B">
        <w:t>promowanie strategii niskoemisyjnych dla wszystkich rodzajów terytoriów, w szczególności dla obszarów miejskich, w tym wspieranie zrównoważonej multimodalnej mobilności miejskiej i działań adaptacyjnych mających oddziaływanie łagodzące na zmiany klimatu.</w:t>
      </w:r>
    </w:p>
    <w:p w:rsidR="00EA16D5" w:rsidRPr="001D200B" w:rsidRDefault="00EA16D5" w:rsidP="00EA16D5">
      <w:pPr>
        <w:spacing w:line="300" w:lineRule="exact"/>
        <w:rPr>
          <w:rFonts w:cstheme="minorHAnsi"/>
          <w:iCs/>
        </w:rPr>
      </w:pPr>
      <w:r w:rsidRPr="001D200B">
        <w:rPr>
          <w:rFonts w:cstheme="minorHAnsi"/>
          <w:b/>
          <w:iCs/>
        </w:rPr>
        <w:t>Strategia Rozwoju Województwa Świętokrzyskiego do roku 2020</w:t>
      </w:r>
      <w:r w:rsidRPr="001D200B">
        <w:rPr>
          <w:rFonts w:cstheme="minorHAnsi"/>
          <w:i/>
          <w:iCs/>
        </w:rPr>
        <w:t xml:space="preserve"> </w:t>
      </w:r>
      <w:r w:rsidRPr="001D200B">
        <w:t>jako podstawowe narzędzie prowadzonej przez samorząd województwa polityki regionalnej, wyznacza cele i kierunki przyszłego rozwoju województwa</w:t>
      </w:r>
      <w:r w:rsidRPr="001D200B">
        <w:rPr>
          <w:rFonts w:cstheme="minorHAnsi"/>
          <w:iCs/>
        </w:rPr>
        <w:t xml:space="preserve">. </w:t>
      </w:r>
    </w:p>
    <w:p w:rsidR="00EA16D5" w:rsidRPr="001D200B" w:rsidRDefault="00EA16D5" w:rsidP="00EA16D5">
      <w:pPr>
        <w:rPr>
          <w:rFonts w:cstheme="minorHAnsi"/>
          <w:highlight w:val="yellow"/>
        </w:rPr>
      </w:pPr>
      <w:r w:rsidRPr="001D200B">
        <w:t>Cel strategiczny 6. Koncentracja na ekologicznych aspektach rozwoju regionu</w:t>
      </w:r>
    </w:p>
    <w:p w:rsidR="00EA16D5" w:rsidRPr="001D200B" w:rsidRDefault="00EA16D5" w:rsidP="00EA16D5">
      <w:pPr>
        <w:rPr>
          <w:rFonts w:cstheme="minorHAnsi"/>
          <w:iCs/>
          <w:highlight w:val="yellow"/>
        </w:rPr>
      </w:pPr>
      <w:r w:rsidRPr="001D200B">
        <w:rPr>
          <w:rFonts w:eastAsia="Calibri,Bold"/>
        </w:rPr>
        <w:t>6.1 Energia versus</w:t>
      </w:r>
      <w:r w:rsidRPr="001D200B">
        <w:rPr>
          <w:rFonts w:ascii="Calibri,BoldItalic" w:eastAsia="Calibri,Bold" w:hAnsi="Calibri,BoldItalic" w:cs="Calibri,BoldItalic"/>
          <w:i/>
          <w:iCs/>
        </w:rPr>
        <w:t xml:space="preserve"> </w:t>
      </w:r>
      <w:r w:rsidRPr="001D200B">
        <w:rPr>
          <w:rFonts w:eastAsia="Calibri,Bold"/>
        </w:rPr>
        <w:t>emisja, czyli pr</w:t>
      </w:r>
      <w:r w:rsidRPr="001D200B">
        <w:rPr>
          <w:rFonts w:eastAsia="Calibri,Bold" w:hint="eastAsia"/>
        </w:rPr>
        <w:t>ó</w:t>
      </w:r>
      <w:r w:rsidRPr="001D200B">
        <w:rPr>
          <w:rFonts w:eastAsia="Calibri,Bold"/>
        </w:rPr>
        <w:t>ba rozwi</w:t>
      </w:r>
      <w:r w:rsidRPr="001D200B">
        <w:rPr>
          <w:rFonts w:eastAsia="Calibri,Bold" w:hint="eastAsia"/>
        </w:rPr>
        <w:t>ą</w:t>
      </w:r>
      <w:r w:rsidRPr="001D200B">
        <w:rPr>
          <w:rFonts w:eastAsia="Calibri,Bold"/>
        </w:rPr>
        <w:t>zania dylematu, jak nie szkodzić jednocze</w:t>
      </w:r>
      <w:r w:rsidRPr="001D200B">
        <w:rPr>
          <w:rFonts w:eastAsia="Calibri,Bold" w:hint="eastAsia"/>
        </w:rPr>
        <w:t>ś</w:t>
      </w:r>
      <w:r w:rsidRPr="001D200B">
        <w:rPr>
          <w:rFonts w:eastAsia="Calibri,Bold"/>
        </w:rPr>
        <w:t xml:space="preserve">nie </w:t>
      </w:r>
      <w:r w:rsidRPr="001D200B">
        <w:rPr>
          <w:rFonts w:eastAsia="Calibri,Bold" w:hint="eastAsia"/>
        </w:rPr>
        <w:t>ś</w:t>
      </w:r>
      <w:r w:rsidRPr="001D200B">
        <w:rPr>
          <w:rFonts w:eastAsia="Calibri,Bold"/>
        </w:rPr>
        <w:t>rodowisku i gospodarce.</w:t>
      </w:r>
    </w:p>
    <w:p w:rsidR="00EA16D5" w:rsidRPr="001D200B" w:rsidRDefault="00EA16D5" w:rsidP="00EA16D5">
      <w:pPr>
        <w:rPr>
          <w:rFonts w:cstheme="minorHAnsi"/>
        </w:rPr>
      </w:pPr>
      <w:r w:rsidRPr="001D200B">
        <w:rPr>
          <w:b/>
          <w:i/>
        </w:rPr>
        <w:t xml:space="preserve">Aktualizacja Programu ochrony powietrza dla województwa świętokrzyskiego wraz z planem działań krótkoterminowych </w:t>
      </w:r>
      <w:r w:rsidRPr="001D200B">
        <w:t>(</w:t>
      </w:r>
      <w:r w:rsidRPr="001D200B">
        <w:rPr>
          <w:rFonts w:cstheme="minorHAnsi"/>
        </w:rPr>
        <w:t>Uchwała Nr XVII/248/15 Sejmiku Województwa Święto krzyskiego z dnia 27 listopada 2015r.)</w:t>
      </w:r>
      <w:r w:rsidRPr="001D200B">
        <w:t xml:space="preserve"> tzw. POP.</w:t>
      </w:r>
    </w:p>
    <w:p w:rsidR="00EA16D5" w:rsidRPr="001D200B" w:rsidRDefault="00EA16D5" w:rsidP="00EA16D5">
      <w:r w:rsidRPr="001D200B">
        <w:t xml:space="preserve">Nadrzędnym celem POP jest poprawa jakości powietrza w strefach województwa świętokrzyskiego w celu osiągnięcia właściwych standardów, a także krajowego celu redukcji narażenia poprzez realizację zintegrowanej polityki ochrony powietrza. </w:t>
      </w:r>
    </w:p>
    <w:p w:rsidR="00EA16D5" w:rsidRPr="001D200B" w:rsidRDefault="00EA16D5" w:rsidP="00EA16D5">
      <w:r w:rsidRPr="001D200B">
        <w:t xml:space="preserve">Program przedstawia główne kierunki działań naprawczych dla strefy miasto Kielce i strefy świętokrzyskiej ze względu na przekroczenia pyłu PM10, PM2,5 i B(a)P. </w:t>
      </w:r>
    </w:p>
    <w:p w:rsidR="00F77165" w:rsidRPr="001D200B" w:rsidRDefault="00F77165">
      <w:pPr>
        <w:spacing w:before="0" w:after="0" w:line="240" w:lineRule="auto"/>
        <w:jc w:val="left"/>
      </w:pPr>
      <w:r w:rsidRPr="001D200B">
        <w:br w:type="page"/>
      </w:r>
    </w:p>
    <w:p w:rsidR="00EA16D5" w:rsidRPr="001D200B" w:rsidRDefault="00EA16D5" w:rsidP="00EA16D5">
      <w:pPr>
        <w:rPr>
          <w:b/>
        </w:rPr>
      </w:pPr>
      <w:r w:rsidRPr="001D200B">
        <w:rPr>
          <w:b/>
        </w:rPr>
        <w:lastRenderedPageBreak/>
        <w:t>Cel długoterminowy Programu:</w:t>
      </w:r>
    </w:p>
    <w:p w:rsidR="00EA16D5" w:rsidRPr="001D200B" w:rsidRDefault="00EA16D5" w:rsidP="00EA16D5">
      <w:r w:rsidRPr="001D200B">
        <w:t>Poprawa jakości powietrza w strefach województwa świętokrzyskiego w celu osiągnięcia właściwych standardów, a także krajowego celu redukcji narażenia poprzez realizację zintegrowanej polityki ochrony powietrza.</w:t>
      </w:r>
    </w:p>
    <w:p w:rsidR="00EA16D5" w:rsidRPr="001D200B" w:rsidRDefault="00EA16D5" w:rsidP="00EA16D5">
      <w:pPr>
        <w:rPr>
          <w:b/>
          <w:u w:val="single"/>
        </w:rPr>
      </w:pPr>
      <w:r w:rsidRPr="001D200B">
        <w:rPr>
          <w:b/>
          <w:u w:val="single"/>
        </w:rPr>
        <w:t>Kierunki działań naprawczych:</w:t>
      </w:r>
    </w:p>
    <w:p w:rsidR="00EA16D5" w:rsidRPr="001D200B" w:rsidRDefault="00EA16D5" w:rsidP="00EA16D5">
      <w:pPr>
        <w:spacing w:before="0" w:after="0"/>
      </w:pPr>
      <w:r w:rsidRPr="001D200B">
        <w:t>OP1. Redukcja emisji zanieczyszczeń ze źródeł o małej mocy do 1 MW</w:t>
      </w:r>
    </w:p>
    <w:p w:rsidR="00EA16D5" w:rsidRPr="001D200B" w:rsidRDefault="00EA16D5" w:rsidP="00EA16D5">
      <w:pPr>
        <w:spacing w:before="0" w:after="0"/>
      </w:pPr>
      <w:r w:rsidRPr="001D200B">
        <w:t>OP2. Redukcja emisji zanieczyszczeń z transportu</w:t>
      </w:r>
    </w:p>
    <w:p w:rsidR="00EA16D5" w:rsidRPr="001D200B" w:rsidRDefault="00EA16D5" w:rsidP="00EA16D5">
      <w:pPr>
        <w:spacing w:before="0" w:after="0"/>
      </w:pPr>
      <w:r w:rsidRPr="001D200B">
        <w:t>OP3. Ograniczenie emisji przemysłowej</w:t>
      </w:r>
    </w:p>
    <w:p w:rsidR="00EA16D5" w:rsidRPr="001D200B" w:rsidRDefault="00EA16D5" w:rsidP="00EA16D5">
      <w:pPr>
        <w:spacing w:before="0" w:after="0"/>
      </w:pPr>
      <w:r w:rsidRPr="001D200B">
        <w:t>OP4. Planowanie przestrzenne</w:t>
      </w:r>
    </w:p>
    <w:p w:rsidR="00EA16D5" w:rsidRPr="001D200B" w:rsidRDefault="00EA16D5" w:rsidP="00EA16D5">
      <w:pPr>
        <w:spacing w:before="0" w:after="0"/>
      </w:pPr>
      <w:r w:rsidRPr="001D200B">
        <w:t>OP5. Edukacja ekologiczna</w:t>
      </w:r>
    </w:p>
    <w:p w:rsidR="00EA16D5" w:rsidRPr="001D200B" w:rsidRDefault="00EA16D5" w:rsidP="00EA16D5">
      <w:r w:rsidRPr="001D200B">
        <w:rPr>
          <w:b/>
          <w:bCs/>
          <w:u w:val="single"/>
        </w:rPr>
        <w:t>Polityka energetyczna na poziomie lokalnym</w:t>
      </w:r>
    </w:p>
    <w:p w:rsidR="00EA16D5" w:rsidRPr="001D200B" w:rsidRDefault="00EA16D5" w:rsidP="00EA16D5">
      <w:r w:rsidRPr="001D200B">
        <w:t xml:space="preserve">Założenia do planu zaopatrzenia w ciepło, energię elektryczną i paliwa gazowe uwzględniają w swoim zakresie założenia głównych dokumentów planowania i strategicznego rozwoju opracowanych na poziomie lokalnym, a w szczególności: </w:t>
      </w:r>
    </w:p>
    <w:p w:rsidR="00EA16D5" w:rsidRPr="001D200B" w:rsidRDefault="00EA16D5" w:rsidP="00F21741">
      <w:pPr>
        <w:pStyle w:val="Punktatory1"/>
      </w:pPr>
      <w:r w:rsidRPr="001D200B">
        <w:rPr>
          <w:b/>
        </w:rPr>
        <w:t xml:space="preserve">Studium Uwarunkowań i Kierunków Zagospodarowania Przestrzennego </w:t>
      </w:r>
      <w:r w:rsidR="00D014CE" w:rsidRPr="001D200B">
        <w:rPr>
          <w:b/>
        </w:rPr>
        <w:t>Gminy Połaniec</w:t>
      </w:r>
      <w:r w:rsidR="00FC13A8" w:rsidRPr="001D200B">
        <w:t xml:space="preserve"> (Uchwała Nr XXXI/199/2016 Rady Miejskiej w Połańcu z dnia 27 października 2016 roku)</w:t>
      </w:r>
    </w:p>
    <w:p w:rsidR="00EA16D5" w:rsidRPr="001D200B" w:rsidRDefault="00EA16D5" w:rsidP="00F21741">
      <w:pPr>
        <w:pStyle w:val="Punktatory1"/>
      </w:pPr>
      <w:r w:rsidRPr="001D200B">
        <w:rPr>
          <w:b/>
        </w:rPr>
        <w:t xml:space="preserve">Plan Gospodarki Niskoemisyjnej dla Gminy </w:t>
      </w:r>
      <w:r w:rsidR="008E3932" w:rsidRPr="001D200B">
        <w:rPr>
          <w:b/>
        </w:rPr>
        <w:t>Połaniec</w:t>
      </w:r>
      <w:r w:rsidR="008E3932" w:rsidRPr="001D200B">
        <w:t xml:space="preserve"> (Uchwała N</w:t>
      </w:r>
      <w:r w:rsidR="006A5470" w:rsidRPr="001D200B">
        <w:t>r</w:t>
      </w:r>
      <w:r w:rsidR="008E3932" w:rsidRPr="001D200B">
        <w:t xml:space="preserve"> XXVII/174/2016 Rady Miejskiej w Połańcu z dnia 18 lipca 2016r.)</w:t>
      </w:r>
    </w:p>
    <w:p w:rsidR="00EA16D5" w:rsidRPr="001D200B" w:rsidRDefault="00EA16D5" w:rsidP="00EA16D5">
      <w:pPr>
        <w:pStyle w:val="Nagwek2"/>
        <w:spacing w:line="300" w:lineRule="exact"/>
        <w:rPr>
          <w:rFonts w:cstheme="minorHAnsi"/>
        </w:rPr>
      </w:pPr>
      <w:bookmarkStart w:id="10" w:name="_Toc264011554"/>
      <w:bookmarkStart w:id="11" w:name="_Toc23419983"/>
      <w:bookmarkStart w:id="12" w:name="_Toc31972812"/>
      <w:r w:rsidRPr="001D200B">
        <w:rPr>
          <w:rFonts w:cstheme="minorHAnsi"/>
        </w:rPr>
        <w:t>4. Energia odnawialna – ogólne informacje</w:t>
      </w:r>
      <w:bookmarkEnd w:id="10"/>
      <w:bookmarkEnd w:id="11"/>
      <w:bookmarkEnd w:id="12"/>
    </w:p>
    <w:p w:rsidR="00EA16D5" w:rsidRPr="001D200B" w:rsidRDefault="00EA16D5" w:rsidP="00EA16D5">
      <w:pPr>
        <w:autoSpaceDE w:val="0"/>
        <w:autoSpaceDN w:val="0"/>
        <w:adjustRightInd w:val="0"/>
        <w:rPr>
          <w:u w:val="single"/>
        </w:rPr>
      </w:pPr>
      <w:r w:rsidRPr="001D200B">
        <w:t>Zgodnie z ustawą o odnawialnych źródłach energii (</w:t>
      </w:r>
      <w:r w:rsidR="00885DBC" w:rsidRPr="001D200B">
        <w:t>tj. Dz. U. z 2020, poz. 261 ze zm.</w:t>
      </w:r>
      <w:r w:rsidRPr="001D200B">
        <w:rPr>
          <w:iCs/>
        </w:rPr>
        <w:t xml:space="preserve">) </w:t>
      </w:r>
      <w:r w:rsidRPr="001D200B">
        <w:rPr>
          <w:u w:val="single"/>
        </w:rPr>
        <w:t>odnawialne źródło energii (OZE) to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p>
    <w:p w:rsidR="00EA16D5" w:rsidRPr="001D200B" w:rsidRDefault="00EA16D5" w:rsidP="00F77165">
      <w:pPr>
        <w:rPr>
          <w:shd w:val="clear" w:color="auto" w:fill="FFFFFF"/>
        </w:rPr>
      </w:pPr>
      <w:r w:rsidRPr="001D200B">
        <w:rPr>
          <w:shd w:val="clear" w:color="auto" w:fill="FFFFFF"/>
        </w:rPr>
        <w:t xml:space="preserve">Prawo energetyczne nakłada na przedsiębiorstwa energetyczne posiadające koncesję w zakresie obrotu energią elektryczną obowiązek zakupu energii elektrycznej, wytwarzanej z odnawialnych źródeł energii. </w:t>
      </w:r>
      <w:r w:rsidRPr="001D200B">
        <w:rPr>
          <w:rFonts w:cs="Arial"/>
          <w:shd w:val="clear" w:color="auto" w:fill="FFFFFF"/>
        </w:rPr>
        <w:t>Obowiązek zakupu odnosi się również do energii cieplnej.</w:t>
      </w:r>
    </w:p>
    <w:p w:rsidR="00EA16D5" w:rsidRPr="001D200B" w:rsidRDefault="00EA16D5" w:rsidP="00EA16D5">
      <w:r w:rsidRPr="001D200B">
        <w:t xml:space="preserve">Mechanizmy, które mają zachęcać do rozwoju odnawialnych źródeł energii, tj.: </w:t>
      </w:r>
    </w:p>
    <w:p w:rsidR="00EA16D5" w:rsidRPr="001D200B" w:rsidRDefault="00EA16D5" w:rsidP="00412E46">
      <w:pPr>
        <w:pStyle w:val="Punktatory2"/>
        <w:numPr>
          <w:ilvl w:val="0"/>
          <w:numId w:val="17"/>
        </w:numPr>
        <w:spacing w:line="240" w:lineRule="auto"/>
        <w:ind w:left="714" w:hanging="357"/>
      </w:pPr>
      <w:r w:rsidRPr="001D200B">
        <w:t>zwolnienie energii elektrycznej wytwarzanej z odnawialnych źródeł energii z akcyzy,</w:t>
      </w:r>
    </w:p>
    <w:p w:rsidR="00EA16D5" w:rsidRPr="001D200B" w:rsidRDefault="00EA16D5" w:rsidP="00412E46">
      <w:pPr>
        <w:pStyle w:val="Punktatory2"/>
        <w:numPr>
          <w:ilvl w:val="0"/>
          <w:numId w:val="17"/>
        </w:numPr>
        <w:spacing w:line="240" w:lineRule="auto"/>
        <w:ind w:left="714" w:hanging="357"/>
      </w:pPr>
      <w:r w:rsidRPr="001D200B">
        <w:t>obrót świadectwami pochodzenia (tzw. zielonymi świadectwami) i inne mechanizmy wspierające przedsiębiorstwa wytwarzające energię pochodzącą z OZE,</w:t>
      </w:r>
    </w:p>
    <w:p w:rsidR="00EA16D5" w:rsidRPr="001D200B" w:rsidRDefault="00EA16D5" w:rsidP="00412E46">
      <w:pPr>
        <w:pStyle w:val="Punktatory2"/>
        <w:numPr>
          <w:ilvl w:val="0"/>
          <w:numId w:val="17"/>
        </w:numPr>
        <w:spacing w:line="240" w:lineRule="auto"/>
        <w:ind w:left="714" w:hanging="357"/>
      </w:pPr>
      <w:r w:rsidRPr="001D200B">
        <w:t>ulgi podatkowe,</w:t>
      </w:r>
    </w:p>
    <w:p w:rsidR="00EA16D5" w:rsidRPr="001D200B" w:rsidRDefault="00EA16D5" w:rsidP="00412E46">
      <w:pPr>
        <w:pStyle w:val="Punktatory2"/>
        <w:numPr>
          <w:ilvl w:val="0"/>
          <w:numId w:val="17"/>
        </w:numPr>
        <w:spacing w:line="240" w:lineRule="auto"/>
        <w:ind w:left="714" w:hanging="357"/>
        <w:rPr>
          <w:shd w:val="clear" w:color="auto" w:fill="FFFFFF"/>
        </w:rPr>
      </w:pPr>
      <w:r w:rsidRPr="001D200B">
        <w:t xml:space="preserve">wsparcie projektów OZE z funduszy UE i ochrony środowiska. </w:t>
      </w:r>
    </w:p>
    <w:p w:rsidR="00EA16D5" w:rsidRPr="001D200B" w:rsidRDefault="00EA16D5" w:rsidP="00EA16D5">
      <w:pPr>
        <w:rPr>
          <w:shd w:val="clear" w:color="auto" w:fill="FFFFFF"/>
        </w:rPr>
      </w:pPr>
      <w:r w:rsidRPr="001D200B">
        <w:rPr>
          <w:shd w:val="clear" w:color="auto" w:fill="FFFFFF"/>
        </w:rPr>
        <w:lastRenderedPageBreak/>
        <w:t xml:space="preserve">Szczególnym typem osoby wytwarzającej energię jest </w:t>
      </w:r>
      <w:r w:rsidRPr="001D200B">
        <w:rPr>
          <w:i/>
          <w:shd w:val="clear" w:color="auto" w:fill="FFFFFF"/>
        </w:rPr>
        <w:t>prosument</w:t>
      </w:r>
      <w:r w:rsidRPr="001D200B">
        <w:rPr>
          <w:shd w:val="clear" w:color="auto" w:fill="FFFFFF"/>
        </w:rPr>
        <w:t xml:space="preserve">, czyli osoba będąca jednocześnie producentem i konsumentem w zakresie wytwarzania energii. Zgodnie z Ustawą o OZE osoba fizyczna, która nie prowadzi działalności gospodarczej regulowanej i która wytwarza energię z mikroinstalacji na własne potrzeby ma prawo sprzedać niewykorzystaną przez siebie energię. Taka działalność zgodnie z przepisami wymienionej ustawy nie stanowi działalności gospodarczej. Regulacja stwarza możliwość obniżenia przez gospodarstwa domowe kosztów związanych z użyciem energii poprzez bilansowanie energii zużytej i wytworzonej. </w:t>
      </w:r>
    </w:p>
    <w:p w:rsidR="00EA16D5" w:rsidRPr="001D200B" w:rsidRDefault="00EA16D5" w:rsidP="00EA16D5">
      <w:r w:rsidRPr="001D200B">
        <w:t>Szerszą charakterystykę poszczególnych źródeł energii odnawialnej wraz z odniesieniem do możliwości rozwoju i pozyskania energii w oparciu o zasoby lokalne gminy przedstawiono w dalszej części opracowania.</w:t>
      </w:r>
    </w:p>
    <w:p w:rsidR="00EA16D5" w:rsidRPr="001D200B" w:rsidRDefault="00EA16D5" w:rsidP="00EA16D5">
      <w:pPr>
        <w:spacing w:line="300" w:lineRule="exact"/>
        <w:rPr>
          <w:rFonts w:cstheme="minorHAnsi"/>
          <w:highlight w:val="yellow"/>
        </w:rPr>
      </w:pPr>
    </w:p>
    <w:p w:rsidR="00EA16D5" w:rsidRPr="001D200B" w:rsidRDefault="00EA16D5" w:rsidP="00EA16D5">
      <w:pPr>
        <w:spacing w:line="240" w:lineRule="auto"/>
        <w:jc w:val="left"/>
        <w:rPr>
          <w:rFonts w:cstheme="minorHAnsi"/>
          <w:highlight w:val="yellow"/>
        </w:rPr>
        <w:sectPr w:rsidR="00EA16D5" w:rsidRPr="001D200B" w:rsidSect="009B58D2">
          <w:pgSz w:w="11906" w:h="16838" w:code="9"/>
          <w:pgMar w:top="1418" w:right="1418" w:bottom="1418" w:left="1418" w:header="709" w:footer="709" w:gutter="0"/>
          <w:cols w:space="708"/>
          <w:docGrid w:linePitch="360"/>
        </w:sectPr>
      </w:pPr>
    </w:p>
    <w:p w:rsidR="00551741" w:rsidRPr="001D200B" w:rsidRDefault="00551741" w:rsidP="0098674C">
      <w:pPr>
        <w:pStyle w:val="Nagwek1"/>
        <w:rPr>
          <w:rFonts w:cstheme="minorHAnsi"/>
        </w:rPr>
      </w:pPr>
      <w:bookmarkStart w:id="13" w:name="_Toc31972813"/>
      <w:r w:rsidRPr="001D200B">
        <w:rPr>
          <w:rFonts w:cstheme="minorHAnsi"/>
        </w:rPr>
        <w:lastRenderedPageBreak/>
        <w:t xml:space="preserve">II. Charakterystyka </w:t>
      </w:r>
      <w:r w:rsidR="00CD702D" w:rsidRPr="001D200B">
        <w:rPr>
          <w:rFonts w:cstheme="minorHAnsi"/>
        </w:rPr>
        <w:t xml:space="preserve">Miasta </w:t>
      </w:r>
      <w:r w:rsidR="00AB090B" w:rsidRPr="001D200B">
        <w:rPr>
          <w:rFonts w:cstheme="minorHAnsi"/>
        </w:rPr>
        <w:t>i Gminy Połaniec</w:t>
      </w:r>
      <w:bookmarkEnd w:id="13"/>
    </w:p>
    <w:p w:rsidR="00551741" w:rsidRPr="001D200B" w:rsidRDefault="00551741" w:rsidP="00551741">
      <w:pPr>
        <w:pStyle w:val="Nagwek2"/>
        <w:rPr>
          <w:rFonts w:cstheme="minorHAnsi"/>
        </w:rPr>
      </w:pPr>
      <w:bookmarkStart w:id="14" w:name="_Toc31972814"/>
      <w:r w:rsidRPr="001D200B">
        <w:rPr>
          <w:rFonts w:cstheme="minorHAnsi"/>
        </w:rPr>
        <w:t>1. Informacje ogólne</w:t>
      </w:r>
      <w:bookmarkEnd w:id="14"/>
    </w:p>
    <w:p w:rsidR="003437D1" w:rsidRPr="001D200B" w:rsidRDefault="003437D1" w:rsidP="003437D1">
      <w:pPr>
        <w:rPr>
          <w:rFonts w:cstheme="minorHAnsi"/>
        </w:rPr>
      </w:pPr>
      <w:r w:rsidRPr="001D200B">
        <w:rPr>
          <w:rFonts w:cstheme="minorHAnsi"/>
        </w:rPr>
        <w:t xml:space="preserve">Połaniec to gmina miejsko – wiejska położona w południowo – wschodniej części powiatu staszowskiego oraz w południowo – wschodniej części województwa świętokrzyskiego. Najbliższe sąsiedztwo opisywanego terenu stanowią gminy powiatu staszowskiego: Osiek, Rytwiany, Łubnice oraz gminy powiatu mieleckiego: Borowa i Gawłuszowice (województwo podkarpackie). </w:t>
      </w:r>
      <w:r w:rsidR="00076292" w:rsidRPr="001D200B">
        <w:rPr>
          <w:rFonts w:cstheme="minorHAnsi"/>
        </w:rPr>
        <w:t>Południowo - w</w:t>
      </w:r>
      <w:r w:rsidRPr="001D200B">
        <w:rPr>
          <w:rFonts w:cstheme="minorHAnsi"/>
        </w:rPr>
        <w:t>schodni</w:t>
      </w:r>
      <w:r w:rsidR="00B00759" w:rsidRPr="001D200B">
        <w:rPr>
          <w:rFonts w:cstheme="minorHAnsi"/>
        </w:rPr>
        <w:t>a</w:t>
      </w:r>
      <w:r w:rsidRPr="001D200B">
        <w:rPr>
          <w:rFonts w:cstheme="minorHAnsi"/>
        </w:rPr>
        <w:t xml:space="preserve"> granic</w:t>
      </w:r>
      <w:r w:rsidR="00076292" w:rsidRPr="001D200B">
        <w:rPr>
          <w:rFonts w:cstheme="minorHAnsi"/>
        </w:rPr>
        <w:t xml:space="preserve">a gminy to również </w:t>
      </w:r>
      <w:r w:rsidR="00930860" w:rsidRPr="001D200B">
        <w:rPr>
          <w:rFonts w:cstheme="minorHAnsi"/>
        </w:rPr>
        <w:t xml:space="preserve">administracyjna </w:t>
      </w:r>
      <w:r w:rsidR="00076292" w:rsidRPr="001D200B">
        <w:rPr>
          <w:rFonts w:cstheme="minorHAnsi"/>
        </w:rPr>
        <w:t>granic</w:t>
      </w:r>
      <w:r w:rsidR="007575F1" w:rsidRPr="001D200B">
        <w:rPr>
          <w:rFonts w:cstheme="minorHAnsi"/>
        </w:rPr>
        <w:t>a</w:t>
      </w:r>
      <w:r w:rsidR="00076292" w:rsidRPr="001D200B">
        <w:rPr>
          <w:rFonts w:cstheme="minorHAnsi"/>
        </w:rPr>
        <w:t xml:space="preserve"> województwa świętokrzyskiego, którą</w:t>
      </w:r>
      <w:r w:rsidRPr="001D200B">
        <w:rPr>
          <w:rFonts w:cstheme="minorHAnsi"/>
        </w:rPr>
        <w:t xml:space="preserve"> wyznacza rzeka Wisła. Połaniec położony </w:t>
      </w:r>
      <w:r w:rsidR="00076292" w:rsidRPr="001D200B">
        <w:rPr>
          <w:rFonts w:cstheme="minorHAnsi"/>
        </w:rPr>
        <w:t xml:space="preserve">jest </w:t>
      </w:r>
      <w:r w:rsidRPr="001D200B">
        <w:rPr>
          <w:rFonts w:cstheme="minorHAnsi"/>
        </w:rPr>
        <w:t>w</w:t>
      </w:r>
      <w:r w:rsidR="00930860" w:rsidRPr="001D200B">
        <w:rPr>
          <w:rFonts w:cstheme="minorHAnsi"/>
        </w:rPr>
        <w:t> </w:t>
      </w:r>
      <w:r w:rsidRPr="001D200B">
        <w:rPr>
          <w:rFonts w:cstheme="minorHAnsi"/>
        </w:rPr>
        <w:t>odległości około 20km od Staszowa (siedziba władz powiatu), około 80km od Kielc oraz 115km od Krakowa. Bliższe ośrodki miejskie to Tarnobrzeg, Busko – Zdrój, Sandomierz</w:t>
      </w:r>
      <w:r w:rsidR="00764E90" w:rsidRPr="001D200B">
        <w:rPr>
          <w:rFonts w:cstheme="minorHAnsi"/>
        </w:rPr>
        <w:t>, Mielec</w:t>
      </w:r>
      <w:r w:rsidRPr="001D200B">
        <w:rPr>
          <w:rFonts w:cstheme="minorHAnsi"/>
        </w:rPr>
        <w:t>.</w:t>
      </w:r>
    </w:p>
    <w:p w:rsidR="003D38C2" w:rsidRPr="001D200B" w:rsidRDefault="003D38C2" w:rsidP="003D38C2">
      <w:pPr>
        <w:pStyle w:val="Legenda"/>
        <w:rPr>
          <w:rFonts w:cstheme="minorHAnsi"/>
          <w:color w:val="auto"/>
        </w:rPr>
      </w:pPr>
      <w:r w:rsidRPr="001D200B">
        <w:rPr>
          <w:color w:val="auto"/>
        </w:rPr>
        <w:t xml:space="preserve">Mapa/szkic </w:t>
      </w:r>
      <w:r w:rsidR="005B7234" w:rsidRPr="001D200B">
        <w:rPr>
          <w:color w:val="auto"/>
        </w:rPr>
        <w:fldChar w:fldCharType="begin"/>
      </w:r>
      <w:r w:rsidR="005B7234" w:rsidRPr="001D200B">
        <w:rPr>
          <w:color w:val="auto"/>
        </w:rPr>
        <w:instrText xml:space="preserve"> SEQ Mapa/szkic \* ARABIC </w:instrText>
      </w:r>
      <w:r w:rsidR="005B7234" w:rsidRPr="001D200B">
        <w:rPr>
          <w:color w:val="auto"/>
        </w:rPr>
        <w:fldChar w:fldCharType="separate"/>
      </w:r>
      <w:r w:rsidR="00975320" w:rsidRPr="001D200B">
        <w:rPr>
          <w:noProof/>
          <w:color w:val="auto"/>
        </w:rPr>
        <w:t>1</w:t>
      </w:r>
      <w:r w:rsidR="005B7234" w:rsidRPr="001D200B">
        <w:rPr>
          <w:color w:val="auto"/>
        </w:rPr>
        <w:fldChar w:fldCharType="end"/>
      </w:r>
      <w:r w:rsidRPr="001D200B">
        <w:rPr>
          <w:color w:val="auto"/>
        </w:rPr>
        <w:t xml:space="preserve">. </w:t>
      </w:r>
      <w:r w:rsidRPr="001D200B">
        <w:rPr>
          <w:rFonts w:cstheme="minorHAnsi"/>
          <w:color w:val="auto"/>
        </w:rPr>
        <w:t>Położenie gminy Połaniec (www.gminy.pl)</w:t>
      </w:r>
    </w:p>
    <w:p w:rsidR="003D38C2" w:rsidRPr="001D200B" w:rsidRDefault="003D38C2" w:rsidP="003D38C2">
      <w:pPr>
        <w:jc w:val="center"/>
        <w:rPr>
          <w:rFonts w:cstheme="minorHAnsi"/>
        </w:rPr>
      </w:pPr>
      <w:r w:rsidRPr="001D200B">
        <w:rPr>
          <w:noProof/>
        </w:rPr>
        <w:drawing>
          <wp:inline distT="0" distB="0" distL="0" distR="0">
            <wp:extent cx="3328106" cy="2916000"/>
            <wp:effectExtent l="19050" t="0" r="5644" b="0"/>
            <wp:docPr id="6" name="Obraz 1" descr="http://gminy.pl/maps/Map2/2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miny.pl/maps/Map2/299.gif"/>
                    <pic:cNvPicPr>
                      <a:picLocks noChangeAspect="1" noChangeArrowheads="1"/>
                    </pic:cNvPicPr>
                  </pic:nvPicPr>
                  <pic:blipFill>
                    <a:blip r:embed="rId35"/>
                    <a:srcRect/>
                    <a:stretch>
                      <a:fillRect/>
                    </a:stretch>
                  </pic:blipFill>
                  <pic:spPr bwMode="auto">
                    <a:xfrm>
                      <a:off x="0" y="0"/>
                      <a:ext cx="3328106" cy="2916000"/>
                    </a:xfrm>
                    <a:prstGeom prst="rect">
                      <a:avLst/>
                    </a:prstGeom>
                    <a:noFill/>
                    <a:ln w="9525">
                      <a:noFill/>
                      <a:miter lim="800000"/>
                      <a:headEnd/>
                      <a:tailEnd/>
                    </a:ln>
                  </pic:spPr>
                </pic:pic>
              </a:graphicData>
            </a:graphic>
          </wp:inline>
        </w:drawing>
      </w:r>
    </w:p>
    <w:p w:rsidR="003437D1" w:rsidRPr="001D200B" w:rsidRDefault="007206E8" w:rsidP="003437D1">
      <w:pPr>
        <w:rPr>
          <w:rFonts w:cstheme="minorHAnsi"/>
        </w:rPr>
      </w:pPr>
      <w:r w:rsidRPr="001D200B">
        <w:rPr>
          <w:rFonts w:cstheme="minorHAnsi"/>
        </w:rPr>
        <w:t>Podstawowe s</w:t>
      </w:r>
      <w:r w:rsidR="003437D1" w:rsidRPr="001D200B">
        <w:rPr>
          <w:rFonts w:cstheme="minorHAnsi"/>
        </w:rPr>
        <w:t>zlaki komunikacji drogowej</w:t>
      </w:r>
      <w:r w:rsidRPr="001D200B">
        <w:rPr>
          <w:rFonts w:cstheme="minorHAnsi"/>
        </w:rPr>
        <w:t xml:space="preserve"> łączące miejscowości gminy z ośrodkami w powiecie i województwie</w:t>
      </w:r>
      <w:r w:rsidR="003437D1" w:rsidRPr="001D200B">
        <w:rPr>
          <w:rFonts w:cstheme="minorHAnsi"/>
        </w:rPr>
        <w:t>, to:</w:t>
      </w:r>
    </w:p>
    <w:p w:rsidR="003437D1" w:rsidRPr="001D200B" w:rsidRDefault="003437D1" w:rsidP="009878FD">
      <w:pPr>
        <w:pStyle w:val="wypunktowanie"/>
      </w:pPr>
      <w:r w:rsidRPr="001D200B">
        <w:t xml:space="preserve">droga krajowa nr 79 Warszawa – Sandomierz – Kraków </w:t>
      </w:r>
      <w:r w:rsidR="00647089" w:rsidRPr="001D200B">
        <w:t>–</w:t>
      </w:r>
      <w:r w:rsidRPr="001D200B">
        <w:t xml:space="preserve"> Bytom</w:t>
      </w:r>
      <w:r w:rsidR="00647089" w:rsidRPr="001D200B">
        <w:t>,</w:t>
      </w:r>
    </w:p>
    <w:p w:rsidR="003437D1" w:rsidRPr="001D200B" w:rsidRDefault="003437D1" w:rsidP="009878FD">
      <w:pPr>
        <w:pStyle w:val="wypunktowanie"/>
      </w:pPr>
      <w:r w:rsidRPr="001D200B">
        <w:t xml:space="preserve">droga wojewódzka nr 764 Kielce – Staszów </w:t>
      </w:r>
      <w:r w:rsidR="003D38C2" w:rsidRPr="001D200B">
        <w:t>–</w:t>
      </w:r>
      <w:r w:rsidRPr="001D200B">
        <w:t xml:space="preserve"> Połaniec</w:t>
      </w:r>
      <w:r w:rsidR="003D38C2" w:rsidRPr="001D200B">
        <w:t xml:space="preserve"> – Tuszów Narodowy</w:t>
      </w:r>
      <w:r w:rsidR="00647089" w:rsidRPr="001D200B">
        <w:t>,</w:t>
      </w:r>
    </w:p>
    <w:p w:rsidR="003437D1" w:rsidRPr="001D200B" w:rsidRDefault="003437D1" w:rsidP="009878FD">
      <w:pPr>
        <w:pStyle w:val="wypunktowanie"/>
      </w:pPr>
      <w:r w:rsidRPr="001D200B">
        <w:t>droga powiatowa nr 0105 T Stopnica – Oleśnica – Połaniec</w:t>
      </w:r>
      <w:r w:rsidR="00647089" w:rsidRPr="001D200B">
        <w:t>.</w:t>
      </w:r>
    </w:p>
    <w:p w:rsidR="003437D1" w:rsidRPr="001D200B" w:rsidRDefault="003D38C2" w:rsidP="003437D1">
      <w:pPr>
        <w:rPr>
          <w:rFonts w:cstheme="minorHAnsi"/>
        </w:rPr>
      </w:pPr>
      <w:r w:rsidRPr="001D200B">
        <w:rPr>
          <w:rFonts w:cstheme="minorHAnsi"/>
        </w:rPr>
        <w:t>G</w:t>
      </w:r>
      <w:r w:rsidR="003437D1" w:rsidRPr="001D200B">
        <w:rPr>
          <w:rFonts w:cstheme="minorHAnsi"/>
        </w:rPr>
        <w:t>mina Połaniec zajmuje obszar 75km</w:t>
      </w:r>
      <w:r w:rsidR="003437D1" w:rsidRPr="001D200B">
        <w:rPr>
          <w:rFonts w:cstheme="minorHAnsi"/>
          <w:vertAlign w:val="superscript"/>
        </w:rPr>
        <w:t>2</w:t>
      </w:r>
      <w:r w:rsidR="003437D1" w:rsidRPr="001D200B">
        <w:rPr>
          <w:rFonts w:cstheme="minorHAnsi"/>
        </w:rPr>
        <w:t xml:space="preserve"> podzielony na miasto Połaniec (17km</w:t>
      </w:r>
      <w:r w:rsidR="003437D1" w:rsidRPr="001D200B">
        <w:rPr>
          <w:rFonts w:cstheme="minorHAnsi"/>
          <w:vertAlign w:val="superscript"/>
        </w:rPr>
        <w:t>2</w:t>
      </w:r>
      <w:r w:rsidR="003437D1" w:rsidRPr="001D200B">
        <w:rPr>
          <w:rFonts w:cstheme="minorHAnsi"/>
        </w:rPr>
        <w:t>) oraz miejscowości wiejskie (58km</w:t>
      </w:r>
      <w:r w:rsidR="003437D1" w:rsidRPr="001D200B">
        <w:rPr>
          <w:rFonts w:cstheme="minorHAnsi"/>
          <w:vertAlign w:val="superscript"/>
        </w:rPr>
        <w:t>2</w:t>
      </w:r>
      <w:r w:rsidR="003437D1" w:rsidRPr="001D200B">
        <w:rPr>
          <w:rFonts w:cstheme="minorHAnsi"/>
        </w:rPr>
        <w:t>) skupione w sołectwach: Brzozowa, Kamieniec, Kraśnik, Łęg-Zawada, Maśnik, Okrągła - Luszyca, Rudniki, Ruszcza, Ruszcza Kępa, Rybitwy, Tursko Małe, Tursko Małe Kolonia, Winnica, Wymysłów, Zdzi</w:t>
      </w:r>
      <w:r w:rsidR="00AB6AB4" w:rsidRPr="001D200B">
        <w:rPr>
          <w:rFonts w:cstheme="minorHAnsi"/>
        </w:rPr>
        <w:t>eci Nowe, Zdzieci Stare, Zrębin.</w:t>
      </w:r>
    </w:p>
    <w:p w:rsidR="003437D1" w:rsidRPr="001D200B" w:rsidRDefault="003437D1" w:rsidP="003437D1">
      <w:pPr>
        <w:rPr>
          <w:rFonts w:cstheme="minorHAnsi"/>
        </w:rPr>
      </w:pPr>
      <w:r w:rsidRPr="001D200B">
        <w:rPr>
          <w:rFonts w:cstheme="minorHAnsi"/>
        </w:rPr>
        <w:lastRenderedPageBreak/>
        <w:t xml:space="preserve">Gmina ma charakter przemysłowo – rolniczy, z dominacją energetycznej branży przemysłowej. </w:t>
      </w:r>
      <w:r w:rsidR="00930860" w:rsidRPr="001D200B">
        <w:rPr>
          <w:rFonts w:cstheme="minorHAnsi"/>
        </w:rPr>
        <w:t>Jej g</w:t>
      </w:r>
      <w:r w:rsidRPr="001D200B">
        <w:rPr>
          <w:rFonts w:cstheme="minorHAnsi"/>
        </w:rPr>
        <w:t xml:space="preserve">ospodarczy rozwój wynika z lokalizacji na terenie miejscowości Zawada jednej z największych w kraju elektrowni. </w:t>
      </w:r>
      <w:r w:rsidR="00647089" w:rsidRPr="001D200B">
        <w:rPr>
          <w:rFonts w:cstheme="minorHAnsi"/>
        </w:rPr>
        <w:t xml:space="preserve">Enea </w:t>
      </w:r>
      <w:r w:rsidRPr="001D200B">
        <w:rPr>
          <w:rFonts w:cstheme="minorHAnsi"/>
        </w:rPr>
        <w:t>Elektrownia Połaniec S</w:t>
      </w:r>
      <w:r w:rsidR="00647089" w:rsidRPr="001D200B">
        <w:rPr>
          <w:rFonts w:cstheme="minorHAnsi"/>
        </w:rPr>
        <w:t xml:space="preserve">półka </w:t>
      </w:r>
      <w:r w:rsidRPr="001D200B">
        <w:rPr>
          <w:rFonts w:cstheme="minorHAnsi"/>
        </w:rPr>
        <w:t>A</w:t>
      </w:r>
      <w:r w:rsidR="00647089" w:rsidRPr="001D200B">
        <w:rPr>
          <w:rFonts w:cstheme="minorHAnsi"/>
        </w:rPr>
        <w:t>kcyjna</w:t>
      </w:r>
      <w:r w:rsidRPr="001D200B">
        <w:rPr>
          <w:rFonts w:cstheme="minorHAnsi"/>
        </w:rPr>
        <w:t xml:space="preserve"> </w:t>
      </w:r>
      <w:r w:rsidR="00697433" w:rsidRPr="001D200B">
        <w:rPr>
          <w:rFonts w:cstheme="minorHAnsi"/>
        </w:rPr>
        <w:t xml:space="preserve">to również największy </w:t>
      </w:r>
      <w:r w:rsidRPr="001D200B">
        <w:rPr>
          <w:rFonts w:cstheme="minorHAnsi"/>
        </w:rPr>
        <w:t>pracodawc</w:t>
      </w:r>
      <w:r w:rsidR="00697433" w:rsidRPr="001D200B">
        <w:rPr>
          <w:rFonts w:cstheme="minorHAnsi"/>
        </w:rPr>
        <w:t>a</w:t>
      </w:r>
      <w:r w:rsidRPr="001D200B">
        <w:rPr>
          <w:rFonts w:cstheme="minorHAnsi"/>
        </w:rPr>
        <w:t xml:space="preserve"> na terenie powiatu.</w:t>
      </w:r>
    </w:p>
    <w:p w:rsidR="003437D1" w:rsidRPr="001D200B" w:rsidRDefault="003437D1" w:rsidP="003437D1">
      <w:pPr>
        <w:rPr>
          <w:rFonts w:cstheme="minorHAnsi"/>
        </w:rPr>
      </w:pPr>
      <w:r w:rsidRPr="001D200B">
        <w:rPr>
          <w:rFonts w:cstheme="minorHAnsi"/>
        </w:rPr>
        <w:t xml:space="preserve">W podziale </w:t>
      </w:r>
      <w:r w:rsidR="00BC1276" w:rsidRPr="001D200B">
        <w:rPr>
          <w:rFonts w:cstheme="minorHAnsi"/>
        </w:rPr>
        <w:t xml:space="preserve">opisywanego </w:t>
      </w:r>
      <w:r w:rsidRPr="001D200B">
        <w:rPr>
          <w:rFonts w:cstheme="minorHAnsi"/>
        </w:rPr>
        <w:t>terenu</w:t>
      </w:r>
      <w:r w:rsidR="000E68BA" w:rsidRPr="001D200B">
        <w:rPr>
          <w:rFonts w:cstheme="minorHAnsi"/>
        </w:rPr>
        <w:t xml:space="preserve"> (z</w:t>
      </w:r>
      <w:r w:rsidR="000E68BA" w:rsidRPr="001D200B">
        <w:rPr>
          <w:sz w:val="23"/>
          <w:szCs w:val="23"/>
        </w:rPr>
        <w:t>godnie z Planem Zagospodarowania Przestrzennego Województwa Świętokrzyskiego)</w:t>
      </w:r>
      <w:r w:rsidRPr="001D200B">
        <w:rPr>
          <w:rFonts w:cstheme="minorHAnsi"/>
        </w:rPr>
        <w:t>, z uwagi na rodzaj pełnionej funkcji oraz strukturę przestrzenną, wyróżnia się dwa podstawowe obszary</w:t>
      </w:r>
      <w:r w:rsidR="000E68BA" w:rsidRPr="001D200B">
        <w:rPr>
          <w:rFonts w:cstheme="minorHAnsi"/>
        </w:rPr>
        <w:t xml:space="preserve"> funkcjonalne o charakterze ponadlokalnym</w:t>
      </w:r>
      <w:r w:rsidRPr="001D200B">
        <w:rPr>
          <w:rFonts w:cstheme="minorHAnsi"/>
        </w:rPr>
        <w:t xml:space="preserve">, tj.: </w:t>
      </w:r>
    </w:p>
    <w:p w:rsidR="003437D1" w:rsidRPr="001D200B" w:rsidRDefault="000E68BA" w:rsidP="00D27A5A">
      <w:pPr>
        <w:pStyle w:val="wypunktowanie"/>
      </w:pPr>
      <w:r w:rsidRPr="001D200B">
        <w:rPr>
          <w:b/>
          <w:i/>
        </w:rPr>
        <w:t>staszowski obszar aktywności gospodarczej</w:t>
      </w:r>
      <w:r w:rsidRPr="001D200B">
        <w:t xml:space="preserve"> - obejmuje następujące obszary węzłowe: Tarnobrzeską Specjalną Strefę Ekonomiczną „Euro-Park Wisłosan” ze Staszowem i rejonem inwestycyjnym w Połańcu, miasto Połaniec oraz Elektrownię Połaniec i jej strefę przemysłową (składowisko popiołów, zakłady towarzyszące).</w:t>
      </w:r>
      <w:r w:rsidR="00F61682" w:rsidRPr="001D200B">
        <w:t xml:space="preserve"> </w:t>
      </w:r>
      <w:r w:rsidRPr="001D200B">
        <w:t>Obszar ten posiada warunki do rozwoju społeczno-gospodarczego w oparciu o</w:t>
      </w:r>
      <w:r w:rsidR="00F61682" w:rsidRPr="001D200B">
        <w:t> </w:t>
      </w:r>
      <w:r w:rsidRPr="001D200B">
        <w:t xml:space="preserve">innowacyjne projekty inwestycyjne. Główną funkcją obszaru będzie przedsiębiorczość przemysłowa, której powinna towarzyszyć zrównoważona urbanizacja, rekultywacja terenów posiarkowych oraz wspieranie wielokierunkowych inicjatyw. </w:t>
      </w:r>
    </w:p>
    <w:p w:rsidR="003437D1" w:rsidRPr="001D200B" w:rsidRDefault="003437D1" w:rsidP="00D27A5A">
      <w:pPr>
        <w:pStyle w:val="wypunktowanie"/>
        <w:rPr>
          <w:szCs w:val="24"/>
        </w:rPr>
      </w:pPr>
      <w:r w:rsidRPr="001D200B">
        <w:rPr>
          <w:b/>
          <w:i/>
          <w:szCs w:val="24"/>
        </w:rPr>
        <w:t>obszar Doliny Wisły</w:t>
      </w:r>
      <w:r w:rsidRPr="001D200B">
        <w:rPr>
          <w:szCs w:val="24"/>
        </w:rPr>
        <w:t xml:space="preserve"> obejmuj</w:t>
      </w:r>
      <w:r w:rsidR="00F61682" w:rsidRPr="001D200B">
        <w:rPr>
          <w:szCs w:val="24"/>
        </w:rPr>
        <w:t>e</w:t>
      </w:r>
      <w:r w:rsidRPr="001D200B">
        <w:rPr>
          <w:szCs w:val="24"/>
        </w:rPr>
        <w:t xml:space="preserve"> południową i wschodnią cześć gminy, predysponowany do intensyfikacji </w:t>
      </w:r>
      <w:r w:rsidR="001D5A16" w:rsidRPr="001D200B">
        <w:rPr>
          <w:szCs w:val="24"/>
        </w:rPr>
        <w:t>rolnictwa ekologicznego</w:t>
      </w:r>
      <w:r w:rsidRPr="001D200B">
        <w:rPr>
          <w:szCs w:val="24"/>
        </w:rPr>
        <w:t xml:space="preserve"> (zwłaszcza na terenach </w:t>
      </w:r>
      <w:r w:rsidR="00561053" w:rsidRPr="001D200B">
        <w:rPr>
          <w:szCs w:val="24"/>
        </w:rPr>
        <w:t xml:space="preserve">występowania </w:t>
      </w:r>
      <w:r w:rsidR="001D5A16" w:rsidRPr="001D200B">
        <w:rPr>
          <w:szCs w:val="24"/>
        </w:rPr>
        <w:t>dobrych gleb) oraz turystyki bazującej na zasobach dziedzictwa kulturowego oraz walorach przyrodniczo-krajobrazowych doliny Wisły.</w:t>
      </w:r>
    </w:p>
    <w:p w:rsidR="000555F7" w:rsidRPr="001D200B" w:rsidRDefault="00FA64C5" w:rsidP="00443917">
      <w:pPr>
        <w:rPr>
          <w:rFonts w:cstheme="minorHAnsi"/>
          <w:szCs w:val="24"/>
        </w:rPr>
      </w:pPr>
      <w:r w:rsidRPr="001D200B">
        <w:rPr>
          <w:rFonts w:cstheme="minorHAnsi"/>
        </w:rPr>
        <w:t xml:space="preserve">Połaniec to jeden z miejskich ośrodków gminnych województwa wyróżniający się funkcjami o zasięgu ponadgminnym. </w:t>
      </w:r>
      <w:r w:rsidR="00930860" w:rsidRPr="001D200B">
        <w:rPr>
          <w:rFonts w:cstheme="minorHAnsi"/>
        </w:rPr>
        <w:t>J</w:t>
      </w:r>
      <w:r w:rsidR="004D4D2E" w:rsidRPr="001D200B">
        <w:rPr>
          <w:rFonts w:cstheme="minorHAnsi"/>
        </w:rPr>
        <w:t>est obszarem aktywności przemysłowo – osadniczej z</w:t>
      </w:r>
      <w:r w:rsidR="00930860" w:rsidRPr="001D200B">
        <w:rPr>
          <w:rFonts w:cstheme="minorHAnsi"/>
        </w:rPr>
        <w:t xml:space="preserve"> </w:t>
      </w:r>
      <w:r w:rsidR="004D4D2E" w:rsidRPr="001D200B">
        <w:rPr>
          <w:rFonts w:cstheme="minorHAnsi"/>
        </w:rPr>
        <w:t>wyraźnie podwyższoną dynamiką procesów urbanizacyjnych</w:t>
      </w:r>
      <w:r w:rsidR="00B71A85" w:rsidRPr="001D200B">
        <w:rPr>
          <w:rFonts w:cstheme="minorHAnsi"/>
        </w:rPr>
        <w:t xml:space="preserve"> powiązanych ściśle z rozwojem przemysłu energetycznego oraz towarzyszącego mu mieszkalnictwa i usług. </w:t>
      </w:r>
      <w:r w:rsidR="00CB1F2F" w:rsidRPr="001D200B">
        <w:rPr>
          <w:rFonts w:cstheme="minorHAnsi"/>
          <w:szCs w:val="24"/>
        </w:rPr>
        <w:t>M</w:t>
      </w:r>
      <w:r w:rsidR="00013F99" w:rsidRPr="001D200B">
        <w:rPr>
          <w:rFonts w:cstheme="minorHAnsi"/>
          <w:szCs w:val="24"/>
        </w:rPr>
        <w:t>iast</w:t>
      </w:r>
      <w:r w:rsidR="00C90E81" w:rsidRPr="001D200B">
        <w:rPr>
          <w:rFonts w:cstheme="minorHAnsi"/>
          <w:szCs w:val="24"/>
        </w:rPr>
        <w:t>o</w:t>
      </w:r>
      <w:r w:rsidR="00013F99" w:rsidRPr="001D200B">
        <w:rPr>
          <w:rFonts w:cstheme="minorHAnsi"/>
          <w:szCs w:val="24"/>
        </w:rPr>
        <w:t xml:space="preserve"> pełni </w:t>
      </w:r>
      <w:r w:rsidR="00CB1F2F" w:rsidRPr="001D200B">
        <w:rPr>
          <w:rFonts w:cstheme="minorHAnsi"/>
          <w:szCs w:val="24"/>
        </w:rPr>
        <w:t xml:space="preserve">przede wszystkim </w:t>
      </w:r>
      <w:r w:rsidR="00013F99" w:rsidRPr="001D200B">
        <w:rPr>
          <w:rFonts w:cstheme="minorHAnsi"/>
          <w:szCs w:val="24"/>
        </w:rPr>
        <w:t>funkcję mieszkalno-usługową z wielopłaszczyznową ofertą obiektów usługowych i</w:t>
      </w:r>
      <w:r w:rsidR="00A766D3" w:rsidRPr="001D200B">
        <w:rPr>
          <w:rFonts w:cstheme="minorHAnsi"/>
          <w:szCs w:val="24"/>
        </w:rPr>
        <w:t> </w:t>
      </w:r>
      <w:r w:rsidR="00013F99" w:rsidRPr="001D200B">
        <w:rPr>
          <w:rFonts w:cstheme="minorHAnsi"/>
          <w:szCs w:val="24"/>
        </w:rPr>
        <w:t xml:space="preserve">użyteczności publicznej. </w:t>
      </w:r>
      <w:r w:rsidR="007B715E" w:rsidRPr="001D200B">
        <w:rPr>
          <w:rFonts w:cstheme="minorHAnsi"/>
          <w:szCs w:val="24"/>
        </w:rPr>
        <w:t xml:space="preserve">Znajdują się tu </w:t>
      </w:r>
      <w:r w:rsidR="00013F99" w:rsidRPr="001D200B">
        <w:rPr>
          <w:rFonts w:cstheme="minorHAnsi"/>
          <w:szCs w:val="24"/>
        </w:rPr>
        <w:t xml:space="preserve">obiekty podstawowej </w:t>
      </w:r>
      <w:r w:rsidR="00930860" w:rsidRPr="001D200B">
        <w:rPr>
          <w:rFonts w:cstheme="minorHAnsi"/>
          <w:szCs w:val="24"/>
        </w:rPr>
        <w:t xml:space="preserve">i ponadpodstawowej </w:t>
      </w:r>
      <w:r w:rsidR="00013F99" w:rsidRPr="001D200B">
        <w:rPr>
          <w:rFonts w:cstheme="minorHAnsi"/>
          <w:szCs w:val="24"/>
        </w:rPr>
        <w:t>obsługi mieszkańców: jednostki administracji samorządowej, szkoły podstawowe i</w:t>
      </w:r>
      <w:r w:rsidR="000555F7" w:rsidRPr="001D200B">
        <w:rPr>
          <w:rFonts w:cstheme="minorHAnsi"/>
          <w:szCs w:val="24"/>
        </w:rPr>
        <w:t> ponadpodstawowe</w:t>
      </w:r>
      <w:r w:rsidR="00013F99" w:rsidRPr="001D200B">
        <w:rPr>
          <w:rFonts w:cstheme="minorHAnsi"/>
          <w:szCs w:val="24"/>
        </w:rPr>
        <w:t xml:space="preserve"> (i inne związane z oświatą), placówki opieki zdrowotnej </w:t>
      </w:r>
      <w:r w:rsidR="0082763B" w:rsidRPr="001D200B">
        <w:rPr>
          <w:rFonts w:cstheme="minorHAnsi"/>
          <w:szCs w:val="24"/>
        </w:rPr>
        <w:t>(przycho</w:t>
      </w:r>
      <w:r w:rsidR="004C2F9E" w:rsidRPr="001D200B">
        <w:rPr>
          <w:rFonts w:cstheme="minorHAnsi"/>
          <w:szCs w:val="24"/>
        </w:rPr>
        <w:t>dnie), Centrum Kultury i Sztuki</w:t>
      </w:r>
      <w:r w:rsidR="0082763B" w:rsidRPr="001D200B">
        <w:rPr>
          <w:rFonts w:cstheme="minorHAnsi"/>
          <w:szCs w:val="24"/>
        </w:rPr>
        <w:t xml:space="preserve">, </w:t>
      </w:r>
      <w:r w:rsidR="0069411A" w:rsidRPr="001D200B">
        <w:rPr>
          <w:rFonts w:cstheme="minorHAnsi"/>
          <w:szCs w:val="24"/>
        </w:rPr>
        <w:t>kryta pływalnia „Delfin”, Miejsko – Gminna Bibliote</w:t>
      </w:r>
      <w:r w:rsidR="004C2F9E" w:rsidRPr="001D200B">
        <w:rPr>
          <w:rFonts w:cstheme="minorHAnsi"/>
          <w:szCs w:val="24"/>
        </w:rPr>
        <w:t>ka Publiczna im. A. Mickiewicza</w:t>
      </w:r>
      <w:r w:rsidR="0069411A" w:rsidRPr="001D200B">
        <w:rPr>
          <w:rFonts w:cstheme="minorHAnsi"/>
          <w:szCs w:val="24"/>
        </w:rPr>
        <w:t xml:space="preserve">, </w:t>
      </w:r>
      <w:r w:rsidR="00013F99" w:rsidRPr="001D200B">
        <w:rPr>
          <w:rFonts w:cstheme="minorHAnsi"/>
          <w:szCs w:val="24"/>
        </w:rPr>
        <w:t>jednostki OSP</w:t>
      </w:r>
      <w:r w:rsidR="004C2F9E" w:rsidRPr="001D200B">
        <w:rPr>
          <w:rFonts w:cstheme="minorHAnsi"/>
          <w:szCs w:val="24"/>
        </w:rPr>
        <w:t>, Komisariat Policji</w:t>
      </w:r>
      <w:r w:rsidR="00443917" w:rsidRPr="001D200B">
        <w:rPr>
          <w:rFonts w:cstheme="minorHAnsi"/>
          <w:szCs w:val="24"/>
        </w:rPr>
        <w:t xml:space="preserve">, </w:t>
      </w:r>
      <w:r w:rsidR="00013F99" w:rsidRPr="001D200B">
        <w:rPr>
          <w:rFonts w:cstheme="minorHAnsi"/>
          <w:szCs w:val="24"/>
        </w:rPr>
        <w:t>jednostki gospodarcze sektora prywatnego pełniące funkcje usługowe i</w:t>
      </w:r>
      <w:r w:rsidR="004C2F9E" w:rsidRPr="001D200B">
        <w:rPr>
          <w:rFonts w:cstheme="minorHAnsi"/>
          <w:szCs w:val="24"/>
        </w:rPr>
        <w:t> </w:t>
      </w:r>
      <w:r w:rsidR="00013F99" w:rsidRPr="001D200B">
        <w:rPr>
          <w:rFonts w:cstheme="minorHAnsi"/>
          <w:szCs w:val="24"/>
        </w:rPr>
        <w:t>handlowe.</w:t>
      </w:r>
      <w:r w:rsidR="00443917" w:rsidRPr="001D200B">
        <w:rPr>
          <w:rFonts w:cstheme="minorHAnsi"/>
          <w:szCs w:val="24"/>
        </w:rPr>
        <w:t xml:space="preserve"> </w:t>
      </w:r>
    </w:p>
    <w:p w:rsidR="00551741" w:rsidRPr="001D200B" w:rsidRDefault="000555F7" w:rsidP="000555F7">
      <w:pPr>
        <w:shd w:val="clear" w:color="auto" w:fill="F2F2F2" w:themeFill="background1" w:themeFillShade="F2"/>
        <w:rPr>
          <w:rFonts w:cstheme="minorHAnsi"/>
          <w:b/>
          <w:i/>
        </w:rPr>
      </w:pPr>
      <w:r w:rsidRPr="001D200B">
        <w:rPr>
          <w:rFonts w:cstheme="minorHAnsi"/>
          <w:b/>
          <w:i/>
        </w:rPr>
        <w:t>Warunki naturalne</w:t>
      </w:r>
    </w:p>
    <w:p w:rsidR="00B3433F" w:rsidRPr="001D200B" w:rsidRDefault="00551741" w:rsidP="00B3433F">
      <w:pPr>
        <w:rPr>
          <w:rFonts w:cstheme="minorHAnsi"/>
        </w:rPr>
      </w:pPr>
      <w:r w:rsidRPr="001D200B">
        <w:rPr>
          <w:rFonts w:cstheme="minorHAnsi"/>
        </w:rPr>
        <w:t xml:space="preserve">Występujące na danym terenie warunki naturalne (fizjograficzne), tj. ukształtowanie i rzeźba terenu, rodzaj podłoża, stosunki wodne, klimat, zasoby świata roślinnego i zwierzęcego, umożliwią podział i kwalifikowanie poszczególnych obszarów dla potrzeb planowania i zagospodarowania przestrzennego. </w:t>
      </w:r>
      <w:r w:rsidR="00B3433F" w:rsidRPr="001D200B">
        <w:rPr>
          <w:rFonts w:cstheme="minorHAnsi"/>
        </w:rPr>
        <w:t xml:space="preserve">Znaczący wpływ na kształtowanie się sieci osadniczej </w:t>
      </w:r>
      <w:r w:rsidR="00B3433F" w:rsidRPr="001D200B">
        <w:rPr>
          <w:rFonts w:cstheme="minorHAnsi"/>
        </w:rPr>
        <w:lastRenderedPageBreak/>
        <w:t>gminy Połaniec ma topografia terenu z</w:t>
      </w:r>
      <w:r w:rsidR="00BC1276" w:rsidRPr="001D200B">
        <w:rPr>
          <w:rFonts w:cstheme="minorHAnsi"/>
        </w:rPr>
        <w:t xml:space="preserve"> </w:t>
      </w:r>
      <w:r w:rsidR="00B3433F" w:rsidRPr="001D200B">
        <w:rPr>
          <w:rFonts w:cstheme="minorHAnsi"/>
        </w:rPr>
        <w:t>doliną rzeki Wisły, kompleksami lasów oraz dolinami mniejszych cieków wodnych.</w:t>
      </w:r>
    </w:p>
    <w:p w:rsidR="00A203A2" w:rsidRPr="001D200B" w:rsidRDefault="003F527F" w:rsidP="000555F7">
      <w:r w:rsidRPr="001D200B">
        <w:t xml:space="preserve">W świetle podziału fizyczno – geograficznego </w:t>
      </w:r>
      <w:r w:rsidR="00234E01" w:rsidRPr="001D200B">
        <w:t>przedmiotowy teren</w:t>
      </w:r>
      <w:r w:rsidRPr="001D200B">
        <w:t xml:space="preserve"> leży na pograniczy dwóch </w:t>
      </w:r>
      <w:r w:rsidR="00752F54" w:rsidRPr="001D200B">
        <w:t>prowincji: Wyżyna Małopolska oraz Podkarpacie Północne, na styku dwóch jednostek strukturalnych (podprowincj</w:t>
      </w:r>
      <w:r w:rsidR="004F06E7" w:rsidRPr="001D200B">
        <w:t>i</w:t>
      </w:r>
      <w:r w:rsidR="00752F54" w:rsidRPr="001D200B">
        <w:t>) Niecka Nidziańska</w:t>
      </w:r>
      <w:r w:rsidR="00271FD4" w:rsidRPr="001D200B">
        <w:t xml:space="preserve"> obszar </w:t>
      </w:r>
      <w:r w:rsidR="00752F54" w:rsidRPr="001D200B">
        <w:t>mezoregion</w:t>
      </w:r>
      <w:r w:rsidR="004F06E7" w:rsidRPr="001D200B">
        <w:t>u</w:t>
      </w:r>
      <w:r w:rsidR="00752F54" w:rsidRPr="001D200B">
        <w:t xml:space="preserve"> Niecka Połaniecka oraz (podprowincj</w:t>
      </w:r>
      <w:r w:rsidR="004F06E7" w:rsidRPr="001D200B">
        <w:t>i</w:t>
      </w:r>
      <w:r w:rsidR="00752F54" w:rsidRPr="001D200B">
        <w:t>) Kotlina Sandomierska</w:t>
      </w:r>
      <w:r w:rsidR="004F06E7" w:rsidRPr="001D200B">
        <w:t xml:space="preserve"> w obszarze </w:t>
      </w:r>
      <w:r w:rsidR="00752F54" w:rsidRPr="001D200B">
        <w:t>mezoregion</w:t>
      </w:r>
      <w:r w:rsidR="004F06E7" w:rsidRPr="001D200B">
        <w:t>u</w:t>
      </w:r>
      <w:r w:rsidR="00381A1B" w:rsidRPr="001D200B">
        <w:t xml:space="preserve"> Nizina Nadwiślaska. </w:t>
      </w:r>
      <w:r w:rsidR="00B50450" w:rsidRPr="001D200B">
        <w:t xml:space="preserve">Większa część gminy znajduje się na </w:t>
      </w:r>
      <w:r w:rsidR="006811AB" w:rsidRPr="001D200B">
        <w:t xml:space="preserve">zróżnicowanym </w:t>
      </w:r>
      <w:r w:rsidR="00B50450" w:rsidRPr="001D200B">
        <w:t>wysokościowo</w:t>
      </w:r>
      <w:r w:rsidR="006811AB" w:rsidRPr="001D200B">
        <w:t xml:space="preserve"> </w:t>
      </w:r>
      <w:r w:rsidR="00B50450" w:rsidRPr="001D200B">
        <w:t>w</w:t>
      </w:r>
      <w:r w:rsidR="006811AB" w:rsidRPr="001D200B">
        <w:t>zniesieniu</w:t>
      </w:r>
      <w:r w:rsidR="00C21BE6" w:rsidRPr="001D200B">
        <w:t xml:space="preserve"> </w:t>
      </w:r>
      <w:r w:rsidR="00B50450" w:rsidRPr="001D200B">
        <w:t>rozczłonkowan</w:t>
      </w:r>
      <w:r w:rsidR="006811AB" w:rsidRPr="001D200B">
        <w:t>ym</w:t>
      </w:r>
      <w:r w:rsidR="00B50450" w:rsidRPr="001D200B">
        <w:t xml:space="preserve"> szeregiem dolin rzecznych, dolin bocznych i </w:t>
      </w:r>
      <w:r w:rsidR="006811AB" w:rsidRPr="001D200B">
        <w:t>obniżeń</w:t>
      </w:r>
      <w:r w:rsidR="00B50450" w:rsidRPr="001D200B">
        <w:t>.</w:t>
      </w:r>
      <w:r w:rsidR="006811AB" w:rsidRPr="001D200B">
        <w:t xml:space="preserve"> </w:t>
      </w:r>
      <w:r w:rsidR="006352D7" w:rsidRPr="001D200B">
        <w:t xml:space="preserve">Niecka Połaniecka opada 30-metrowym stopniem w kierunku wschodnim. </w:t>
      </w:r>
      <w:r w:rsidR="006811AB" w:rsidRPr="001D200B">
        <w:t>Południowa część gminy to monotonna nizina rozcięta rzeką Kanał Strumień z</w:t>
      </w:r>
      <w:r w:rsidR="008A7675" w:rsidRPr="001D200B">
        <w:t xml:space="preserve"> </w:t>
      </w:r>
      <w:r w:rsidR="006811AB" w:rsidRPr="001D200B">
        <w:t xml:space="preserve">pasmem starorzeczy i oczek wodnych. </w:t>
      </w:r>
      <w:r w:rsidR="00B50450" w:rsidRPr="001D200B">
        <w:t xml:space="preserve">Obszary wysoczyzny i niziny </w:t>
      </w:r>
      <w:r w:rsidR="001730E6" w:rsidRPr="001D200B">
        <w:t>ułożone</w:t>
      </w:r>
      <w:r w:rsidR="00B50450" w:rsidRPr="001D200B">
        <w:t xml:space="preserve"> są pasmowo</w:t>
      </w:r>
      <w:r w:rsidR="001730E6" w:rsidRPr="001D200B">
        <w:t xml:space="preserve"> </w:t>
      </w:r>
      <w:r w:rsidR="00C21BE6" w:rsidRPr="001D200B">
        <w:t>równolegle do Wisły</w:t>
      </w:r>
      <w:r w:rsidR="00A41CF4" w:rsidRPr="001D200B">
        <w:t xml:space="preserve"> i charakteryzują się występowaniem </w:t>
      </w:r>
      <w:r w:rsidR="00C21BE6" w:rsidRPr="001D200B">
        <w:t>teren</w:t>
      </w:r>
      <w:r w:rsidR="00A41CF4" w:rsidRPr="001D200B">
        <w:t>ów</w:t>
      </w:r>
      <w:r w:rsidR="00C21BE6" w:rsidRPr="001D200B">
        <w:t xml:space="preserve"> </w:t>
      </w:r>
      <w:r w:rsidR="0024390D" w:rsidRPr="001D200B">
        <w:t xml:space="preserve">znacznych </w:t>
      </w:r>
      <w:r w:rsidR="00C21BE6" w:rsidRPr="001D200B">
        <w:t xml:space="preserve">obniżeń powierzchniowych w </w:t>
      </w:r>
      <w:r w:rsidR="0024390D" w:rsidRPr="001D200B">
        <w:t>kierunku</w:t>
      </w:r>
      <w:r w:rsidR="00C21BE6" w:rsidRPr="001D200B">
        <w:t xml:space="preserve"> </w:t>
      </w:r>
      <w:r w:rsidR="0024390D" w:rsidRPr="001D200B">
        <w:t xml:space="preserve">dolin </w:t>
      </w:r>
      <w:r w:rsidR="00C21BE6" w:rsidRPr="001D200B">
        <w:t>rzecznych i</w:t>
      </w:r>
      <w:r w:rsidR="00A766D3" w:rsidRPr="001D200B">
        <w:t xml:space="preserve"> </w:t>
      </w:r>
      <w:r w:rsidR="00C21BE6" w:rsidRPr="001D200B">
        <w:t>cieków</w:t>
      </w:r>
      <w:r w:rsidR="008A7675" w:rsidRPr="001D200B">
        <w:t>.</w:t>
      </w:r>
      <w:r w:rsidR="00360219" w:rsidRPr="001D200B">
        <w:t xml:space="preserve"> </w:t>
      </w:r>
      <w:r w:rsidR="00A203A2" w:rsidRPr="001D200B">
        <w:t xml:space="preserve">Ukształtowanie powierzchni południowej i południowo-zachodniej części gminy </w:t>
      </w:r>
      <w:r w:rsidR="00446FE7" w:rsidRPr="001D200B">
        <w:t xml:space="preserve">w porównaniu do części północno – wschodniej </w:t>
      </w:r>
      <w:r w:rsidR="00A203A2" w:rsidRPr="001D200B">
        <w:t xml:space="preserve">jest w znacznie większym stopniu zróżnicowane zarówno pod względem rozczłonkowania powierzchni, jak i </w:t>
      </w:r>
      <w:r w:rsidR="00512468" w:rsidRPr="001D200B">
        <w:t>stopnia</w:t>
      </w:r>
      <w:r w:rsidR="00446FE7" w:rsidRPr="001D200B">
        <w:t xml:space="preserve"> </w:t>
      </w:r>
      <w:r w:rsidR="00A203A2" w:rsidRPr="001D200B">
        <w:t>wpływów procesów morfologicznych</w:t>
      </w:r>
      <w:r w:rsidR="00446FE7" w:rsidRPr="001D200B">
        <w:t>.</w:t>
      </w:r>
    </w:p>
    <w:p w:rsidR="00B62B12" w:rsidRPr="001D200B" w:rsidRDefault="000D6C1C" w:rsidP="000555F7">
      <w:r w:rsidRPr="001D200B">
        <w:t>W budowie strefy przypowierzchniowej, bądź na powierzchni terenu występują utwory kredy, trzeciorzędu i czwartorzędu.</w:t>
      </w:r>
      <w:r w:rsidR="00B62B12" w:rsidRPr="001D200B">
        <w:t xml:space="preserve"> Surowce naturalne </w:t>
      </w:r>
      <w:r w:rsidR="00BC1276" w:rsidRPr="001D200B">
        <w:t>tego terenu</w:t>
      </w:r>
      <w:r w:rsidR="00B62B12" w:rsidRPr="001D200B">
        <w:t xml:space="preserve"> to głównie surowce ilaste ceramiki budowlanej oraz kruszywo naturalne </w:t>
      </w:r>
      <w:r w:rsidR="00B62B12" w:rsidRPr="001D200B">
        <w:rPr>
          <w:rStyle w:val="a1"/>
          <w:rFonts w:cstheme="minorHAnsi"/>
          <w:szCs w:val="24"/>
        </w:rPr>
        <w:t>(piaski drobnoziarniste) wydobywane w</w:t>
      </w:r>
      <w:r w:rsidR="00BC1276" w:rsidRPr="001D200B">
        <w:rPr>
          <w:rStyle w:val="a1"/>
          <w:rFonts w:cstheme="minorHAnsi"/>
          <w:szCs w:val="24"/>
        </w:rPr>
        <w:t> </w:t>
      </w:r>
      <w:r w:rsidR="00B62B12" w:rsidRPr="001D200B">
        <w:rPr>
          <w:rStyle w:val="a1"/>
          <w:rFonts w:cstheme="minorHAnsi"/>
          <w:szCs w:val="24"/>
        </w:rPr>
        <w:t xml:space="preserve">miejscowości </w:t>
      </w:r>
      <w:r w:rsidR="00B62B12" w:rsidRPr="001D200B">
        <w:rPr>
          <w:rStyle w:val="a1"/>
          <w:rFonts w:cstheme="minorHAnsi"/>
          <w:spacing w:val="-13"/>
          <w:szCs w:val="24"/>
        </w:rPr>
        <w:t>Ruszcz</w:t>
      </w:r>
      <w:r w:rsidR="009C24AF" w:rsidRPr="001D200B">
        <w:rPr>
          <w:rStyle w:val="a1"/>
          <w:rFonts w:cstheme="minorHAnsi"/>
          <w:spacing w:val="-13"/>
          <w:szCs w:val="24"/>
        </w:rPr>
        <w:t>a</w:t>
      </w:r>
      <w:r w:rsidR="00B62B12" w:rsidRPr="001D200B">
        <w:rPr>
          <w:rStyle w:val="a1"/>
          <w:rFonts w:cstheme="minorHAnsi"/>
          <w:spacing w:val="-13"/>
          <w:szCs w:val="24"/>
        </w:rPr>
        <w:t>.</w:t>
      </w:r>
    </w:p>
    <w:p w:rsidR="00512468" w:rsidRPr="001D200B" w:rsidRDefault="00460F52" w:rsidP="00B52B09">
      <w:pPr>
        <w:rPr>
          <w:rFonts w:cstheme="minorHAnsi"/>
        </w:rPr>
      </w:pPr>
      <w:r w:rsidRPr="001D200B">
        <w:rPr>
          <w:rFonts w:cstheme="minorHAnsi"/>
          <w:szCs w:val="24"/>
        </w:rPr>
        <w:t>T</w:t>
      </w:r>
      <w:r w:rsidR="009227D3" w:rsidRPr="001D200B">
        <w:rPr>
          <w:rFonts w:cstheme="minorHAnsi"/>
          <w:szCs w:val="24"/>
        </w:rPr>
        <w:t xml:space="preserve">eren </w:t>
      </w:r>
      <w:r w:rsidR="001D17CB" w:rsidRPr="001D200B">
        <w:rPr>
          <w:rFonts w:cstheme="minorHAnsi"/>
          <w:szCs w:val="24"/>
        </w:rPr>
        <w:t xml:space="preserve">całego </w:t>
      </w:r>
      <w:r w:rsidR="009227D3" w:rsidRPr="001D200B">
        <w:rPr>
          <w:rFonts w:cstheme="minorHAnsi"/>
          <w:szCs w:val="24"/>
        </w:rPr>
        <w:t>powiatu s</w:t>
      </w:r>
      <w:r w:rsidR="00736312" w:rsidRPr="001D200B">
        <w:rPr>
          <w:rFonts w:cstheme="minorHAnsi"/>
          <w:szCs w:val="24"/>
        </w:rPr>
        <w:t>taszowskiego wy</w:t>
      </w:r>
      <w:r w:rsidRPr="001D200B">
        <w:rPr>
          <w:rFonts w:cstheme="minorHAnsi"/>
          <w:szCs w:val="24"/>
        </w:rPr>
        <w:t xml:space="preserve">różnia </w:t>
      </w:r>
      <w:r w:rsidR="00736312" w:rsidRPr="001D200B">
        <w:rPr>
          <w:rFonts w:cstheme="minorHAnsi"/>
          <w:szCs w:val="24"/>
        </w:rPr>
        <w:t xml:space="preserve">duża zmienność występowania gleb, która </w:t>
      </w:r>
      <w:r w:rsidRPr="001D200B">
        <w:rPr>
          <w:rFonts w:cstheme="minorHAnsi"/>
          <w:szCs w:val="24"/>
        </w:rPr>
        <w:t>odnosi się również do obszarów</w:t>
      </w:r>
      <w:r w:rsidR="00736312" w:rsidRPr="001D200B">
        <w:rPr>
          <w:rFonts w:cstheme="minorHAnsi"/>
          <w:szCs w:val="24"/>
        </w:rPr>
        <w:t xml:space="preserve"> poszczególnych gmin. W większości występują tu gleby bielicowe lekkie lub bardzo lekkie, ubogie w składniki pokarmowe, często zakwaszone. Gleby </w:t>
      </w:r>
      <w:r w:rsidRPr="001D200B">
        <w:rPr>
          <w:rFonts w:cstheme="minorHAnsi"/>
          <w:szCs w:val="24"/>
        </w:rPr>
        <w:t>dobre (</w:t>
      </w:r>
      <w:r w:rsidR="00736312" w:rsidRPr="001D200B">
        <w:rPr>
          <w:rFonts w:cstheme="minorHAnsi"/>
          <w:szCs w:val="24"/>
        </w:rPr>
        <w:t>brunatne i czarnoziemy</w:t>
      </w:r>
      <w:r w:rsidRPr="001D200B">
        <w:rPr>
          <w:rFonts w:cstheme="minorHAnsi"/>
          <w:szCs w:val="24"/>
        </w:rPr>
        <w:t>)</w:t>
      </w:r>
      <w:r w:rsidR="00736312" w:rsidRPr="001D200B">
        <w:rPr>
          <w:rFonts w:cstheme="minorHAnsi"/>
          <w:szCs w:val="24"/>
        </w:rPr>
        <w:t xml:space="preserve"> występują lokalnie i pokrywają niewielkie </w:t>
      </w:r>
      <w:r w:rsidR="00736312" w:rsidRPr="001D200B">
        <w:rPr>
          <w:rFonts w:cstheme="minorHAnsi"/>
        </w:rPr>
        <w:t>powierzchni</w:t>
      </w:r>
      <w:r w:rsidRPr="001D200B">
        <w:rPr>
          <w:rFonts w:cstheme="minorHAnsi"/>
        </w:rPr>
        <w:t>e</w:t>
      </w:r>
      <w:r w:rsidR="00736312" w:rsidRPr="001D200B">
        <w:rPr>
          <w:rFonts w:cstheme="minorHAnsi"/>
        </w:rPr>
        <w:t xml:space="preserve">. </w:t>
      </w:r>
      <w:r w:rsidR="00BE0863" w:rsidRPr="001D200B">
        <w:rPr>
          <w:rFonts w:cstheme="minorHAnsi"/>
        </w:rPr>
        <w:t xml:space="preserve">Zdecydowana większość </w:t>
      </w:r>
      <w:r w:rsidR="00AC1B63" w:rsidRPr="001D200B">
        <w:rPr>
          <w:rFonts w:cstheme="minorHAnsi"/>
        </w:rPr>
        <w:t xml:space="preserve">gleb </w:t>
      </w:r>
      <w:r w:rsidR="00BE0863" w:rsidRPr="001D200B">
        <w:rPr>
          <w:rFonts w:cstheme="minorHAnsi"/>
        </w:rPr>
        <w:t xml:space="preserve">w gminie Połaniec </w:t>
      </w:r>
      <w:r w:rsidR="00AC1B63" w:rsidRPr="001D200B">
        <w:rPr>
          <w:rFonts w:cstheme="minorHAnsi"/>
        </w:rPr>
        <w:t xml:space="preserve">należy do </w:t>
      </w:r>
      <w:r w:rsidR="00512468" w:rsidRPr="001D200B">
        <w:rPr>
          <w:rFonts w:cstheme="minorHAnsi"/>
        </w:rPr>
        <w:t xml:space="preserve">niższych </w:t>
      </w:r>
      <w:r w:rsidR="00AC1B63" w:rsidRPr="001D200B">
        <w:rPr>
          <w:rFonts w:cstheme="minorHAnsi"/>
        </w:rPr>
        <w:t xml:space="preserve">klas </w:t>
      </w:r>
      <w:r w:rsidR="00BE0863" w:rsidRPr="001D200B">
        <w:rPr>
          <w:rFonts w:cstheme="minorHAnsi"/>
        </w:rPr>
        <w:t>wartości użytkowej</w:t>
      </w:r>
      <w:r w:rsidR="00512468" w:rsidRPr="001D200B">
        <w:rPr>
          <w:rFonts w:cstheme="minorHAnsi"/>
        </w:rPr>
        <w:t xml:space="preserve"> (</w:t>
      </w:r>
      <w:r w:rsidR="00AC1B63" w:rsidRPr="001D200B">
        <w:rPr>
          <w:rFonts w:cstheme="minorHAnsi"/>
        </w:rPr>
        <w:t>od IV do VI</w:t>
      </w:r>
      <w:r w:rsidR="00512468" w:rsidRPr="001D200B">
        <w:rPr>
          <w:rFonts w:cstheme="minorHAnsi"/>
        </w:rPr>
        <w:t>)</w:t>
      </w:r>
      <w:r w:rsidR="00B52B09" w:rsidRPr="001D200B">
        <w:rPr>
          <w:rFonts w:cstheme="minorHAnsi"/>
        </w:rPr>
        <w:t>, zajmują one około 85% użytków rolnych</w:t>
      </w:r>
      <w:r w:rsidR="00512468" w:rsidRPr="001D200B">
        <w:rPr>
          <w:rFonts w:cstheme="minorHAnsi"/>
        </w:rPr>
        <w:t>.</w:t>
      </w:r>
      <w:r w:rsidR="00E94A6B" w:rsidRPr="001D200B">
        <w:rPr>
          <w:rFonts w:cstheme="minorHAnsi"/>
        </w:rPr>
        <w:t xml:space="preserve"> </w:t>
      </w:r>
      <w:r w:rsidR="00B52B09" w:rsidRPr="001D200B">
        <w:rPr>
          <w:rFonts w:cstheme="minorHAnsi"/>
        </w:rPr>
        <w:t>Najlepsze gleby III klasy bonitacyjnej występują w niewielkich kompleksach głównie w południowo-wschodniej części gminy – m.in. w okolicach wsi Maśnik</w:t>
      </w:r>
      <w:r w:rsidR="00584E45" w:rsidRPr="001D200B">
        <w:rPr>
          <w:rFonts w:cstheme="minorHAnsi"/>
        </w:rPr>
        <w:t>, Ruszcza</w:t>
      </w:r>
      <w:r w:rsidR="00B52B09" w:rsidRPr="001D200B">
        <w:rPr>
          <w:rFonts w:cstheme="minorHAnsi"/>
        </w:rPr>
        <w:t>. Procentowy udział tych gleb w ogólnej powierzchni użytków rolnych nie przekracza 15%.</w:t>
      </w:r>
      <w:r w:rsidR="00C34D5E" w:rsidRPr="001D200B">
        <w:rPr>
          <w:rFonts w:cstheme="minorHAnsi"/>
        </w:rPr>
        <w:t xml:space="preserve"> </w:t>
      </w:r>
    </w:p>
    <w:p w:rsidR="00F90775" w:rsidRPr="001D200B" w:rsidRDefault="00FF0AA4" w:rsidP="00C34D5E">
      <w:pPr>
        <w:rPr>
          <w:rFonts w:cstheme="minorHAnsi"/>
        </w:rPr>
      </w:pPr>
      <w:r w:rsidRPr="001D200B">
        <w:t xml:space="preserve">Struktura użytkowania gruntów w gminie Połaniec charakteryzuje się przewagą użytków rolnych. Zajmują one około 64%  powierzchni całej gminy. </w:t>
      </w:r>
      <w:r w:rsidR="00C34D5E" w:rsidRPr="001D200B">
        <w:rPr>
          <w:rFonts w:cstheme="minorHAnsi"/>
        </w:rPr>
        <w:t xml:space="preserve">Rolnictwo, pomimo zróżnicowanych warunków glebowych, stanowi istotny sektor gospodarki gminy. </w:t>
      </w:r>
      <w:r w:rsidR="00F90775" w:rsidRPr="001D200B">
        <w:rPr>
          <w:rFonts w:cstheme="minorHAnsi"/>
        </w:rPr>
        <w:t xml:space="preserve">W ogólnej strukturze agrarnej dominują gospodarstwa małe obszarowo nastawione głównie na produkcję </w:t>
      </w:r>
      <w:r w:rsidR="008907F6" w:rsidRPr="001D200B">
        <w:rPr>
          <w:rFonts w:cstheme="minorHAnsi"/>
        </w:rPr>
        <w:t>n</w:t>
      </w:r>
      <w:r w:rsidR="00F90775" w:rsidRPr="001D200B">
        <w:rPr>
          <w:rFonts w:cstheme="minorHAnsi"/>
        </w:rPr>
        <w:t xml:space="preserve">a własne potrzeby. </w:t>
      </w:r>
      <w:r w:rsidR="00294EA9" w:rsidRPr="001D200B">
        <w:rPr>
          <w:rFonts w:cstheme="minorHAnsi"/>
        </w:rPr>
        <w:t>Wszystkie gospodarstwa rolne są własnością indywidualną osób fizycznych.</w:t>
      </w:r>
    </w:p>
    <w:p w:rsidR="003846CF" w:rsidRPr="001D200B" w:rsidRDefault="003846CF" w:rsidP="00F4168B">
      <w:pPr>
        <w:rPr>
          <w:rFonts w:cstheme="minorHAnsi"/>
        </w:rPr>
      </w:pPr>
      <w:r w:rsidRPr="001D200B">
        <w:rPr>
          <w:rFonts w:cstheme="minorHAnsi"/>
        </w:rPr>
        <w:t xml:space="preserve">Powierzchnia </w:t>
      </w:r>
      <w:r w:rsidR="00FF0AA4" w:rsidRPr="001D200B">
        <w:rPr>
          <w:rFonts w:cstheme="minorHAnsi"/>
        </w:rPr>
        <w:t>lasów</w:t>
      </w:r>
      <w:r w:rsidRPr="001D200B">
        <w:rPr>
          <w:rFonts w:cstheme="minorHAnsi"/>
        </w:rPr>
        <w:t>, dane GUS za 201</w:t>
      </w:r>
      <w:r w:rsidR="00FF0AA4" w:rsidRPr="001D200B">
        <w:rPr>
          <w:rFonts w:cstheme="minorHAnsi"/>
        </w:rPr>
        <w:t>8</w:t>
      </w:r>
      <w:r w:rsidRPr="001D200B">
        <w:rPr>
          <w:rFonts w:cstheme="minorHAnsi"/>
        </w:rPr>
        <w:t xml:space="preserve"> rok</w:t>
      </w:r>
      <w:r w:rsidR="00FF0AA4" w:rsidRPr="001D200B">
        <w:rPr>
          <w:rFonts w:cstheme="minorHAnsi"/>
        </w:rPr>
        <w:t>,</w:t>
      </w:r>
      <w:r w:rsidRPr="001D200B">
        <w:rPr>
          <w:rFonts w:cstheme="minorHAnsi"/>
        </w:rPr>
        <w:t xml:space="preserve"> wynosi </w:t>
      </w:r>
      <w:r w:rsidR="00FF0AA4" w:rsidRPr="001D200B">
        <w:rPr>
          <w:rFonts w:cstheme="minorHAnsi"/>
        </w:rPr>
        <w:t>1544,57</w:t>
      </w:r>
      <w:r w:rsidRPr="001D200B">
        <w:rPr>
          <w:rFonts w:cstheme="minorHAnsi"/>
        </w:rPr>
        <w:t xml:space="preserve"> ha, co daje wskaźnik lesistości </w:t>
      </w:r>
      <w:r w:rsidR="00025A4F" w:rsidRPr="001D200B">
        <w:rPr>
          <w:rFonts w:cstheme="minorHAnsi"/>
        </w:rPr>
        <w:t xml:space="preserve">gminy </w:t>
      </w:r>
      <w:r w:rsidRPr="001D200B">
        <w:rPr>
          <w:rFonts w:cstheme="minorHAnsi"/>
        </w:rPr>
        <w:t xml:space="preserve">na poziomie </w:t>
      </w:r>
      <w:r w:rsidR="00FF0AA4" w:rsidRPr="001D200B">
        <w:rPr>
          <w:rFonts w:cstheme="minorHAnsi"/>
        </w:rPr>
        <w:t>20,6</w:t>
      </w:r>
      <w:r w:rsidRPr="001D200B">
        <w:rPr>
          <w:rFonts w:cstheme="minorHAnsi"/>
        </w:rPr>
        <w:t xml:space="preserve">%. </w:t>
      </w:r>
      <w:r w:rsidR="00025A4F" w:rsidRPr="001D200B">
        <w:rPr>
          <w:rFonts w:cstheme="minorHAnsi"/>
        </w:rPr>
        <w:t>L</w:t>
      </w:r>
      <w:r w:rsidRPr="001D200B">
        <w:rPr>
          <w:rFonts w:cstheme="minorHAnsi"/>
        </w:rPr>
        <w:t>asy publiczne</w:t>
      </w:r>
      <w:r w:rsidR="00025A4F" w:rsidRPr="001D200B">
        <w:rPr>
          <w:rFonts w:cstheme="minorHAnsi"/>
        </w:rPr>
        <w:t xml:space="preserve"> zajmują 849,57ha, natomiast l</w:t>
      </w:r>
      <w:r w:rsidRPr="001D200B">
        <w:rPr>
          <w:rFonts w:cstheme="minorHAnsi"/>
        </w:rPr>
        <w:t xml:space="preserve">asy prywatne </w:t>
      </w:r>
      <w:r w:rsidR="00025A4F" w:rsidRPr="001D200B">
        <w:rPr>
          <w:rFonts w:cstheme="minorHAnsi"/>
        </w:rPr>
        <w:t>695</w:t>
      </w:r>
      <w:r w:rsidRPr="001D200B">
        <w:rPr>
          <w:rFonts w:cstheme="minorHAnsi"/>
        </w:rPr>
        <w:t xml:space="preserve"> ha. </w:t>
      </w:r>
    </w:p>
    <w:p w:rsidR="003846CF" w:rsidRPr="001D200B" w:rsidRDefault="003846CF" w:rsidP="00F4168B">
      <w:pPr>
        <w:rPr>
          <w:rFonts w:cstheme="minorHAnsi"/>
        </w:rPr>
      </w:pPr>
      <w:r w:rsidRPr="001D200B">
        <w:rPr>
          <w:rFonts w:cstheme="minorHAnsi"/>
        </w:rPr>
        <w:lastRenderedPageBreak/>
        <w:t xml:space="preserve">Zwarte kompleksy leśne w skali gminy rozmieszczone są nierównomiernie, w szczególności porastają grunty najsłabsze jakościowo północnej części gminy. Północno – zachodni fragment obszaru stanowią Lasy Golejowskie. </w:t>
      </w:r>
    </w:p>
    <w:p w:rsidR="00B10979" w:rsidRPr="001D200B" w:rsidRDefault="00EB2217" w:rsidP="00B10979">
      <w:pPr>
        <w:rPr>
          <w:rFonts w:cstheme="minorHAnsi"/>
        </w:rPr>
      </w:pPr>
      <w:r w:rsidRPr="001D200B">
        <w:rPr>
          <w:rFonts w:cstheme="minorHAnsi"/>
        </w:rPr>
        <w:t xml:space="preserve">Hydrograficznie obszar </w:t>
      </w:r>
      <w:r w:rsidR="001A40C5" w:rsidRPr="001D200B">
        <w:rPr>
          <w:rFonts w:cstheme="minorHAnsi"/>
        </w:rPr>
        <w:t>ten znaj</w:t>
      </w:r>
      <w:r w:rsidRPr="001D200B">
        <w:rPr>
          <w:rFonts w:cstheme="minorHAnsi"/>
        </w:rPr>
        <w:t>duje się w dorzeczu rzeki Wisły</w:t>
      </w:r>
      <w:r w:rsidR="00432D11" w:rsidRPr="001D200B">
        <w:rPr>
          <w:rFonts w:cstheme="minorHAnsi"/>
        </w:rPr>
        <w:t xml:space="preserve">. Sieć wód powierzchniowych </w:t>
      </w:r>
      <w:r w:rsidR="00380114" w:rsidRPr="001D200B">
        <w:rPr>
          <w:rFonts w:cstheme="minorHAnsi"/>
        </w:rPr>
        <w:t xml:space="preserve">jest gęsta </w:t>
      </w:r>
      <w:r w:rsidR="008624C5" w:rsidRPr="001D200B">
        <w:rPr>
          <w:rFonts w:cstheme="minorHAnsi"/>
        </w:rPr>
        <w:t>i wyznacza ją rzeka Wisła wraz z lewobrzeżnymi dopływami.</w:t>
      </w:r>
      <w:r w:rsidR="00B10979" w:rsidRPr="001D200B">
        <w:rPr>
          <w:rFonts w:cstheme="minorHAnsi"/>
        </w:rPr>
        <w:t xml:space="preserve"> Najważniejsze rzeki gminy to:</w:t>
      </w:r>
    </w:p>
    <w:p w:rsidR="00BA639C" w:rsidRPr="001D200B" w:rsidRDefault="00B10979" w:rsidP="00F21741">
      <w:pPr>
        <w:pStyle w:val="Punktatory1"/>
      </w:pPr>
      <w:r w:rsidRPr="001D200B">
        <w:t xml:space="preserve">Wisła – przepływa południowo-wschodnim obrzeżem opisywanego terenu, </w:t>
      </w:r>
      <w:r w:rsidR="00BA639C" w:rsidRPr="001D200B">
        <w:t xml:space="preserve">w tym odcinku </w:t>
      </w:r>
      <w:r w:rsidR="000B00F6" w:rsidRPr="001D200B">
        <w:t xml:space="preserve">naturalnie </w:t>
      </w:r>
      <w:r w:rsidRPr="001D200B">
        <w:t>wyznacza granicę gminy</w:t>
      </w:r>
      <w:r w:rsidR="00BA639C" w:rsidRPr="001D200B">
        <w:t>;</w:t>
      </w:r>
    </w:p>
    <w:p w:rsidR="0079115C" w:rsidRPr="001D200B" w:rsidRDefault="00B10979" w:rsidP="00F21741">
      <w:pPr>
        <w:pStyle w:val="Punktatory1"/>
      </w:pPr>
      <w:r w:rsidRPr="001D200B">
        <w:t xml:space="preserve">Czarna Staszowska </w:t>
      </w:r>
      <w:r w:rsidR="000B00F6" w:rsidRPr="001D200B">
        <w:t xml:space="preserve">– główna rzeka powiatu staszowskiego, początek bierze ze strumieni Gór Świętokrzyskich, przepływa m.in. przez Staszów, Rytwiany, </w:t>
      </w:r>
      <w:r w:rsidRPr="001D200B">
        <w:t>Połaniec i</w:t>
      </w:r>
      <w:r w:rsidR="00025A4F" w:rsidRPr="001D200B">
        <w:t> </w:t>
      </w:r>
      <w:r w:rsidR="000B00F6" w:rsidRPr="001D200B">
        <w:t>między miejscowościami Winnica i Zawada uchodzi do Wisły;</w:t>
      </w:r>
    </w:p>
    <w:p w:rsidR="00B10979" w:rsidRPr="001D200B" w:rsidRDefault="00B10979" w:rsidP="00F21741">
      <w:pPr>
        <w:pStyle w:val="Punktatory1"/>
      </w:pPr>
      <w:r w:rsidRPr="001D200B">
        <w:t>Kanał Strumień płynie w części południowo</w:t>
      </w:r>
      <w:r w:rsidR="00C85D13" w:rsidRPr="001D200B">
        <w:t xml:space="preserve"> </w:t>
      </w:r>
      <w:r w:rsidRPr="001D200B">
        <w:t>-</w:t>
      </w:r>
      <w:r w:rsidR="00C85D13" w:rsidRPr="001D200B">
        <w:t xml:space="preserve"> </w:t>
      </w:r>
      <w:r w:rsidRPr="001D200B">
        <w:t>zachodniej obszaru gminy</w:t>
      </w:r>
      <w:r w:rsidR="00AE3584" w:rsidRPr="001D200B">
        <w:t xml:space="preserve">, zbiera i prowadzi wody z mniejszych cieków wodnych na obszarze między gminą Połaniec a Nowym Korczynem, </w:t>
      </w:r>
      <w:r w:rsidRPr="001D200B">
        <w:t>w miejscowości Rybitwy wpada do Wisły</w:t>
      </w:r>
      <w:r w:rsidR="0079115C" w:rsidRPr="001D200B">
        <w:t>;</w:t>
      </w:r>
    </w:p>
    <w:p w:rsidR="008768BE" w:rsidRPr="001D200B" w:rsidRDefault="00B10979" w:rsidP="00F21741">
      <w:pPr>
        <w:pStyle w:val="Punktatory1"/>
        <w:rPr>
          <w:szCs w:val="24"/>
        </w:rPr>
      </w:pPr>
      <w:r w:rsidRPr="001D200B">
        <w:t>Wschodnia</w:t>
      </w:r>
      <w:r w:rsidR="00664722" w:rsidRPr="001D200B">
        <w:t xml:space="preserve"> –</w:t>
      </w:r>
      <w:r w:rsidRPr="001D200B">
        <w:t xml:space="preserve"> </w:t>
      </w:r>
      <w:r w:rsidR="00664722" w:rsidRPr="001D200B">
        <w:t xml:space="preserve">prawobrzeżny dopływ Czarnej Staszowskiej </w:t>
      </w:r>
      <w:r w:rsidRPr="001D200B">
        <w:t>płynie w zachodniej części gminy i w Połańcu</w:t>
      </w:r>
      <w:r w:rsidR="008768BE" w:rsidRPr="001D200B">
        <w:t xml:space="preserve"> dwoma kanałami (Kanał Ulgi i Kanał Młyński) </w:t>
      </w:r>
      <w:r w:rsidRPr="001D200B">
        <w:t>wpada do Czarnej</w:t>
      </w:r>
      <w:r w:rsidR="00C85D13" w:rsidRPr="001D200B">
        <w:t xml:space="preserve"> </w:t>
      </w:r>
      <w:r w:rsidRPr="001D200B">
        <w:t>Staszowskiej</w:t>
      </w:r>
      <w:r w:rsidR="008F431A" w:rsidRPr="001D200B">
        <w:t>.</w:t>
      </w:r>
      <w:r w:rsidR="00664722" w:rsidRPr="001D200B">
        <w:t xml:space="preserve"> Rzeka </w:t>
      </w:r>
      <w:r w:rsidR="00AE3584" w:rsidRPr="001D200B">
        <w:t xml:space="preserve">Wschodnia </w:t>
      </w:r>
      <w:r w:rsidR="00664722" w:rsidRPr="001D200B">
        <w:t xml:space="preserve">w granicach gminy Połaniec </w:t>
      </w:r>
      <w:r w:rsidR="00AE3584" w:rsidRPr="001D200B">
        <w:t xml:space="preserve">zasila stawy </w:t>
      </w:r>
      <w:r w:rsidR="00DC6AB1" w:rsidRPr="001D200B">
        <w:t xml:space="preserve">rybne </w:t>
      </w:r>
      <w:r w:rsidR="00AE3584" w:rsidRPr="001D200B">
        <w:t>o</w:t>
      </w:r>
      <w:r w:rsidR="00DC6AB1" w:rsidRPr="001D200B">
        <w:t> </w:t>
      </w:r>
      <w:r w:rsidR="00AE3584" w:rsidRPr="001D200B">
        <w:t xml:space="preserve">łącznej powierzchni ok. 100 ha. </w:t>
      </w:r>
      <w:r w:rsidR="00664722" w:rsidRPr="001D200B">
        <w:t xml:space="preserve">W odcinku ujściowym </w:t>
      </w:r>
      <w:r w:rsidR="00AE3584" w:rsidRPr="001D200B">
        <w:t xml:space="preserve">zlokalizowany jest </w:t>
      </w:r>
      <w:r w:rsidR="00BB79B3" w:rsidRPr="001D200B">
        <w:t xml:space="preserve">zbiornik retencyjny </w:t>
      </w:r>
      <w:r w:rsidR="0091427A" w:rsidRPr="001D200B">
        <w:t xml:space="preserve">„Połaniec” </w:t>
      </w:r>
      <w:r w:rsidR="00BB79B3" w:rsidRPr="001D200B">
        <w:t>o</w:t>
      </w:r>
      <w:r w:rsidR="008544DE" w:rsidRPr="001D200B">
        <w:t xml:space="preserve"> </w:t>
      </w:r>
      <w:r w:rsidR="00AE3584" w:rsidRPr="001D200B">
        <w:t xml:space="preserve">powierzchni </w:t>
      </w:r>
      <w:r w:rsidR="00664722" w:rsidRPr="001D200B">
        <w:t xml:space="preserve">ok. </w:t>
      </w:r>
      <w:r w:rsidR="00AE3584" w:rsidRPr="001D200B">
        <w:t xml:space="preserve">2,6 ha. </w:t>
      </w:r>
    </w:p>
    <w:p w:rsidR="00E41ADD" w:rsidRPr="001D200B" w:rsidRDefault="00405EE2" w:rsidP="00E41ADD">
      <w:pPr>
        <w:rPr>
          <w:rFonts w:cstheme="minorHAnsi"/>
        </w:rPr>
      </w:pPr>
      <w:r w:rsidRPr="001D200B">
        <w:rPr>
          <w:rFonts w:cstheme="minorHAnsi"/>
        </w:rPr>
        <w:t xml:space="preserve">Wymienione główne cieki wodne dopełnia </w:t>
      </w:r>
      <w:r w:rsidR="008F431A" w:rsidRPr="001D200B">
        <w:rPr>
          <w:rFonts w:cstheme="minorHAnsi"/>
        </w:rPr>
        <w:t xml:space="preserve">kilka mniejszych potoków </w:t>
      </w:r>
      <w:r w:rsidRPr="001D200B">
        <w:rPr>
          <w:rFonts w:cstheme="minorHAnsi"/>
        </w:rPr>
        <w:t xml:space="preserve">oraz system rowów melioracji szczegółowej. </w:t>
      </w:r>
      <w:r w:rsidR="00E41ADD" w:rsidRPr="001D200B">
        <w:rPr>
          <w:rFonts w:cstheme="minorHAnsi"/>
          <w:szCs w:val="24"/>
        </w:rPr>
        <w:t>W dolinie rzeki Czarnej Staszowskiej i Wisły znajduje się wiele starorzeczy.</w:t>
      </w:r>
    </w:p>
    <w:p w:rsidR="008F431A" w:rsidRPr="001D200B" w:rsidRDefault="00DC6AB1" w:rsidP="00DC6AB1">
      <w:pPr>
        <w:rPr>
          <w:rFonts w:cstheme="minorHAnsi"/>
        </w:rPr>
      </w:pPr>
      <w:r w:rsidRPr="001D200B">
        <w:rPr>
          <w:rFonts w:cstheme="minorHAnsi"/>
        </w:rPr>
        <w:t>Rejony wszystkich czterech rzek przepływających przez gminę to tereny zagrożone powodzią bądź podtopieniem</w:t>
      </w:r>
      <w:r w:rsidR="009B06A8" w:rsidRPr="001D200B">
        <w:rPr>
          <w:rFonts w:cstheme="minorHAnsi"/>
        </w:rPr>
        <w:t xml:space="preserve"> – tereny zalewowe obejmują około 35% obszaru </w:t>
      </w:r>
      <w:r w:rsidR="001D128D" w:rsidRPr="001D200B">
        <w:rPr>
          <w:rFonts w:cstheme="minorHAnsi"/>
        </w:rPr>
        <w:t>administracyjnego gminy</w:t>
      </w:r>
      <w:r w:rsidR="009B06A8" w:rsidRPr="001D200B">
        <w:rPr>
          <w:rFonts w:cstheme="minorHAnsi"/>
        </w:rPr>
        <w:t>.</w:t>
      </w:r>
    </w:p>
    <w:p w:rsidR="00004633" w:rsidRPr="001D200B" w:rsidRDefault="003A0578" w:rsidP="00C253F7">
      <w:pPr>
        <w:rPr>
          <w:rFonts w:eastAsia="TimesNewRomanPSMT" w:cstheme="minorHAnsi"/>
        </w:rPr>
      </w:pPr>
      <w:r w:rsidRPr="001D200B">
        <w:rPr>
          <w:rFonts w:eastAsia="TimesNewRomanPSMT" w:cstheme="minorHAnsi"/>
        </w:rPr>
        <w:t xml:space="preserve">Urozmaicona forma ukształtowania terenu </w:t>
      </w:r>
      <w:r w:rsidR="001D128D" w:rsidRPr="001D200B">
        <w:rPr>
          <w:rFonts w:eastAsia="TimesNewRomanPSMT" w:cstheme="minorHAnsi"/>
        </w:rPr>
        <w:t>(</w:t>
      </w:r>
      <w:r w:rsidRPr="001D200B">
        <w:rPr>
          <w:rFonts w:eastAsia="TimesNewRomanPSMT" w:cstheme="minorHAnsi"/>
        </w:rPr>
        <w:t>wysoczyzna i kotlina</w:t>
      </w:r>
      <w:r w:rsidR="001D128D" w:rsidRPr="001D200B">
        <w:rPr>
          <w:rFonts w:eastAsia="TimesNewRomanPSMT" w:cstheme="minorHAnsi"/>
        </w:rPr>
        <w:t>)</w:t>
      </w:r>
      <w:r w:rsidRPr="001D200B">
        <w:rPr>
          <w:rFonts w:eastAsia="TimesNewRomanPSMT" w:cstheme="minorHAnsi"/>
        </w:rPr>
        <w:t xml:space="preserve"> poprzecinan</w:t>
      </w:r>
      <w:r w:rsidR="001D128D" w:rsidRPr="001D200B">
        <w:rPr>
          <w:rFonts w:eastAsia="TimesNewRomanPSMT" w:cstheme="minorHAnsi"/>
        </w:rPr>
        <w:t>a</w:t>
      </w:r>
      <w:r w:rsidRPr="001D200B">
        <w:rPr>
          <w:rFonts w:eastAsia="TimesNewRomanPSMT" w:cstheme="minorHAnsi"/>
        </w:rPr>
        <w:t xml:space="preserve"> </w:t>
      </w:r>
      <w:r w:rsidR="00666744" w:rsidRPr="001D200B">
        <w:rPr>
          <w:rFonts w:eastAsia="TimesNewRomanPSMT" w:cstheme="minorHAnsi"/>
        </w:rPr>
        <w:t>dolin</w:t>
      </w:r>
      <w:r w:rsidRPr="001D200B">
        <w:rPr>
          <w:rFonts w:eastAsia="TimesNewRomanPSMT" w:cstheme="minorHAnsi"/>
        </w:rPr>
        <w:t xml:space="preserve">ami rzecznymi, stanowi o bogatej strukturze przyrodniczej i malowniczym położeniu gminy Połaniec. Jednak jest to </w:t>
      </w:r>
      <w:r w:rsidR="00A815E3" w:rsidRPr="001D200B">
        <w:rPr>
          <w:rFonts w:eastAsia="TimesNewRomanPSMT" w:cstheme="minorHAnsi"/>
        </w:rPr>
        <w:t xml:space="preserve">również </w:t>
      </w:r>
      <w:r w:rsidRPr="001D200B">
        <w:rPr>
          <w:rFonts w:eastAsia="TimesNewRomanPSMT" w:cstheme="minorHAnsi"/>
        </w:rPr>
        <w:t xml:space="preserve">obszar przemysłowy o przekształceniach antropogenicznych </w:t>
      </w:r>
      <w:r w:rsidR="00A815E3" w:rsidRPr="001D200B">
        <w:rPr>
          <w:rFonts w:eastAsia="TimesNewRomanPSMT" w:cstheme="minorHAnsi"/>
        </w:rPr>
        <w:t xml:space="preserve">w kierunku znacznej degradacji </w:t>
      </w:r>
      <w:r w:rsidRPr="001D200B">
        <w:rPr>
          <w:rFonts w:eastAsia="TimesNewRomanPSMT" w:cstheme="minorHAnsi"/>
        </w:rPr>
        <w:t xml:space="preserve">środowiska </w:t>
      </w:r>
      <w:r w:rsidR="006D35FC" w:rsidRPr="001D200B">
        <w:rPr>
          <w:rFonts w:eastAsia="TimesNewRomanPSMT" w:cstheme="minorHAnsi"/>
        </w:rPr>
        <w:t xml:space="preserve">szczególnie w obszarze </w:t>
      </w:r>
      <w:r w:rsidR="00A815E3" w:rsidRPr="001D200B">
        <w:rPr>
          <w:rFonts w:eastAsia="TimesNewRomanPSMT" w:cstheme="minorHAnsi"/>
        </w:rPr>
        <w:t xml:space="preserve">lokalizacji i oddziaływania elektrowni zawodowej. </w:t>
      </w:r>
    </w:p>
    <w:p w:rsidR="008E25CD" w:rsidRPr="001D200B" w:rsidRDefault="008E25CD" w:rsidP="008E25CD">
      <w:pPr>
        <w:rPr>
          <w:rFonts w:cstheme="minorHAnsi"/>
          <w:szCs w:val="24"/>
        </w:rPr>
      </w:pPr>
      <w:r w:rsidRPr="001D200B">
        <w:rPr>
          <w:rFonts w:cstheme="minorHAnsi"/>
          <w:szCs w:val="24"/>
        </w:rPr>
        <w:t xml:space="preserve">Wartościowymi przyrodniczo obszarami w gminie są przede wszystkim łąki, wikliny nadrzeczne, łęgi, starorzecza, piaszczyste łachy oraz strome zbocza doliny, posiadające wybitne walory krajobrazowe. Najcenniejsze okazy drzew zostały objęte ochroną w formie pomników przyrody. Na terenie gminy znajduje się </w:t>
      </w:r>
      <w:r w:rsidR="00367903" w:rsidRPr="001D200B">
        <w:rPr>
          <w:rFonts w:cstheme="minorHAnsi"/>
          <w:szCs w:val="24"/>
        </w:rPr>
        <w:t>6</w:t>
      </w:r>
      <w:r w:rsidRPr="001D200B">
        <w:rPr>
          <w:rFonts w:cstheme="minorHAnsi"/>
          <w:szCs w:val="24"/>
        </w:rPr>
        <w:t xml:space="preserve"> pomników przyrody</w:t>
      </w:r>
      <w:r w:rsidR="00367903" w:rsidRPr="001D200B">
        <w:rPr>
          <w:rFonts w:cstheme="minorHAnsi"/>
          <w:szCs w:val="24"/>
        </w:rPr>
        <w:t xml:space="preserve">. </w:t>
      </w:r>
      <w:r w:rsidRPr="001D200B">
        <w:rPr>
          <w:rFonts w:cstheme="minorHAnsi"/>
          <w:szCs w:val="24"/>
        </w:rPr>
        <w:t>Przez południowo – wschodni teren gminy przebiega korytarz ekologiczny obejmujący dolinę Wisły – jest to w</w:t>
      </w:r>
      <w:r w:rsidR="009A3272" w:rsidRPr="001D200B">
        <w:rPr>
          <w:rFonts w:cstheme="minorHAnsi"/>
          <w:szCs w:val="24"/>
        </w:rPr>
        <w:t> </w:t>
      </w:r>
      <w:r w:rsidRPr="001D200B">
        <w:rPr>
          <w:rFonts w:cstheme="minorHAnsi"/>
          <w:szCs w:val="24"/>
        </w:rPr>
        <w:t xml:space="preserve">skali województwa atrakcyjny przyrodniczo obszar pełniący funkcję węzła ekologicznego o międzynarodowym znaczeniu (sieć ECONET – PL). </w:t>
      </w:r>
      <w:r w:rsidR="009A3272" w:rsidRPr="001D200B">
        <w:rPr>
          <w:rFonts w:cstheme="minorHAnsi"/>
          <w:szCs w:val="24"/>
        </w:rPr>
        <w:t>Niewielki f</w:t>
      </w:r>
      <w:r w:rsidRPr="001D200B">
        <w:rPr>
          <w:rFonts w:cstheme="minorHAnsi"/>
          <w:szCs w:val="24"/>
        </w:rPr>
        <w:t xml:space="preserve">ragment terenu gminy położony </w:t>
      </w:r>
      <w:r w:rsidRPr="001D200B">
        <w:rPr>
          <w:rFonts w:cstheme="minorHAnsi"/>
          <w:szCs w:val="24"/>
        </w:rPr>
        <w:lastRenderedPageBreak/>
        <w:t xml:space="preserve">przy jej </w:t>
      </w:r>
      <w:r w:rsidR="00367903" w:rsidRPr="001D200B">
        <w:rPr>
          <w:rFonts w:cstheme="minorHAnsi"/>
          <w:szCs w:val="24"/>
        </w:rPr>
        <w:t xml:space="preserve">południowo - </w:t>
      </w:r>
      <w:r w:rsidRPr="001D200B">
        <w:rPr>
          <w:rFonts w:cstheme="minorHAnsi"/>
          <w:szCs w:val="24"/>
        </w:rPr>
        <w:t>wschodniej granicy wchodzi w skład obszaru mającego znaczenie dla Wspólnoty Tarnobrzeska Dolina Wisły</w:t>
      </w:r>
      <w:r w:rsidR="009A3272" w:rsidRPr="001D200B">
        <w:rPr>
          <w:rFonts w:cstheme="minorHAnsi"/>
          <w:szCs w:val="24"/>
        </w:rPr>
        <w:t xml:space="preserve"> (Natura 2000)</w:t>
      </w:r>
      <w:r w:rsidRPr="001D200B">
        <w:rPr>
          <w:rFonts w:cstheme="minorHAnsi"/>
          <w:szCs w:val="24"/>
        </w:rPr>
        <w:t>.</w:t>
      </w:r>
    </w:p>
    <w:p w:rsidR="00C92409" w:rsidRPr="001D200B" w:rsidRDefault="00367903" w:rsidP="00C92409">
      <w:pPr>
        <w:rPr>
          <w:rFonts w:cstheme="minorHAnsi"/>
        </w:rPr>
      </w:pPr>
      <w:r w:rsidRPr="001D200B">
        <w:t xml:space="preserve">Realizacja wszelkich planów inwestycyjnych, w szczególności z zakresu rozwoju infrastruktury technicznej i budownictwa, musi uwzględniać uwarunkowania środowiskowe i wszelkie reżimy ustanowione dla ochrony przyrody. </w:t>
      </w:r>
      <w:r w:rsidR="00C92409" w:rsidRPr="001D200B">
        <w:rPr>
          <w:rFonts w:cstheme="minorHAnsi"/>
        </w:rPr>
        <w:t>Lokalny układ przestrzenny zagospodarowania terenu kształtuj</w:t>
      </w:r>
      <w:r w:rsidR="002129B4" w:rsidRPr="001D200B">
        <w:rPr>
          <w:rFonts w:cstheme="minorHAnsi"/>
        </w:rPr>
        <w:t xml:space="preserve">ą przede wszystkim doliny rzeczne stwarzające </w:t>
      </w:r>
      <w:r w:rsidR="00453B31" w:rsidRPr="001D200B">
        <w:rPr>
          <w:rFonts w:cstheme="minorHAnsi"/>
        </w:rPr>
        <w:t xml:space="preserve">środowiskowe </w:t>
      </w:r>
      <w:r w:rsidR="002129B4" w:rsidRPr="001D200B">
        <w:rPr>
          <w:rFonts w:cstheme="minorHAnsi"/>
        </w:rPr>
        <w:t xml:space="preserve">ograniczenia inwestycyjne. </w:t>
      </w:r>
      <w:r w:rsidR="00F61638" w:rsidRPr="001D200B">
        <w:rPr>
          <w:rFonts w:cstheme="minorHAnsi"/>
        </w:rPr>
        <w:t xml:space="preserve">Istotnym czynnikiem hamującym rozwoju </w:t>
      </w:r>
      <w:r w:rsidR="00F61638" w:rsidRPr="001D200B">
        <w:t xml:space="preserve">zabudowy i rozprzestrzeniania się urbanizacji przestrzennej jest zagrożenie powodziowe. </w:t>
      </w:r>
      <w:r w:rsidR="002E6D29" w:rsidRPr="001D200B">
        <w:t>Zgodnie z zapisami studium uwarunkowań i kierunków zagospodarowania przestrzennego do  celów zabudowy predestynowane są tereny na północ od miasta Połaniec z uwagi na ich ponadprzeciętną dostępność komunikacyjną oraz sprzyjające warunki gruntowe.</w:t>
      </w:r>
    </w:p>
    <w:p w:rsidR="004970FD" w:rsidRPr="001D200B" w:rsidRDefault="00367903" w:rsidP="00367903">
      <w:pPr>
        <w:pStyle w:val="Legenda"/>
        <w:rPr>
          <w:rFonts w:cstheme="minorHAnsi"/>
          <w:color w:val="auto"/>
          <w:highlight w:val="yellow"/>
        </w:rPr>
      </w:pPr>
      <w:bookmarkStart w:id="15" w:name="_Toc39476553"/>
      <w:r w:rsidRPr="001D200B">
        <w:rPr>
          <w:color w:val="auto"/>
        </w:rPr>
        <w:t xml:space="preserve">Tabela </w:t>
      </w:r>
      <w:r w:rsidR="005B7234" w:rsidRPr="001D200B">
        <w:rPr>
          <w:color w:val="auto"/>
        </w:rPr>
        <w:fldChar w:fldCharType="begin"/>
      </w:r>
      <w:r w:rsidR="005B7234" w:rsidRPr="001D200B">
        <w:rPr>
          <w:color w:val="auto"/>
        </w:rPr>
        <w:instrText xml:space="preserve"> SEQ Tabela \* ARABIC </w:instrText>
      </w:r>
      <w:r w:rsidR="005B7234" w:rsidRPr="001D200B">
        <w:rPr>
          <w:color w:val="auto"/>
        </w:rPr>
        <w:fldChar w:fldCharType="separate"/>
      </w:r>
      <w:r w:rsidR="00975320" w:rsidRPr="001D200B">
        <w:rPr>
          <w:noProof/>
          <w:color w:val="auto"/>
        </w:rPr>
        <w:t>1</w:t>
      </w:r>
      <w:r w:rsidR="005B7234" w:rsidRPr="001D200B">
        <w:rPr>
          <w:color w:val="auto"/>
        </w:rPr>
        <w:fldChar w:fldCharType="end"/>
      </w:r>
      <w:r w:rsidRPr="001D200B">
        <w:rPr>
          <w:color w:val="auto"/>
        </w:rPr>
        <w:t>. Obszary i obiekty cenne przyrodniczo na terenie gminy Połaniec</w:t>
      </w:r>
      <w:bookmarkEnd w:id="1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6910"/>
      </w:tblGrid>
      <w:tr w:rsidR="00367903" w:rsidRPr="001D200B" w:rsidTr="00DF3468">
        <w:trPr>
          <w:trHeight w:hRule="exact" w:val="731"/>
        </w:trPr>
        <w:tc>
          <w:tcPr>
            <w:tcW w:w="2376" w:type="dxa"/>
            <w:shd w:val="clear" w:color="auto" w:fill="F2F2F2" w:themeFill="background1" w:themeFillShade="F2"/>
            <w:vAlign w:val="center"/>
          </w:tcPr>
          <w:p w:rsidR="00367903" w:rsidRPr="001D200B" w:rsidRDefault="00367903" w:rsidP="00DF3468">
            <w:pPr>
              <w:spacing w:before="100" w:beforeAutospacing="1" w:after="100" w:afterAutospacing="1" w:line="240" w:lineRule="auto"/>
              <w:jc w:val="center"/>
              <w:rPr>
                <w:b/>
              </w:rPr>
            </w:pPr>
            <w:r w:rsidRPr="001D200B">
              <w:rPr>
                <w:b/>
              </w:rPr>
              <w:t>Nazwa formy ochrony przyrody</w:t>
            </w:r>
          </w:p>
        </w:tc>
        <w:tc>
          <w:tcPr>
            <w:tcW w:w="6910" w:type="dxa"/>
            <w:shd w:val="clear" w:color="auto" w:fill="F2F2F2" w:themeFill="background1" w:themeFillShade="F2"/>
            <w:vAlign w:val="center"/>
          </w:tcPr>
          <w:p w:rsidR="00367903" w:rsidRPr="001D200B" w:rsidRDefault="00367903" w:rsidP="00DF3468">
            <w:pPr>
              <w:spacing w:before="100" w:beforeAutospacing="1" w:after="100" w:afterAutospacing="1" w:line="240" w:lineRule="auto"/>
              <w:jc w:val="center"/>
              <w:rPr>
                <w:b/>
              </w:rPr>
            </w:pPr>
            <w:r w:rsidRPr="001D200B">
              <w:rPr>
                <w:b/>
              </w:rPr>
              <w:t>Krótka charakterystyka</w:t>
            </w:r>
          </w:p>
        </w:tc>
      </w:tr>
      <w:tr w:rsidR="00367903" w:rsidRPr="001D200B" w:rsidTr="00DF3468">
        <w:tc>
          <w:tcPr>
            <w:tcW w:w="9286" w:type="dxa"/>
            <w:gridSpan w:val="2"/>
            <w:shd w:val="clear" w:color="auto" w:fill="D9D9D9" w:themeFill="background1" w:themeFillShade="D9"/>
            <w:vAlign w:val="center"/>
          </w:tcPr>
          <w:p w:rsidR="00367903" w:rsidRPr="001D200B" w:rsidRDefault="00367903" w:rsidP="00367903">
            <w:pPr>
              <w:spacing w:before="100" w:beforeAutospacing="1" w:after="100" w:afterAutospacing="1" w:line="240" w:lineRule="auto"/>
              <w:rPr>
                <w:b/>
              </w:rPr>
            </w:pPr>
            <w:r w:rsidRPr="001D200B">
              <w:rPr>
                <w:b/>
              </w:rPr>
              <w:t>OBSZAR NATURA 2000</w:t>
            </w:r>
            <w:r w:rsidR="003D7C1D" w:rsidRPr="001D200B">
              <w:rPr>
                <w:rFonts w:cstheme="minorHAnsi"/>
              </w:rPr>
              <w:t xml:space="preserve"> </w:t>
            </w:r>
            <w:r w:rsidR="003D7C1D" w:rsidRPr="001D200B">
              <w:rPr>
                <w:rFonts w:cstheme="minorHAnsi"/>
                <w:b/>
              </w:rPr>
              <w:t>Tarnobrzeska Dolina Wisły (PLH 180049)</w:t>
            </w:r>
          </w:p>
        </w:tc>
      </w:tr>
      <w:tr w:rsidR="003D7C1D" w:rsidRPr="001D200B" w:rsidTr="00DF3468">
        <w:tc>
          <w:tcPr>
            <w:tcW w:w="9286" w:type="dxa"/>
            <w:gridSpan w:val="2"/>
            <w:shd w:val="clear" w:color="auto" w:fill="auto"/>
            <w:vAlign w:val="center"/>
          </w:tcPr>
          <w:p w:rsidR="003D7C1D" w:rsidRPr="001D200B" w:rsidRDefault="003D7C1D" w:rsidP="00126B59">
            <w:pPr>
              <w:spacing w:before="100" w:beforeAutospacing="1" w:after="100" w:afterAutospacing="1" w:line="240" w:lineRule="auto"/>
              <w:rPr>
                <w:rFonts w:cstheme="minorHAnsi"/>
                <w:sz w:val="22"/>
                <w:szCs w:val="22"/>
                <w:shd w:val="clear" w:color="auto" w:fill="FFFFFF"/>
              </w:rPr>
            </w:pPr>
            <w:r w:rsidRPr="001D200B">
              <w:rPr>
                <w:sz w:val="22"/>
                <w:szCs w:val="22"/>
              </w:rPr>
              <w:t xml:space="preserve">Specjalny Obszar Ochrony Siedlisk Tarnobrzeska Dolina Wisły obejmuje dolinę Wisły ograniczoną do międzywala z dużymi starorzeczami, z roślinnością naturalną. Rozciąga się od ujścia Wisłoki – poniżej Połańca, </w:t>
            </w:r>
            <w:r w:rsidRPr="001D200B">
              <w:rPr>
                <w:sz w:val="22"/>
                <w:szCs w:val="22"/>
                <w:shd w:val="clear" w:color="auto" w:fill="FFFFFF"/>
              </w:rPr>
              <w:t>dalej biegnąc w dół rzeki pomiędzy powiatami prawego i lewego brzegu tj. mielecki, staszowski, tarnobrzeski i sandomierski aż do samego miasta Sandomierz gdzie swoją granicę opiera o Góry Pieprzowe</w:t>
            </w:r>
            <w:r w:rsidRPr="001D200B">
              <w:rPr>
                <w:sz w:val="22"/>
                <w:szCs w:val="22"/>
              </w:rPr>
              <w:t>. Na terenie gminy Połaniec znajduje się 2% powierzchni obszaru. Jedną trzecią całego obszaru Natura 2000 pokrywają wody Wisły, podobną powierzchnię zajmują siedliska rolnicze. Obszar cechuje bogactwo siedlisk przyrodniczych. Jest on bogaty w liczne gatunki roślin (jak np. salwinia pływająca, kotewka orzech wodny czy osoka aloesowata) i zwierząt - ptaki, ryby i płazy oraz owady. Obszar sieci Natura 2000 występujący w granicach gminy Połaniec podlega ochronie na mocy ustawy o ochronie przyrody. Brak jest odrębnych dokumentów, tj. planu ochrony dla tego obszaru.</w:t>
            </w:r>
          </w:p>
        </w:tc>
      </w:tr>
      <w:tr w:rsidR="00367903" w:rsidRPr="001D200B" w:rsidTr="00DF3468">
        <w:tc>
          <w:tcPr>
            <w:tcW w:w="9286" w:type="dxa"/>
            <w:gridSpan w:val="2"/>
            <w:shd w:val="clear" w:color="auto" w:fill="D9D9D9" w:themeFill="background1" w:themeFillShade="D9"/>
            <w:vAlign w:val="center"/>
          </w:tcPr>
          <w:p w:rsidR="00367903" w:rsidRPr="001D200B" w:rsidRDefault="00367903" w:rsidP="00DF3468">
            <w:pPr>
              <w:spacing w:before="100" w:beforeAutospacing="1" w:after="100" w:afterAutospacing="1" w:line="240" w:lineRule="auto"/>
              <w:rPr>
                <w:b/>
              </w:rPr>
            </w:pPr>
            <w:r w:rsidRPr="001D200B">
              <w:rPr>
                <w:b/>
              </w:rPr>
              <w:t>POMNIKI PRZYRODY</w:t>
            </w:r>
          </w:p>
        </w:tc>
      </w:tr>
      <w:tr w:rsidR="00367903" w:rsidRPr="001D200B" w:rsidTr="00DF3468">
        <w:tc>
          <w:tcPr>
            <w:tcW w:w="9286" w:type="dxa"/>
            <w:gridSpan w:val="2"/>
            <w:shd w:val="clear" w:color="auto" w:fill="auto"/>
            <w:vAlign w:val="center"/>
          </w:tcPr>
          <w:p w:rsidR="00367903" w:rsidRPr="001D200B" w:rsidRDefault="00126B59" w:rsidP="00D27A5A">
            <w:pPr>
              <w:pStyle w:val="wypunktowanie"/>
              <w:spacing w:before="0" w:after="0"/>
              <w:ind w:left="714" w:hanging="357"/>
            </w:pPr>
            <w:r w:rsidRPr="001D200B">
              <w:t>pomnik jednoobiektowy, bez nazwy, drzewo – dąb szypułkowy, położenie – w parku podworskim m. Ruszcza;</w:t>
            </w:r>
          </w:p>
          <w:p w:rsidR="00126B59" w:rsidRPr="001D200B" w:rsidRDefault="00126B59" w:rsidP="00D27A5A">
            <w:pPr>
              <w:pStyle w:val="wypunktowanie"/>
              <w:spacing w:before="0" w:after="0"/>
              <w:ind w:left="714" w:hanging="357"/>
            </w:pPr>
            <w:r w:rsidRPr="001D200B">
              <w:t>pomnik jednoobiektowy, bez nazwy, drzewo – dąb szypułkowy, położenie – w parku podworskim m. Ruszcza;</w:t>
            </w:r>
          </w:p>
          <w:p w:rsidR="00126B59" w:rsidRPr="001D200B" w:rsidRDefault="00126B59" w:rsidP="00D27A5A">
            <w:pPr>
              <w:pStyle w:val="wypunktowanie"/>
              <w:spacing w:before="0" w:after="0"/>
              <w:ind w:left="714" w:hanging="357"/>
            </w:pPr>
            <w:r w:rsidRPr="001D200B">
              <w:t xml:space="preserve">pomnik jednoobiektowy, bez nazwy, drzewo – </w:t>
            </w:r>
            <w:r w:rsidR="00A963BA" w:rsidRPr="001D200B">
              <w:t>grab zwyczajny</w:t>
            </w:r>
            <w:r w:rsidRPr="001D200B">
              <w:t>, położenie – w parku podworskim m. Ruszcza</w:t>
            </w:r>
            <w:r w:rsidR="00A963BA" w:rsidRPr="001D200B">
              <w:t>;</w:t>
            </w:r>
          </w:p>
          <w:p w:rsidR="00A963BA" w:rsidRPr="001D200B" w:rsidRDefault="00A963BA" w:rsidP="00D27A5A">
            <w:pPr>
              <w:pStyle w:val="wypunktowanie"/>
              <w:spacing w:before="0" w:after="0"/>
              <w:ind w:left="714" w:hanging="357"/>
            </w:pPr>
            <w:r w:rsidRPr="001D200B">
              <w:t>pomnik jednoobiektowy, bez nazwy, drzewo – klon pospolity, położenie – w parku podworskim m. Ruszcza;</w:t>
            </w:r>
          </w:p>
          <w:p w:rsidR="00A963BA" w:rsidRPr="001D200B" w:rsidRDefault="00A963BA" w:rsidP="00D27A5A">
            <w:pPr>
              <w:pStyle w:val="wypunktowanie"/>
              <w:spacing w:before="0" w:after="0"/>
              <w:ind w:left="714" w:hanging="357"/>
            </w:pPr>
            <w:r w:rsidRPr="001D200B">
              <w:t>pomnik wieloobiektowy, bez nazwy, grupa drzew: 8 dębów, wiek ok. 200-300 lat; położenie - w części gospodarczej dawnego folwarku przy trasie Połaniec - Kraków oraz w części parkowej, m. Ruszcza;</w:t>
            </w:r>
          </w:p>
          <w:p w:rsidR="00126B59" w:rsidRPr="001D200B" w:rsidRDefault="00A963BA" w:rsidP="00D27A5A">
            <w:pPr>
              <w:pStyle w:val="wypunktowanie"/>
              <w:spacing w:before="0" w:after="0"/>
              <w:ind w:left="714" w:hanging="357"/>
            </w:pPr>
            <w:r w:rsidRPr="001D200B">
              <w:t>pomnik jednoobiektowy, bez nazwy, drzewo – dąb szypułkowy (wiek ok. 400 lat), położenie – w parku podworskim m. Ruszcza.</w:t>
            </w:r>
          </w:p>
        </w:tc>
      </w:tr>
    </w:tbl>
    <w:p w:rsidR="00A963BA" w:rsidRPr="001D200B" w:rsidRDefault="00A963BA" w:rsidP="00A963BA">
      <w:pPr>
        <w:pStyle w:val="podtabelk"/>
        <w:rPr>
          <w:highlight w:val="yellow"/>
        </w:rPr>
      </w:pPr>
      <w:r w:rsidRPr="001D200B">
        <w:t>Dane: Centralny Rejestr Form Ochrony Przyrody, http://crfop.gdos.gov.pl</w:t>
      </w:r>
      <w:r w:rsidRPr="001D200B">
        <w:rPr>
          <w:highlight w:val="yellow"/>
        </w:rPr>
        <w:t xml:space="preserve"> </w:t>
      </w:r>
    </w:p>
    <w:p w:rsidR="00A963BA" w:rsidRPr="001D200B" w:rsidRDefault="00A963BA" w:rsidP="00A963BA">
      <w:pPr>
        <w:rPr>
          <w:i/>
          <w:u w:val="single"/>
        </w:rPr>
      </w:pPr>
      <w:r w:rsidRPr="001D200B">
        <w:rPr>
          <w:i/>
          <w:u w:val="single"/>
        </w:rPr>
        <w:lastRenderedPageBreak/>
        <w:t>Warunki klimatyczne</w:t>
      </w:r>
    </w:p>
    <w:p w:rsidR="00363B54" w:rsidRPr="001D200B" w:rsidRDefault="00363B54" w:rsidP="00363B54">
      <w:pPr>
        <w:rPr>
          <w:rFonts w:cstheme="minorHAnsi"/>
        </w:rPr>
      </w:pPr>
      <w:r w:rsidRPr="001D200B">
        <w:rPr>
          <w:rFonts w:cstheme="minorHAnsi"/>
        </w:rPr>
        <w:t xml:space="preserve">Według rejonizacji rolniczo-klimatycznej </w:t>
      </w:r>
      <w:r w:rsidR="0055424B" w:rsidRPr="001D200B">
        <w:rPr>
          <w:rFonts w:cstheme="minorHAnsi"/>
        </w:rPr>
        <w:t xml:space="preserve">(R. Gumiński, J. Kondracki) </w:t>
      </w:r>
      <w:r w:rsidRPr="001D200B">
        <w:rPr>
          <w:rFonts w:cstheme="minorHAnsi"/>
        </w:rPr>
        <w:t>opisywany obszar należy do dzielnicy częstochowsko-kieleckiej stosunkowo bogatej w opady z okresem wegetacyjnym trwającym 2</w:t>
      </w:r>
      <w:r w:rsidR="0055424B" w:rsidRPr="001D200B">
        <w:rPr>
          <w:rFonts w:cstheme="minorHAnsi"/>
        </w:rPr>
        <w:t>0</w:t>
      </w:r>
      <w:r w:rsidRPr="001D200B">
        <w:rPr>
          <w:rFonts w:cstheme="minorHAnsi"/>
        </w:rPr>
        <w:t>0-2</w:t>
      </w:r>
      <w:r w:rsidR="0055424B" w:rsidRPr="001D200B">
        <w:rPr>
          <w:rFonts w:cstheme="minorHAnsi"/>
        </w:rPr>
        <w:t>1</w:t>
      </w:r>
      <w:r w:rsidRPr="001D200B">
        <w:rPr>
          <w:rFonts w:cstheme="minorHAnsi"/>
        </w:rPr>
        <w:t xml:space="preserve">0 dni. </w:t>
      </w:r>
      <w:r w:rsidR="002E6D29" w:rsidRPr="001D200B">
        <w:rPr>
          <w:rFonts w:cstheme="minorHAnsi"/>
        </w:rPr>
        <w:t>P</w:t>
      </w:r>
      <w:r w:rsidRPr="001D200B">
        <w:rPr>
          <w:rFonts w:cstheme="minorHAnsi"/>
        </w:rPr>
        <w:t xml:space="preserve">odstawowe elementy lokalnego klimatu wg wartości przeciętnych: </w:t>
      </w:r>
    </w:p>
    <w:p w:rsidR="00363B54" w:rsidRPr="001D200B" w:rsidRDefault="00363B54" w:rsidP="00D27A5A">
      <w:pPr>
        <w:pStyle w:val="wypunktowanie"/>
        <w:spacing w:before="0" w:after="0" w:line="240" w:lineRule="auto"/>
        <w:ind w:left="714" w:hanging="357"/>
      </w:pPr>
      <w:r w:rsidRPr="001D200B">
        <w:t>średnia temperatura roczna wynosi +7,7</w:t>
      </w:r>
      <w:r w:rsidRPr="001D200B">
        <w:rPr>
          <w:vertAlign w:val="superscript"/>
        </w:rPr>
        <w:t xml:space="preserve"> 0</w:t>
      </w:r>
      <w:r w:rsidRPr="001D200B">
        <w:t>C (w okresie zimowym -1,3</w:t>
      </w:r>
      <w:r w:rsidRPr="001D200B">
        <w:rPr>
          <w:vertAlign w:val="superscript"/>
        </w:rPr>
        <w:t>o</w:t>
      </w:r>
      <w:r w:rsidRPr="001D200B">
        <w:t>C, letnim 14,1</w:t>
      </w:r>
      <w:r w:rsidRPr="001D200B">
        <w:rPr>
          <w:vertAlign w:val="superscript"/>
        </w:rPr>
        <w:t>o</w:t>
      </w:r>
      <w:r w:rsidRPr="001D200B">
        <w:t>C);</w:t>
      </w:r>
    </w:p>
    <w:p w:rsidR="00363B54" w:rsidRPr="001D200B" w:rsidRDefault="00363B54" w:rsidP="00D27A5A">
      <w:pPr>
        <w:pStyle w:val="wypunktowanie"/>
        <w:spacing w:before="0" w:after="0" w:line="240" w:lineRule="auto"/>
        <w:ind w:left="714" w:hanging="357"/>
      </w:pPr>
      <w:r w:rsidRPr="001D200B">
        <w:t>średnia r</w:t>
      </w:r>
      <w:r w:rsidR="002E6D29" w:rsidRPr="001D200B">
        <w:t>oczna suma opadów wynosi 600 mm</w:t>
      </w:r>
      <w:r w:rsidRPr="001D200B">
        <w:t>;</w:t>
      </w:r>
    </w:p>
    <w:p w:rsidR="00363B54" w:rsidRPr="001D200B" w:rsidRDefault="00363B54" w:rsidP="00D27A5A">
      <w:pPr>
        <w:pStyle w:val="wypunktowanie"/>
        <w:spacing w:before="0" w:after="0" w:line="240" w:lineRule="auto"/>
        <w:ind w:left="714" w:hanging="357"/>
        <w:rPr>
          <w:b/>
          <w:bCs/>
        </w:rPr>
      </w:pPr>
      <w:r w:rsidRPr="001D200B">
        <w:t xml:space="preserve">w ogólnym rozkładzie wietrzności przeważają wiatru z kierunków zachodnich, o średniej </w:t>
      </w:r>
      <w:r w:rsidR="009A2B55" w:rsidRPr="001D200B">
        <w:t xml:space="preserve">rocznej prędkości </w:t>
      </w:r>
      <w:r w:rsidRPr="001D200B">
        <w:t>2</w:t>
      </w:r>
      <w:r w:rsidR="002E6D29" w:rsidRPr="001D200B">
        <w:t>,3 – 3,1</w:t>
      </w:r>
      <w:r w:rsidRPr="001D200B">
        <w:t xml:space="preserve"> m/s.</w:t>
      </w:r>
    </w:p>
    <w:p w:rsidR="00551741" w:rsidRPr="001D200B" w:rsidRDefault="00551741" w:rsidP="00551741">
      <w:pPr>
        <w:pStyle w:val="Nagwek2"/>
        <w:rPr>
          <w:rFonts w:cstheme="minorHAnsi"/>
        </w:rPr>
      </w:pPr>
      <w:bookmarkStart w:id="16" w:name="_Toc31972815"/>
      <w:r w:rsidRPr="001D200B">
        <w:rPr>
          <w:rFonts w:cstheme="minorHAnsi"/>
        </w:rPr>
        <w:t>2. Sytuacja demograficzna</w:t>
      </w:r>
      <w:bookmarkEnd w:id="16"/>
    </w:p>
    <w:p w:rsidR="000D7570" w:rsidRPr="001D200B" w:rsidRDefault="000D7570" w:rsidP="000D7570">
      <w:r w:rsidRPr="001D200B">
        <w:t>Jednym z podstawowych czynników wpływających na rozwój gminy jest sytuacja demograficzna oraz perspektywy jej zmian. Przyrost ludności to przyrost liczby konsumentów, a zatem wzrost zapotrzebowania na energię oraz jej nośniki.</w:t>
      </w:r>
    </w:p>
    <w:p w:rsidR="00E62A5A" w:rsidRPr="001D200B" w:rsidRDefault="000D7570" w:rsidP="00E62A5A">
      <w:r w:rsidRPr="001D200B">
        <w:t>Według danych statystycznych GUS (</w:t>
      </w:r>
      <w:hyperlink r:id="rId36" w:history="1">
        <w:r w:rsidRPr="001D200B">
          <w:t>www.gus.pl</w:t>
        </w:r>
      </w:hyperlink>
      <w:r w:rsidRPr="001D200B">
        <w:t xml:space="preserve">), na koniec 2018 roku </w:t>
      </w:r>
      <w:r w:rsidR="00E62A5A" w:rsidRPr="001D200B">
        <w:t xml:space="preserve">stan zaludnienia na terenie Gminy Połaniec przedstawia się następująco: </w:t>
      </w:r>
    </w:p>
    <w:p w:rsidR="00E62A5A" w:rsidRPr="001D200B" w:rsidRDefault="00E62A5A" w:rsidP="00AE0C07">
      <w:pPr>
        <w:pStyle w:val="wypunktowanie"/>
      </w:pPr>
      <w:r w:rsidRPr="001D200B">
        <w:t>liczba mieszkańców ogółem: 11 828 osób, w tym: 5 862 mężczyzn, 5 966 kobiet;</w:t>
      </w:r>
    </w:p>
    <w:p w:rsidR="00E62A5A" w:rsidRPr="001D200B" w:rsidRDefault="00E62A5A" w:rsidP="00AE0C07">
      <w:pPr>
        <w:pStyle w:val="wypunktowanie"/>
      </w:pPr>
      <w:r w:rsidRPr="001D200B">
        <w:t>liczba mieszkańców miasta: 8 120 osób;</w:t>
      </w:r>
    </w:p>
    <w:p w:rsidR="00E62A5A" w:rsidRPr="001D200B" w:rsidRDefault="00E62A5A" w:rsidP="00AE0C07">
      <w:pPr>
        <w:pStyle w:val="wypunktowanie"/>
      </w:pPr>
      <w:r w:rsidRPr="001D200B">
        <w:t>liczba mieszkańców obszarów wiejskich: 3 708 osób;</w:t>
      </w:r>
    </w:p>
    <w:p w:rsidR="00936037" w:rsidRPr="001D200B" w:rsidRDefault="00E62A5A" w:rsidP="00AE0C07">
      <w:pPr>
        <w:pStyle w:val="wypunktowanie"/>
      </w:pPr>
      <w:r w:rsidRPr="001D200B">
        <w:t xml:space="preserve">społeczność gminna to blisko </w:t>
      </w:r>
      <w:r w:rsidR="00D50A9A" w:rsidRPr="001D200B">
        <w:t>16</w:t>
      </w:r>
      <w:r w:rsidRPr="001D200B">
        <w:t xml:space="preserve">% ogółu mieszkańców powiatu </w:t>
      </w:r>
      <w:r w:rsidR="00D50A9A" w:rsidRPr="001D200B">
        <w:t>staszowskiego.</w:t>
      </w:r>
    </w:p>
    <w:p w:rsidR="00D50A9A" w:rsidRPr="001D200B" w:rsidRDefault="00D50A9A" w:rsidP="00D50A9A">
      <w:r w:rsidRPr="001D200B">
        <w:t>Blisko 69% z ogólnej liczby mieszkańców gminy zamieszkuje obszar miejski, skupienie ludności wyraża się wskaźnikiem gęstości zaludnienia na poziomie 466 os</w:t>
      </w:r>
      <w:r w:rsidR="008300C1" w:rsidRPr="001D200B">
        <w:t>ób</w:t>
      </w:r>
      <w:r w:rsidRPr="001D200B">
        <w:t xml:space="preserve"> na km</w:t>
      </w:r>
      <w:r w:rsidRPr="001D200B">
        <w:rPr>
          <w:vertAlign w:val="superscript"/>
        </w:rPr>
        <w:t>2</w:t>
      </w:r>
      <w:r w:rsidRPr="001D200B">
        <w:t xml:space="preserve">. </w:t>
      </w:r>
    </w:p>
    <w:p w:rsidR="00D50A9A" w:rsidRPr="001D200B" w:rsidRDefault="00D50A9A" w:rsidP="00D50A9A">
      <w:r w:rsidRPr="001D200B">
        <w:t>Wskaźnik średniej gęstości zaludnienia na terenach wiejskich kształtuje się na poziomie około 64 os</w:t>
      </w:r>
      <w:r w:rsidR="008300C1" w:rsidRPr="001D200B">
        <w:t>oby</w:t>
      </w:r>
      <w:r w:rsidRPr="001D200B">
        <w:t xml:space="preserve"> na km</w:t>
      </w:r>
      <w:r w:rsidRPr="001D200B">
        <w:rPr>
          <w:vertAlign w:val="superscript"/>
        </w:rPr>
        <w:t>2</w:t>
      </w:r>
      <w:r w:rsidRPr="001D200B">
        <w:t xml:space="preserve">. </w:t>
      </w:r>
    </w:p>
    <w:p w:rsidR="000E4651" w:rsidRPr="001D200B" w:rsidRDefault="000E4651" w:rsidP="000E4651">
      <w:r w:rsidRPr="001D200B">
        <w:t>Struktura ludności według ekonomicznej grupy wieku przedstawia się następująco (według danych GUS</w:t>
      </w:r>
      <w:r w:rsidR="00D67F45" w:rsidRPr="001D200B">
        <w:t>, 2018r.</w:t>
      </w:r>
      <w:r w:rsidRPr="001D200B">
        <w:t>):</w:t>
      </w:r>
    </w:p>
    <w:p w:rsidR="000E4651" w:rsidRPr="001D200B" w:rsidRDefault="000E4651" w:rsidP="00AE0C07">
      <w:pPr>
        <w:pStyle w:val="wypunktowanie"/>
      </w:pPr>
      <w:r w:rsidRPr="001D200B">
        <w:t xml:space="preserve">w wieku przedprodukcyjnym (0-17 lat) pozostaje 2120 osób (17,9%), </w:t>
      </w:r>
    </w:p>
    <w:p w:rsidR="000E4651" w:rsidRPr="001D200B" w:rsidRDefault="000E4651" w:rsidP="00AE0C07">
      <w:pPr>
        <w:pStyle w:val="wypunktowanie"/>
      </w:pPr>
      <w:r w:rsidRPr="001D200B">
        <w:t xml:space="preserve">w wieku produkcyjnym 7 584 osoby (64,1%), </w:t>
      </w:r>
    </w:p>
    <w:p w:rsidR="000E4651" w:rsidRPr="001D200B" w:rsidRDefault="000E4651" w:rsidP="00AE0C07">
      <w:pPr>
        <w:pStyle w:val="wypunktowanie"/>
      </w:pPr>
      <w:r w:rsidRPr="001D200B">
        <w:t xml:space="preserve">w wieku poprodukcyjnym 2124 osoby (17,9%). </w:t>
      </w:r>
    </w:p>
    <w:p w:rsidR="00D27A5A" w:rsidRPr="001D200B" w:rsidRDefault="00D27A5A">
      <w:pPr>
        <w:spacing w:before="0" w:after="0" w:line="240" w:lineRule="auto"/>
        <w:jc w:val="left"/>
        <w:rPr>
          <w:rFonts w:cstheme="minorHAnsi"/>
        </w:rPr>
      </w:pPr>
      <w:r w:rsidRPr="001D200B">
        <w:br w:type="page"/>
      </w:r>
    </w:p>
    <w:p w:rsidR="00D67F45" w:rsidRPr="001D200B" w:rsidRDefault="00D67F45" w:rsidP="00D67F45">
      <w:pPr>
        <w:pStyle w:val="Legenda"/>
        <w:rPr>
          <w:rFonts w:cstheme="minorHAnsi"/>
          <w:color w:val="auto"/>
          <w:sz w:val="20"/>
          <w:highlight w:val="yellow"/>
        </w:rPr>
      </w:pPr>
      <w:bookmarkStart w:id="17" w:name="_Toc39476554"/>
      <w:r w:rsidRPr="001D200B">
        <w:rPr>
          <w:color w:val="auto"/>
        </w:rPr>
        <w:lastRenderedPageBreak/>
        <w:t xml:space="preserve">Tabela </w:t>
      </w:r>
      <w:r w:rsidR="005B7234" w:rsidRPr="001D200B">
        <w:rPr>
          <w:color w:val="auto"/>
        </w:rPr>
        <w:fldChar w:fldCharType="begin"/>
      </w:r>
      <w:r w:rsidR="005B7234" w:rsidRPr="001D200B">
        <w:rPr>
          <w:color w:val="auto"/>
        </w:rPr>
        <w:instrText xml:space="preserve"> SEQ Tabela \* ARABIC </w:instrText>
      </w:r>
      <w:r w:rsidR="005B7234" w:rsidRPr="001D200B">
        <w:rPr>
          <w:color w:val="auto"/>
        </w:rPr>
        <w:fldChar w:fldCharType="separate"/>
      </w:r>
      <w:r w:rsidR="00975320" w:rsidRPr="001D200B">
        <w:rPr>
          <w:noProof/>
          <w:color w:val="auto"/>
        </w:rPr>
        <w:t>2</w:t>
      </w:r>
      <w:r w:rsidR="005B7234" w:rsidRPr="001D200B">
        <w:rPr>
          <w:color w:val="auto"/>
        </w:rPr>
        <w:fldChar w:fldCharType="end"/>
      </w:r>
      <w:r w:rsidRPr="001D200B">
        <w:rPr>
          <w:color w:val="auto"/>
        </w:rPr>
        <w:t>. Zmiana stanu zaludnienia gminy Połaniec w latach 2010-2018</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51"/>
        <w:gridCol w:w="1233"/>
        <w:gridCol w:w="1232"/>
        <w:gridCol w:w="1232"/>
        <w:gridCol w:w="1232"/>
        <w:gridCol w:w="1230"/>
      </w:tblGrid>
      <w:tr w:rsidR="00D67F45" w:rsidRPr="001D200B" w:rsidTr="008331F6">
        <w:trPr>
          <w:trHeight w:val="20"/>
        </w:trPr>
        <w:tc>
          <w:tcPr>
            <w:tcW w:w="1656" w:type="pct"/>
            <w:tcBorders>
              <w:bottom w:val="single" w:sz="4" w:space="0" w:color="auto"/>
            </w:tcBorders>
            <w:shd w:val="clear" w:color="auto" w:fill="F2F2F2" w:themeFill="background1" w:themeFillShade="F2"/>
            <w:vAlign w:val="center"/>
          </w:tcPr>
          <w:p w:rsidR="00D67F45" w:rsidRPr="001D200B" w:rsidRDefault="00D67F45" w:rsidP="008331F6">
            <w:pPr>
              <w:spacing w:before="0" w:after="0" w:line="240" w:lineRule="auto"/>
              <w:jc w:val="center"/>
              <w:rPr>
                <w:b/>
              </w:rPr>
            </w:pPr>
            <w:r w:rsidRPr="001D200B">
              <w:rPr>
                <w:b/>
              </w:rPr>
              <w:t>Wyszczególnienie</w:t>
            </w:r>
          </w:p>
        </w:tc>
        <w:tc>
          <w:tcPr>
            <w:tcW w:w="669" w:type="pct"/>
            <w:tcBorders>
              <w:bottom w:val="single" w:sz="4" w:space="0" w:color="auto"/>
            </w:tcBorders>
            <w:shd w:val="clear" w:color="auto" w:fill="F2F2F2" w:themeFill="background1" w:themeFillShade="F2"/>
            <w:vAlign w:val="center"/>
          </w:tcPr>
          <w:p w:rsidR="00D67F45" w:rsidRPr="001D200B" w:rsidRDefault="00D67F45" w:rsidP="008331F6">
            <w:pPr>
              <w:spacing w:before="0" w:after="0" w:line="240" w:lineRule="auto"/>
              <w:jc w:val="center"/>
              <w:rPr>
                <w:b/>
              </w:rPr>
            </w:pPr>
            <w:r w:rsidRPr="001D200B">
              <w:rPr>
                <w:b/>
              </w:rPr>
              <w:t>2010</w:t>
            </w:r>
          </w:p>
        </w:tc>
        <w:tc>
          <w:tcPr>
            <w:tcW w:w="669" w:type="pct"/>
            <w:tcBorders>
              <w:bottom w:val="single" w:sz="4" w:space="0" w:color="auto"/>
            </w:tcBorders>
            <w:shd w:val="clear" w:color="auto" w:fill="F2F2F2" w:themeFill="background1" w:themeFillShade="F2"/>
            <w:vAlign w:val="center"/>
          </w:tcPr>
          <w:p w:rsidR="00D67F45" w:rsidRPr="001D200B" w:rsidRDefault="00D67F45" w:rsidP="008331F6">
            <w:pPr>
              <w:spacing w:before="0" w:after="0" w:line="240" w:lineRule="auto"/>
              <w:jc w:val="center"/>
              <w:rPr>
                <w:b/>
              </w:rPr>
            </w:pPr>
            <w:r w:rsidRPr="001D200B">
              <w:rPr>
                <w:b/>
              </w:rPr>
              <w:t>2012</w:t>
            </w:r>
          </w:p>
        </w:tc>
        <w:tc>
          <w:tcPr>
            <w:tcW w:w="669" w:type="pct"/>
            <w:tcBorders>
              <w:bottom w:val="single" w:sz="4" w:space="0" w:color="auto"/>
            </w:tcBorders>
            <w:shd w:val="clear" w:color="auto" w:fill="F2F2F2" w:themeFill="background1" w:themeFillShade="F2"/>
            <w:vAlign w:val="center"/>
          </w:tcPr>
          <w:p w:rsidR="00D67F45" w:rsidRPr="001D200B" w:rsidRDefault="00D67F45" w:rsidP="008331F6">
            <w:pPr>
              <w:spacing w:before="0" w:after="0" w:line="240" w:lineRule="auto"/>
              <w:jc w:val="center"/>
              <w:rPr>
                <w:b/>
              </w:rPr>
            </w:pPr>
            <w:r w:rsidRPr="001D200B">
              <w:rPr>
                <w:b/>
              </w:rPr>
              <w:t>2014</w:t>
            </w:r>
          </w:p>
        </w:tc>
        <w:tc>
          <w:tcPr>
            <w:tcW w:w="669" w:type="pct"/>
            <w:tcBorders>
              <w:bottom w:val="single" w:sz="4" w:space="0" w:color="auto"/>
            </w:tcBorders>
            <w:shd w:val="clear" w:color="auto" w:fill="F2F2F2" w:themeFill="background1" w:themeFillShade="F2"/>
            <w:vAlign w:val="center"/>
          </w:tcPr>
          <w:p w:rsidR="00D67F45" w:rsidRPr="001D200B" w:rsidRDefault="00D67F45" w:rsidP="008331F6">
            <w:pPr>
              <w:spacing w:before="0" w:after="0" w:line="240" w:lineRule="auto"/>
              <w:jc w:val="center"/>
              <w:rPr>
                <w:b/>
              </w:rPr>
            </w:pPr>
            <w:r w:rsidRPr="001D200B">
              <w:rPr>
                <w:b/>
              </w:rPr>
              <w:t>2016</w:t>
            </w:r>
          </w:p>
        </w:tc>
        <w:tc>
          <w:tcPr>
            <w:tcW w:w="668" w:type="pct"/>
            <w:tcBorders>
              <w:bottom w:val="single" w:sz="4" w:space="0" w:color="auto"/>
            </w:tcBorders>
            <w:shd w:val="clear" w:color="auto" w:fill="F2F2F2" w:themeFill="background1" w:themeFillShade="F2"/>
            <w:vAlign w:val="center"/>
          </w:tcPr>
          <w:p w:rsidR="00D67F45" w:rsidRPr="001D200B" w:rsidRDefault="00D67F45" w:rsidP="008331F6">
            <w:pPr>
              <w:spacing w:before="0" w:after="0" w:line="240" w:lineRule="auto"/>
              <w:jc w:val="center"/>
              <w:rPr>
                <w:b/>
              </w:rPr>
            </w:pPr>
            <w:r w:rsidRPr="001D200B">
              <w:rPr>
                <w:b/>
              </w:rPr>
              <w:t>2018</w:t>
            </w:r>
          </w:p>
        </w:tc>
      </w:tr>
      <w:tr w:rsidR="00D67F45" w:rsidRPr="001D200B" w:rsidTr="008331F6">
        <w:trPr>
          <w:trHeight w:val="20"/>
        </w:trPr>
        <w:tc>
          <w:tcPr>
            <w:tcW w:w="1656" w:type="pct"/>
            <w:tcBorders>
              <w:top w:val="single" w:sz="4" w:space="0" w:color="auto"/>
            </w:tcBorders>
            <w:vAlign w:val="center"/>
          </w:tcPr>
          <w:p w:rsidR="00D67F45" w:rsidRPr="001D200B" w:rsidRDefault="00D67F45" w:rsidP="008331F6">
            <w:pPr>
              <w:spacing w:before="0" w:after="0" w:line="240" w:lineRule="auto"/>
            </w:pPr>
            <w:r w:rsidRPr="001D200B">
              <w:t>Liczba mieszkańców ogółem:</w:t>
            </w:r>
          </w:p>
        </w:tc>
        <w:tc>
          <w:tcPr>
            <w:tcW w:w="669" w:type="pct"/>
            <w:tcBorders>
              <w:top w:val="single" w:sz="4" w:space="0" w:color="auto"/>
            </w:tcBorders>
            <w:vAlign w:val="center"/>
          </w:tcPr>
          <w:p w:rsidR="00D67F45" w:rsidRPr="001D200B" w:rsidRDefault="008331F6" w:rsidP="008331F6">
            <w:pPr>
              <w:spacing w:before="0" w:after="0" w:line="240" w:lineRule="auto"/>
              <w:jc w:val="center"/>
              <w:rPr>
                <w:sz w:val="22"/>
                <w:szCs w:val="22"/>
              </w:rPr>
            </w:pPr>
            <w:r w:rsidRPr="001D200B">
              <w:rPr>
                <w:sz w:val="22"/>
                <w:szCs w:val="22"/>
              </w:rPr>
              <w:t>12090</w:t>
            </w:r>
          </w:p>
        </w:tc>
        <w:tc>
          <w:tcPr>
            <w:tcW w:w="669" w:type="pct"/>
            <w:tcBorders>
              <w:top w:val="single" w:sz="4" w:space="0" w:color="auto"/>
            </w:tcBorders>
            <w:vAlign w:val="center"/>
          </w:tcPr>
          <w:p w:rsidR="00D67F45" w:rsidRPr="001D200B" w:rsidRDefault="008331F6" w:rsidP="008331F6">
            <w:pPr>
              <w:spacing w:before="0" w:after="0" w:line="240" w:lineRule="auto"/>
              <w:jc w:val="center"/>
              <w:rPr>
                <w:sz w:val="22"/>
                <w:szCs w:val="22"/>
              </w:rPr>
            </w:pPr>
            <w:r w:rsidRPr="001D200B">
              <w:rPr>
                <w:sz w:val="22"/>
                <w:szCs w:val="22"/>
              </w:rPr>
              <w:t>11991</w:t>
            </w:r>
          </w:p>
        </w:tc>
        <w:tc>
          <w:tcPr>
            <w:tcW w:w="669" w:type="pct"/>
            <w:tcBorders>
              <w:top w:val="single" w:sz="4" w:space="0" w:color="auto"/>
            </w:tcBorders>
            <w:vAlign w:val="center"/>
          </w:tcPr>
          <w:p w:rsidR="00D67F45" w:rsidRPr="001D200B" w:rsidRDefault="008331F6" w:rsidP="008331F6">
            <w:pPr>
              <w:spacing w:before="0" w:after="0" w:line="240" w:lineRule="auto"/>
              <w:jc w:val="center"/>
              <w:rPr>
                <w:sz w:val="22"/>
                <w:szCs w:val="22"/>
              </w:rPr>
            </w:pPr>
            <w:r w:rsidRPr="001D200B">
              <w:rPr>
                <w:sz w:val="22"/>
                <w:szCs w:val="22"/>
              </w:rPr>
              <w:t>11968</w:t>
            </w:r>
          </w:p>
        </w:tc>
        <w:tc>
          <w:tcPr>
            <w:tcW w:w="669" w:type="pct"/>
            <w:tcBorders>
              <w:top w:val="single" w:sz="4" w:space="0" w:color="auto"/>
            </w:tcBorders>
            <w:vAlign w:val="center"/>
          </w:tcPr>
          <w:p w:rsidR="00D67F45" w:rsidRPr="001D200B" w:rsidRDefault="008331F6" w:rsidP="008331F6">
            <w:pPr>
              <w:spacing w:before="0" w:after="0" w:line="240" w:lineRule="auto"/>
              <w:jc w:val="center"/>
              <w:rPr>
                <w:sz w:val="22"/>
                <w:szCs w:val="22"/>
              </w:rPr>
            </w:pPr>
            <w:r w:rsidRPr="001D200B">
              <w:rPr>
                <w:sz w:val="22"/>
                <w:szCs w:val="22"/>
              </w:rPr>
              <w:t>11941</w:t>
            </w:r>
          </w:p>
        </w:tc>
        <w:tc>
          <w:tcPr>
            <w:tcW w:w="668" w:type="pct"/>
            <w:tcBorders>
              <w:top w:val="single" w:sz="4" w:space="0" w:color="auto"/>
            </w:tcBorders>
            <w:vAlign w:val="center"/>
          </w:tcPr>
          <w:p w:rsidR="00D67F45" w:rsidRPr="001D200B" w:rsidRDefault="008331F6" w:rsidP="008331F6">
            <w:pPr>
              <w:spacing w:before="0" w:after="0" w:line="240" w:lineRule="auto"/>
              <w:jc w:val="center"/>
              <w:rPr>
                <w:sz w:val="22"/>
                <w:szCs w:val="22"/>
              </w:rPr>
            </w:pPr>
            <w:r w:rsidRPr="001D200B">
              <w:rPr>
                <w:sz w:val="22"/>
                <w:szCs w:val="22"/>
              </w:rPr>
              <w:t>11828</w:t>
            </w:r>
          </w:p>
        </w:tc>
      </w:tr>
      <w:tr w:rsidR="00D67F45" w:rsidRPr="001D200B" w:rsidTr="008331F6">
        <w:trPr>
          <w:trHeight w:val="20"/>
        </w:trPr>
        <w:tc>
          <w:tcPr>
            <w:tcW w:w="1656" w:type="pct"/>
            <w:vAlign w:val="center"/>
          </w:tcPr>
          <w:p w:rsidR="00D67F45" w:rsidRPr="001D200B" w:rsidRDefault="00D67F45" w:rsidP="00D67F45">
            <w:pPr>
              <w:spacing w:before="0" w:after="0" w:line="240" w:lineRule="auto"/>
            </w:pPr>
            <w:r w:rsidRPr="001D200B">
              <w:t>Miasto Połaniec</w:t>
            </w:r>
          </w:p>
        </w:tc>
        <w:tc>
          <w:tcPr>
            <w:tcW w:w="669" w:type="pct"/>
            <w:vAlign w:val="center"/>
          </w:tcPr>
          <w:p w:rsidR="00D67F45" w:rsidRPr="001D200B" w:rsidRDefault="00FF4A5E" w:rsidP="008331F6">
            <w:pPr>
              <w:spacing w:before="0" w:after="0" w:line="240" w:lineRule="auto"/>
              <w:jc w:val="center"/>
              <w:rPr>
                <w:sz w:val="22"/>
                <w:szCs w:val="22"/>
              </w:rPr>
            </w:pPr>
            <w:r w:rsidRPr="001D200B">
              <w:rPr>
                <w:sz w:val="22"/>
                <w:szCs w:val="22"/>
              </w:rPr>
              <w:t>8471</w:t>
            </w:r>
          </w:p>
        </w:tc>
        <w:tc>
          <w:tcPr>
            <w:tcW w:w="669" w:type="pct"/>
            <w:vAlign w:val="center"/>
          </w:tcPr>
          <w:p w:rsidR="00D67F45" w:rsidRPr="001D200B" w:rsidRDefault="00FF4A5E" w:rsidP="008331F6">
            <w:pPr>
              <w:spacing w:before="0" w:after="0" w:line="240" w:lineRule="auto"/>
              <w:jc w:val="center"/>
              <w:rPr>
                <w:sz w:val="22"/>
                <w:szCs w:val="22"/>
              </w:rPr>
            </w:pPr>
            <w:r w:rsidRPr="001D200B">
              <w:rPr>
                <w:sz w:val="22"/>
                <w:szCs w:val="22"/>
              </w:rPr>
              <w:t>8328</w:t>
            </w:r>
          </w:p>
        </w:tc>
        <w:tc>
          <w:tcPr>
            <w:tcW w:w="669" w:type="pct"/>
            <w:vAlign w:val="center"/>
          </w:tcPr>
          <w:p w:rsidR="00D67F45" w:rsidRPr="001D200B" w:rsidRDefault="00FF4A5E" w:rsidP="008331F6">
            <w:pPr>
              <w:spacing w:before="0" w:after="0" w:line="240" w:lineRule="auto"/>
              <w:jc w:val="center"/>
              <w:rPr>
                <w:sz w:val="22"/>
                <w:szCs w:val="22"/>
              </w:rPr>
            </w:pPr>
            <w:r w:rsidRPr="001D200B">
              <w:rPr>
                <w:sz w:val="22"/>
                <w:szCs w:val="22"/>
              </w:rPr>
              <w:t>8279</w:t>
            </w:r>
          </w:p>
        </w:tc>
        <w:tc>
          <w:tcPr>
            <w:tcW w:w="669" w:type="pct"/>
            <w:vAlign w:val="center"/>
          </w:tcPr>
          <w:p w:rsidR="00D67F45" w:rsidRPr="001D200B" w:rsidRDefault="00FF4A5E" w:rsidP="008331F6">
            <w:pPr>
              <w:spacing w:before="0" w:after="0" w:line="240" w:lineRule="auto"/>
              <w:jc w:val="center"/>
              <w:rPr>
                <w:sz w:val="22"/>
                <w:szCs w:val="22"/>
              </w:rPr>
            </w:pPr>
            <w:r w:rsidRPr="001D200B">
              <w:rPr>
                <w:sz w:val="22"/>
                <w:szCs w:val="22"/>
              </w:rPr>
              <w:t>8204</w:t>
            </w:r>
          </w:p>
        </w:tc>
        <w:tc>
          <w:tcPr>
            <w:tcW w:w="668" w:type="pct"/>
            <w:vAlign w:val="center"/>
          </w:tcPr>
          <w:p w:rsidR="00D67F45" w:rsidRPr="001D200B" w:rsidRDefault="00FF4A5E" w:rsidP="008331F6">
            <w:pPr>
              <w:spacing w:before="0" w:after="0" w:line="240" w:lineRule="auto"/>
              <w:jc w:val="center"/>
              <w:rPr>
                <w:sz w:val="22"/>
                <w:szCs w:val="22"/>
              </w:rPr>
            </w:pPr>
            <w:r w:rsidRPr="001D200B">
              <w:rPr>
                <w:sz w:val="22"/>
                <w:szCs w:val="22"/>
              </w:rPr>
              <w:t>8120</w:t>
            </w:r>
          </w:p>
        </w:tc>
      </w:tr>
      <w:tr w:rsidR="00D67F45" w:rsidRPr="001D200B" w:rsidTr="008331F6">
        <w:trPr>
          <w:trHeight w:val="20"/>
        </w:trPr>
        <w:tc>
          <w:tcPr>
            <w:tcW w:w="1656" w:type="pct"/>
            <w:vAlign w:val="center"/>
          </w:tcPr>
          <w:p w:rsidR="00D67F45" w:rsidRPr="001D200B" w:rsidRDefault="00D67F45" w:rsidP="008331F6">
            <w:pPr>
              <w:spacing w:before="0" w:after="0" w:line="240" w:lineRule="auto"/>
            </w:pPr>
            <w:r w:rsidRPr="001D200B">
              <w:t>Obszary wiejskie</w:t>
            </w:r>
          </w:p>
        </w:tc>
        <w:tc>
          <w:tcPr>
            <w:tcW w:w="669" w:type="pct"/>
            <w:vAlign w:val="center"/>
          </w:tcPr>
          <w:p w:rsidR="00D67F45" w:rsidRPr="001D200B" w:rsidRDefault="00FF4A5E" w:rsidP="008331F6">
            <w:pPr>
              <w:spacing w:before="0" w:after="0" w:line="240" w:lineRule="auto"/>
              <w:jc w:val="center"/>
              <w:rPr>
                <w:sz w:val="22"/>
                <w:szCs w:val="22"/>
              </w:rPr>
            </w:pPr>
            <w:r w:rsidRPr="001D200B">
              <w:rPr>
                <w:sz w:val="22"/>
                <w:szCs w:val="22"/>
              </w:rPr>
              <w:t>3619</w:t>
            </w:r>
          </w:p>
        </w:tc>
        <w:tc>
          <w:tcPr>
            <w:tcW w:w="669" w:type="pct"/>
            <w:vAlign w:val="center"/>
          </w:tcPr>
          <w:p w:rsidR="00D67F45" w:rsidRPr="001D200B" w:rsidRDefault="00FF4A5E" w:rsidP="008331F6">
            <w:pPr>
              <w:spacing w:before="0" w:after="0" w:line="240" w:lineRule="auto"/>
              <w:jc w:val="center"/>
              <w:rPr>
                <w:sz w:val="22"/>
                <w:szCs w:val="22"/>
              </w:rPr>
            </w:pPr>
            <w:r w:rsidRPr="001D200B">
              <w:rPr>
                <w:sz w:val="22"/>
                <w:szCs w:val="22"/>
              </w:rPr>
              <w:t>3663</w:t>
            </w:r>
          </w:p>
        </w:tc>
        <w:tc>
          <w:tcPr>
            <w:tcW w:w="669" w:type="pct"/>
            <w:vAlign w:val="center"/>
          </w:tcPr>
          <w:p w:rsidR="00D67F45" w:rsidRPr="001D200B" w:rsidRDefault="00FF4A5E" w:rsidP="008331F6">
            <w:pPr>
              <w:spacing w:before="0" w:after="0" w:line="240" w:lineRule="auto"/>
              <w:jc w:val="center"/>
              <w:rPr>
                <w:sz w:val="22"/>
                <w:szCs w:val="22"/>
              </w:rPr>
            </w:pPr>
            <w:r w:rsidRPr="001D200B">
              <w:rPr>
                <w:sz w:val="22"/>
                <w:szCs w:val="22"/>
              </w:rPr>
              <w:t>3689</w:t>
            </w:r>
          </w:p>
        </w:tc>
        <w:tc>
          <w:tcPr>
            <w:tcW w:w="669" w:type="pct"/>
            <w:vAlign w:val="center"/>
          </w:tcPr>
          <w:p w:rsidR="00D67F45" w:rsidRPr="001D200B" w:rsidRDefault="00FF4A5E" w:rsidP="008331F6">
            <w:pPr>
              <w:spacing w:before="0" w:after="0" w:line="240" w:lineRule="auto"/>
              <w:jc w:val="center"/>
              <w:rPr>
                <w:sz w:val="22"/>
                <w:szCs w:val="22"/>
              </w:rPr>
            </w:pPr>
            <w:r w:rsidRPr="001D200B">
              <w:rPr>
                <w:sz w:val="22"/>
                <w:szCs w:val="22"/>
              </w:rPr>
              <w:t>3737</w:t>
            </w:r>
          </w:p>
        </w:tc>
        <w:tc>
          <w:tcPr>
            <w:tcW w:w="668" w:type="pct"/>
            <w:vAlign w:val="center"/>
          </w:tcPr>
          <w:p w:rsidR="00D67F45" w:rsidRPr="001D200B" w:rsidRDefault="00FF4A5E" w:rsidP="008331F6">
            <w:pPr>
              <w:spacing w:before="0" w:after="0" w:line="240" w:lineRule="auto"/>
              <w:jc w:val="center"/>
              <w:rPr>
                <w:sz w:val="22"/>
                <w:szCs w:val="22"/>
              </w:rPr>
            </w:pPr>
            <w:r w:rsidRPr="001D200B">
              <w:rPr>
                <w:sz w:val="22"/>
                <w:szCs w:val="22"/>
              </w:rPr>
              <w:t>3708</w:t>
            </w:r>
          </w:p>
        </w:tc>
      </w:tr>
    </w:tbl>
    <w:p w:rsidR="008331F6" w:rsidRPr="001D200B" w:rsidRDefault="008331F6" w:rsidP="008331F6">
      <w:pPr>
        <w:pStyle w:val="podtabelk"/>
      </w:pPr>
      <w:r w:rsidRPr="001D200B">
        <w:t>Źródło: Dane GUS, 2010-2018</w:t>
      </w:r>
    </w:p>
    <w:p w:rsidR="00981416" w:rsidRPr="001D200B" w:rsidRDefault="00FF4A5E" w:rsidP="003D7C1D">
      <w:pPr>
        <w:rPr>
          <w:rFonts w:cstheme="minorHAnsi"/>
        </w:rPr>
      </w:pPr>
      <w:r w:rsidRPr="001D200B">
        <w:t xml:space="preserve">Z analizy danych statystycznych wynika, że mieszkańców gminy Połaniec sukcesywnie ubywa. W latach 2010-2018 populacja opisywanego terenu zmniejszyła się o 262 osoby, tj. o 2,2%. Wyraźnie zaznacza się tendencja spadku liczby ludności miasta, przy wzroście liczby ludności na terenach wiejskich. </w:t>
      </w:r>
      <w:r w:rsidR="00981416" w:rsidRPr="001D200B">
        <w:rPr>
          <w:rFonts w:cstheme="minorHAnsi"/>
        </w:rPr>
        <w:t>Niekorzystne zmiany w liczbie ludności gminy wiążą się z nasiloną migracją (saldo migracji od lat utrzymuje się poniżej zera)</w:t>
      </w:r>
      <w:r w:rsidR="00981416" w:rsidRPr="001D200B">
        <w:rPr>
          <w:rFonts w:cstheme="minorHAnsi"/>
          <w:szCs w:val="24"/>
        </w:rPr>
        <w:t xml:space="preserve">, przy dodatnich wskaźnikach </w:t>
      </w:r>
      <w:r w:rsidR="00981416" w:rsidRPr="001D200B">
        <w:rPr>
          <w:rFonts w:cstheme="minorHAnsi"/>
        </w:rPr>
        <w:t>przyrostu naturalnego.</w:t>
      </w:r>
    </w:p>
    <w:p w:rsidR="00D80252" w:rsidRPr="001D200B" w:rsidRDefault="00963030" w:rsidP="00ED3309">
      <w:pPr>
        <w:pStyle w:val="Tytu"/>
        <w:rPr>
          <w:rFonts w:cstheme="minorHAnsi"/>
          <w:b/>
        </w:rPr>
      </w:pPr>
      <w:bookmarkStart w:id="18" w:name="_Toc31371903"/>
      <w:r w:rsidRPr="001D200B">
        <w:rPr>
          <w:rFonts w:cstheme="minorHAnsi"/>
          <w:b/>
        </w:rPr>
        <w:t xml:space="preserve">Wykres </w:t>
      </w:r>
      <w:r w:rsidR="005B7234" w:rsidRPr="001D200B">
        <w:rPr>
          <w:rFonts w:cstheme="minorHAnsi"/>
          <w:b/>
        </w:rPr>
        <w:fldChar w:fldCharType="begin"/>
      </w:r>
      <w:r w:rsidR="00F200FE" w:rsidRPr="001D200B">
        <w:rPr>
          <w:rFonts w:cstheme="minorHAnsi"/>
          <w:b/>
        </w:rPr>
        <w:instrText xml:space="preserve"> SEQ Wykres \* ARABIC </w:instrText>
      </w:r>
      <w:r w:rsidR="005B7234" w:rsidRPr="001D200B">
        <w:rPr>
          <w:rFonts w:cstheme="minorHAnsi"/>
          <w:b/>
        </w:rPr>
        <w:fldChar w:fldCharType="separate"/>
      </w:r>
      <w:r w:rsidR="00975320" w:rsidRPr="001D200B">
        <w:rPr>
          <w:rFonts w:cstheme="minorHAnsi"/>
          <w:b/>
          <w:noProof/>
        </w:rPr>
        <w:t>1</w:t>
      </w:r>
      <w:r w:rsidR="005B7234" w:rsidRPr="001D200B">
        <w:rPr>
          <w:rFonts w:cstheme="minorHAnsi"/>
          <w:b/>
        </w:rPr>
        <w:fldChar w:fldCharType="end"/>
      </w:r>
      <w:r w:rsidRPr="001D200B">
        <w:rPr>
          <w:rFonts w:cstheme="minorHAnsi"/>
          <w:b/>
        </w:rPr>
        <w:t>.</w:t>
      </w:r>
      <w:r w:rsidRPr="001D200B">
        <w:rPr>
          <w:rFonts w:cstheme="minorHAnsi"/>
        </w:rPr>
        <w:t xml:space="preserve"> </w:t>
      </w:r>
      <w:r w:rsidR="007A0851" w:rsidRPr="001D200B">
        <w:rPr>
          <w:rFonts w:cstheme="minorHAnsi"/>
          <w:b/>
        </w:rPr>
        <w:t>Dynamika zmian liczby mieszkańców gminy Połaniec w latach 20</w:t>
      </w:r>
      <w:r w:rsidR="00FF4A5E" w:rsidRPr="001D200B">
        <w:rPr>
          <w:rFonts w:cstheme="minorHAnsi"/>
          <w:b/>
        </w:rPr>
        <w:t>10</w:t>
      </w:r>
      <w:r w:rsidR="007A0851" w:rsidRPr="001D200B">
        <w:rPr>
          <w:rFonts w:cstheme="minorHAnsi"/>
          <w:b/>
        </w:rPr>
        <w:t>-201</w:t>
      </w:r>
      <w:r w:rsidR="00FF4A5E" w:rsidRPr="001D200B">
        <w:rPr>
          <w:rFonts w:cstheme="minorHAnsi"/>
          <w:b/>
        </w:rPr>
        <w:t>8 (GUS, www.stat.gov.pl)</w:t>
      </w:r>
      <w:bookmarkEnd w:id="18"/>
    </w:p>
    <w:p w:rsidR="00C74D90" w:rsidRPr="001D200B" w:rsidRDefault="00FF4A5E" w:rsidP="00DF1B5A">
      <w:pPr>
        <w:rPr>
          <w:rFonts w:cstheme="minorHAnsi"/>
          <w:highlight w:val="yellow"/>
        </w:rPr>
      </w:pPr>
      <w:r w:rsidRPr="001D200B">
        <w:rPr>
          <w:rFonts w:cstheme="minorHAnsi"/>
          <w:noProof/>
        </w:rPr>
        <w:drawing>
          <wp:anchor distT="0" distB="0" distL="114300" distR="114300" simplePos="0" relativeHeight="251661312" behindDoc="0" locked="0" layoutInCell="1" allowOverlap="1">
            <wp:simplePos x="0" y="0"/>
            <wp:positionH relativeFrom="column">
              <wp:posOffset>4445</wp:posOffset>
            </wp:positionH>
            <wp:positionV relativeFrom="paragraph">
              <wp:posOffset>-1270</wp:posOffset>
            </wp:positionV>
            <wp:extent cx="5486400" cy="2743200"/>
            <wp:effectExtent l="0" t="0" r="0" b="0"/>
            <wp:wrapTight wrapText="bothSides">
              <wp:wrapPolygon edited="0">
                <wp:start x="450" y="750"/>
                <wp:lineTo x="450" y="1500"/>
                <wp:lineTo x="2775" y="3150"/>
                <wp:lineTo x="375" y="3450"/>
                <wp:lineTo x="450" y="4350"/>
                <wp:lineTo x="9900" y="5550"/>
                <wp:lineTo x="450" y="6300"/>
                <wp:lineTo x="450" y="7200"/>
                <wp:lineTo x="18150" y="7950"/>
                <wp:lineTo x="450" y="7950"/>
                <wp:lineTo x="450" y="10050"/>
                <wp:lineTo x="15675" y="10350"/>
                <wp:lineTo x="375" y="12000"/>
                <wp:lineTo x="375" y="15750"/>
                <wp:lineTo x="8475" y="17550"/>
                <wp:lineTo x="525" y="17700"/>
                <wp:lineTo x="375" y="18450"/>
                <wp:lineTo x="2850" y="19950"/>
                <wp:lineTo x="2775" y="20100"/>
                <wp:lineTo x="20700" y="20100"/>
                <wp:lineTo x="20850" y="19500"/>
                <wp:lineTo x="18375" y="18900"/>
                <wp:lineTo x="10725" y="17550"/>
                <wp:lineTo x="2100" y="15150"/>
                <wp:lineTo x="2025" y="12900"/>
                <wp:lineTo x="2025" y="12750"/>
                <wp:lineTo x="21525" y="12150"/>
                <wp:lineTo x="21600" y="11250"/>
                <wp:lineTo x="17250" y="10350"/>
                <wp:lineTo x="17850" y="10350"/>
                <wp:lineTo x="19800" y="8550"/>
                <wp:lineTo x="19725" y="7950"/>
                <wp:lineTo x="16050" y="5250"/>
                <wp:lineTo x="5550" y="3000"/>
                <wp:lineTo x="2025" y="750"/>
                <wp:lineTo x="450" y="750"/>
              </wp:wrapPolygon>
            </wp:wrapTight>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p w:rsidR="00C74D90" w:rsidRPr="001D200B" w:rsidRDefault="00C74D90" w:rsidP="00DF1B5A">
      <w:pPr>
        <w:rPr>
          <w:rFonts w:cstheme="minorHAnsi"/>
          <w:highlight w:val="yellow"/>
        </w:rPr>
      </w:pPr>
    </w:p>
    <w:p w:rsidR="00C74D90" w:rsidRPr="001D200B" w:rsidRDefault="00C74D90" w:rsidP="00DF1B5A">
      <w:pPr>
        <w:rPr>
          <w:rFonts w:cstheme="minorHAnsi"/>
          <w:highlight w:val="yellow"/>
        </w:rPr>
      </w:pPr>
    </w:p>
    <w:p w:rsidR="00C74D90" w:rsidRPr="001D200B" w:rsidRDefault="00C74D90" w:rsidP="00DF1B5A">
      <w:pPr>
        <w:rPr>
          <w:rFonts w:cstheme="minorHAnsi"/>
          <w:highlight w:val="yellow"/>
        </w:rPr>
      </w:pPr>
    </w:p>
    <w:p w:rsidR="00C74D90" w:rsidRPr="001D200B" w:rsidRDefault="00C74D90" w:rsidP="00DF1B5A">
      <w:pPr>
        <w:rPr>
          <w:rFonts w:cstheme="minorHAnsi"/>
          <w:highlight w:val="yellow"/>
        </w:rPr>
      </w:pPr>
    </w:p>
    <w:p w:rsidR="00C74D90" w:rsidRPr="001D200B" w:rsidRDefault="00C74D90" w:rsidP="00DF1B5A">
      <w:pPr>
        <w:rPr>
          <w:rFonts w:cstheme="minorHAnsi"/>
          <w:highlight w:val="yellow"/>
        </w:rPr>
      </w:pPr>
    </w:p>
    <w:p w:rsidR="00C74D90" w:rsidRPr="001D200B" w:rsidRDefault="00C74D90" w:rsidP="00DF1B5A">
      <w:pPr>
        <w:rPr>
          <w:rFonts w:cstheme="minorHAnsi"/>
          <w:highlight w:val="yellow"/>
        </w:rPr>
      </w:pPr>
    </w:p>
    <w:p w:rsidR="00C74D90" w:rsidRPr="001D200B" w:rsidRDefault="00C74D90" w:rsidP="00DF1B5A">
      <w:pPr>
        <w:rPr>
          <w:rFonts w:cstheme="minorHAnsi"/>
          <w:highlight w:val="yellow"/>
        </w:rPr>
      </w:pPr>
    </w:p>
    <w:p w:rsidR="00C74D90" w:rsidRPr="001D200B" w:rsidRDefault="00C74D90" w:rsidP="00DF1B5A">
      <w:pPr>
        <w:rPr>
          <w:rFonts w:cstheme="minorHAnsi"/>
          <w:highlight w:val="yellow"/>
        </w:rPr>
      </w:pPr>
    </w:p>
    <w:p w:rsidR="00C74D90" w:rsidRPr="001D200B" w:rsidRDefault="00C74D90" w:rsidP="00DF1B5A">
      <w:pPr>
        <w:rPr>
          <w:rFonts w:cstheme="minorHAnsi"/>
          <w:highlight w:val="yellow"/>
        </w:rPr>
      </w:pPr>
    </w:p>
    <w:p w:rsidR="00D27A5A" w:rsidRPr="001D200B" w:rsidRDefault="00D27A5A">
      <w:pPr>
        <w:spacing w:before="0" w:after="0" w:line="240" w:lineRule="auto"/>
        <w:jc w:val="left"/>
        <w:rPr>
          <w:b/>
        </w:rPr>
      </w:pPr>
      <w:r w:rsidRPr="001D200B">
        <w:br w:type="page"/>
      </w:r>
    </w:p>
    <w:p w:rsidR="00C74D90" w:rsidRPr="001D200B" w:rsidRDefault="00981416" w:rsidP="00981416">
      <w:pPr>
        <w:pStyle w:val="Legenda"/>
        <w:rPr>
          <w:rFonts w:cstheme="minorHAnsi"/>
          <w:color w:val="auto"/>
          <w:highlight w:val="yellow"/>
        </w:rPr>
      </w:pPr>
      <w:bookmarkStart w:id="19" w:name="_Toc31371904"/>
      <w:r w:rsidRPr="001D200B">
        <w:rPr>
          <w:color w:val="auto"/>
        </w:rPr>
        <w:lastRenderedPageBreak/>
        <w:t xml:space="preserve">Wykres </w:t>
      </w:r>
      <w:r w:rsidR="005B7234" w:rsidRPr="001D200B">
        <w:rPr>
          <w:color w:val="auto"/>
        </w:rPr>
        <w:fldChar w:fldCharType="begin"/>
      </w:r>
      <w:r w:rsidR="005B7234" w:rsidRPr="001D200B">
        <w:rPr>
          <w:color w:val="auto"/>
        </w:rPr>
        <w:instrText xml:space="preserve"> SEQ Wykres \* ARABIC </w:instrText>
      </w:r>
      <w:r w:rsidR="005B7234" w:rsidRPr="001D200B">
        <w:rPr>
          <w:color w:val="auto"/>
        </w:rPr>
        <w:fldChar w:fldCharType="separate"/>
      </w:r>
      <w:r w:rsidR="00975320" w:rsidRPr="001D200B">
        <w:rPr>
          <w:noProof/>
          <w:color w:val="auto"/>
        </w:rPr>
        <w:t>2</w:t>
      </w:r>
      <w:r w:rsidR="005B7234" w:rsidRPr="001D200B">
        <w:rPr>
          <w:color w:val="auto"/>
        </w:rPr>
        <w:fldChar w:fldCharType="end"/>
      </w:r>
      <w:r w:rsidRPr="001D200B">
        <w:rPr>
          <w:color w:val="auto"/>
        </w:rPr>
        <w:t>. Wskaźniki demograficzne w latach 2010-2018 na terenie gminy Połaniec (GUS, www.stat.gov.pl)</w:t>
      </w:r>
      <w:bookmarkEnd w:id="19"/>
    </w:p>
    <w:p w:rsidR="003D7C1D" w:rsidRPr="001D200B" w:rsidRDefault="00981416">
      <w:pPr>
        <w:spacing w:before="0" w:after="0" w:line="240" w:lineRule="auto"/>
        <w:jc w:val="left"/>
        <w:rPr>
          <w:rFonts w:cstheme="minorHAnsi"/>
          <w:highlight w:val="yellow"/>
        </w:rPr>
      </w:pPr>
      <w:r w:rsidRPr="001D200B">
        <w:rPr>
          <w:rFonts w:cstheme="minorHAnsi"/>
          <w:noProof/>
        </w:rPr>
        <w:drawing>
          <wp:inline distT="0" distB="0" distL="0" distR="0">
            <wp:extent cx="5486400" cy="3095625"/>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869EF" w:rsidRPr="001D200B" w:rsidRDefault="00C869EF" w:rsidP="00C869EF">
      <w:pPr>
        <w:rPr>
          <w:u w:val="single"/>
        </w:rPr>
      </w:pPr>
      <w:r w:rsidRPr="001D200B">
        <w:rPr>
          <w:u w:val="single"/>
        </w:rPr>
        <w:t>Prognoza liczby ludności do 2035 roku</w:t>
      </w:r>
    </w:p>
    <w:p w:rsidR="00C869EF" w:rsidRPr="001D200B" w:rsidRDefault="00C869EF" w:rsidP="00C869EF">
      <w:r w:rsidRPr="001D200B">
        <w:t xml:space="preserve">Przewidywane zmiany demograficzne wyznaczono na podstawie prognozy wykonanej przez Główny Urząd Statystyczny (według opracowania </w:t>
      </w:r>
      <w:r w:rsidRPr="001D200B">
        <w:rPr>
          <w:rFonts w:cstheme="minorHAnsi"/>
          <w:i/>
        </w:rPr>
        <w:t>Prognoza ludności gmin na lata 2017-2030</w:t>
      </w:r>
      <w:r w:rsidRPr="001D200B">
        <w:rPr>
          <w:rFonts w:cstheme="minorHAnsi"/>
        </w:rPr>
        <w:t>)</w:t>
      </w:r>
      <w:r w:rsidRPr="001D200B">
        <w:t xml:space="preserve">. Prognoza GUS dla gminy Połaniec przewiduje do 2030 roku sukcesywny spadek liczby ludności do poziomu 10988 osób w 2030 roku, co stanowi ubytek w stosunku do stanu ludności z 2018 roku o około 7%. Taki stopień zmian jest prawdopodobny oraz zgodny z dotychczasowym trendem zmian liczby mieszkańców gminy. Opierając się na powyższej prognozie, jak również uwzględniając dotychczasowe zmiany demograficzne notowane na w latach 2010-2018 </w:t>
      </w:r>
      <w:r w:rsidRPr="001D200B">
        <w:rPr>
          <w:bCs/>
        </w:rPr>
        <w:t xml:space="preserve">sformułowano prognozę ludności dla gminy Połaniec do 2035 roku, która wykorzystana zostanie </w:t>
      </w:r>
      <w:r w:rsidRPr="001D200B">
        <w:t xml:space="preserve">na potrzeby niniejszego opracowania. </w:t>
      </w:r>
    </w:p>
    <w:p w:rsidR="00C81547" w:rsidRPr="001D200B" w:rsidRDefault="00C81547" w:rsidP="00C81547">
      <w:pPr>
        <w:pStyle w:val="Legenda"/>
        <w:rPr>
          <w:color w:val="auto"/>
          <w:highlight w:val="yellow"/>
        </w:rPr>
      </w:pPr>
      <w:bookmarkStart w:id="20" w:name="_Toc39476555"/>
      <w:r w:rsidRPr="001D200B">
        <w:rPr>
          <w:color w:val="auto"/>
        </w:rPr>
        <w:t xml:space="preserve">Tabela </w:t>
      </w:r>
      <w:r w:rsidR="005B7234" w:rsidRPr="001D200B">
        <w:rPr>
          <w:color w:val="auto"/>
        </w:rPr>
        <w:fldChar w:fldCharType="begin"/>
      </w:r>
      <w:r w:rsidR="005B7234" w:rsidRPr="001D200B">
        <w:rPr>
          <w:color w:val="auto"/>
        </w:rPr>
        <w:instrText xml:space="preserve"> SEQ Tabela \* ARABIC </w:instrText>
      </w:r>
      <w:r w:rsidR="005B7234" w:rsidRPr="001D200B">
        <w:rPr>
          <w:color w:val="auto"/>
        </w:rPr>
        <w:fldChar w:fldCharType="separate"/>
      </w:r>
      <w:r w:rsidR="00975320" w:rsidRPr="001D200B">
        <w:rPr>
          <w:noProof/>
          <w:color w:val="auto"/>
        </w:rPr>
        <w:t>3</w:t>
      </w:r>
      <w:r w:rsidR="005B7234" w:rsidRPr="001D200B">
        <w:rPr>
          <w:color w:val="auto"/>
        </w:rPr>
        <w:fldChar w:fldCharType="end"/>
      </w:r>
      <w:r w:rsidRPr="001D200B">
        <w:rPr>
          <w:color w:val="auto"/>
        </w:rPr>
        <w:t>. Prognoza liczby ludności do 2035 roku – Gmina Połaniec</w:t>
      </w:r>
      <w:bookmarkEnd w:id="20"/>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882"/>
        <w:gridCol w:w="882"/>
        <w:gridCol w:w="882"/>
        <w:gridCol w:w="882"/>
        <w:gridCol w:w="882"/>
        <w:gridCol w:w="882"/>
        <w:gridCol w:w="882"/>
        <w:gridCol w:w="882"/>
        <w:gridCol w:w="882"/>
      </w:tblGrid>
      <w:tr w:rsidR="00C81547" w:rsidRPr="001D200B" w:rsidTr="00E0031E">
        <w:trPr>
          <w:trHeight w:val="414"/>
        </w:trPr>
        <w:tc>
          <w:tcPr>
            <w:tcW w:w="1630" w:type="dxa"/>
            <w:shd w:val="clear" w:color="auto" w:fill="F2F2F2" w:themeFill="background1" w:themeFillShade="F2"/>
            <w:vAlign w:val="center"/>
          </w:tcPr>
          <w:p w:rsidR="00C81547" w:rsidRPr="001D200B" w:rsidRDefault="00C81547" w:rsidP="00E0031E">
            <w:pPr>
              <w:spacing w:before="0" w:after="0" w:line="240" w:lineRule="auto"/>
              <w:jc w:val="center"/>
              <w:rPr>
                <w:b/>
              </w:rPr>
            </w:pPr>
            <w:r w:rsidRPr="001D200B">
              <w:rPr>
                <w:b/>
              </w:rPr>
              <w:t>Rok</w:t>
            </w:r>
          </w:p>
        </w:tc>
        <w:tc>
          <w:tcPr>
            <w:tcW w:w="882" w:type="dxa"/>
            <w:shd w:val="clear" w:color="auto" w:fill="F2F2F2" w:themeFill="background1" w:themeFillShade="F2"/>
            <w:vAlign w:val="center"/>
          </w:tcPr>
          <w:p w:rsidR="00C81547" w:rsidRPr="001D200B" w:rsidRDefault="00C81547" w:rsidP="00E0031E">
            <w:pPr>
              <w:spacing w:before="0" w:after="0" w:line="240" w:lineRule="auto"/>
              <w:jc w:val="center"/>
              <w:rPr>
                <w:b/>
              </w:rPr>
            </w:pPr>
            <w:r w:rsidRPr="001D200B">
              <w:rPr>
                <w:b/>
              </w:rPr>
              <w:t>2019</w:t>
            </w:r>
          </w:p>
        </w:tc>
        <w:tc>
          <w:tcPr>
            <w:tcW w:w="882" w:type="dxa"/>
            <w:shd w:val="clear" w:color="auto" w:fill="F2F2F2" w:themeFill="background1" w:themeFillShade="F2"/>
            <w:vAlign w:val="center"/>
          </w:tcPr>
          <w:p w:rsidR="00C81547" w:rsidRPr="001D200B" w:rsidRDefault="00C81547" w:rsidP="00E0031E">
            <w:pPr>
              <w:spacing w:before="0" w:after="0" w:line="240" w:lineRule="auto"/>
              <w:jc w:val="center"/>
              <w:rPr>
                <w:b/>
              </w:rPr>
            </w:pPr>
            <w:r w:rsidRPr="001D200B">
              <w:rPr>
                <w:b/>
              </w:rPr>
              <w:t>2020</w:t>
            </w:r>
          </w:p>
        </w:tc>
        <w:tc>
          <w:tcPr>
            <w:tcW w:w="882" w:type="dxa"/>
            <w:shd w:val="clear" w:color="auto" w:fill="F2F2F2" w:themeFill="background1" w:themeFillShade="F2"/>
            <w:vAlign w:val="center"/>
          </w:tcPr>
          <w:p w:rsidR="00C81547" w:rsidRPr="001D200B" w:rsidRDefault="00C81547" w:rsidP="00E0031E">
            <w:pPr>
              <w:spacing w:before="0" w:after="0" w:line="240" w:lineRule="auto"/>
              <w:jc w:val="center"/>
              <w:rPr>
                <w:b/>
              </w:rPr>
            </w:pPr>
            <w:r w:rsidRPr="001D200B">
              <w:rPr>
                <w:b/>
              </w:rPr>
              <w:t>2021</w:t>
            </w:r>
          </w:p>
        </w:tc>
        <w:tc>
          <w:tcPr>
            <w:tcW w:w="882" w:type="dxa"/>
            <w:shd w:val="clear" w:color="auto" w:fill="F2F2F2" w:themeFill="background1" w:themeFillShade="F2"/>
            <w:vAlign w:val="center"/>
          </w:tcPr>
          <w:p w:rsidR="00C81547" w:rsidRPr="001D200B" w:rsidRDefault="00C81547" w:rsidP="00E0031E">
            <w:pPr>
              <w:spacing w:before="0" w:after="0" w:line="240" w:lineRule="auto"/>
              <w:jc w:val="center"/>
              <w:rPr>
                <w:b/>
              </w:rPr>
            </w:pPr>
            <w:r w:rsidRPr="001D200B">
              <w:rPr>
                <w:b/>
              </w:rPr>
              <w:t>2022</w:t>
            </w:r>
          </w:p>
        </w:tc>
        <w:tc>
          <w:tcPr>
            <w:tcW w:w="882" w:type="dxa"/>
            <w:shd w:val="clear" w:color="auto" w:fill="F2F2F2" w:themeFill="background1" w:themeFillShade="F2"/>
            <w:vAlign w:val="center"/>
          </w:tcPr>
          <w:p w:rsidR="00C81547" w:rsidRPr="001D200B" w:rsidRDefault="00C81547" w:rsidP="00E0031E">
            <w:pPr>
              <w:spacing w:before="0" w:after="0" w:line="240" w:lineRule="auto"/>
              <w:jc w:val="center"/>
              <w:rPr>
                <w:b/>
              </w:rPr>
            </w:pPr>
            <w:r w:rsidRPr="001D200B">
              <w:rPr>
                <w:b/>
              </w:rPr>
              <w:t>2023</w:t>
            </w:r>
          </w:p>
        </w:tc>
        <w:tc>
          <w:tcPr>
            <w:tcW w:w="882" w:type="dxa"/>
            <w:shd w:val="clear" w:color="auto" w:fill="F2F2F2" w:themeFill="background1" w:themeFillShade="F2"/>
            <w:vAlign w:val="center"/>
          </w:tcPr>
          <w:p w:rsidR="00C81547" w:rsidRPr="001D200B" w:rsidRDefault="00C81547" w:rsidP="00E0031E">
            <w:pPr>
              <w:spacing w:before="0" w:after="0" w:line="240" w:lineRule="auto"/>
              <w:jc w:val="center"/>
              <w:rPr>
                <w:b/>
              </w:rPr>
            </w:pPr>
            <w:r w:rsidRPr="001D200B">
              <w:rPr>
                <w:b/>
              </w:rPr>
              <w:t>2024</w:t>
            </w:r>
          </w:p>
        </w:tc>
        <w:tc>
          <w:tcPr>
            <w:tcW w:w="882" w:type="dxa"/>
            <w:shd w:val="clear" w:color="auto" w:fill="F2F2F2" w:themeFill="background1" w:themeFillShade="F2"/>
            <w:vAlign w:val="center"/>
          </w:tcPr>
          <w:p w:rsidR="00C81547" w:rsidRPr="001D200B" w:rsidRDefault="00C81547" w:rsidP="00E0031E">
            <w:pPr>
              <w:spacing w:before="0" w:after="0" w:line="240" w:lineRule="auto"/>
              <w:jc w:val="center"/>
              <w:rPr>
                <w:b/>
              </w:rPr>
            </w:pPr>
            <w:r w:rsidRPr="001D200B">
              <w:rPr>
                <w:b/>
              </w:rPr>
              <w:t>2025</w:t>
            </w:r>
          </w:p>
        </w:tc>
        <w:tc>
          <w:tcPr>
            <w:tcW w:w="882" w:type="dxa"/>
            <w:shd w:val="clear" w:color="auto" w:fill="F2F2F2" w:themeFill="background1" w:themeFillShade="F2"/>
            <w:vAlign w:val="center"/>
          </w:tcPr>
          <w:p w:rsidR="00C81547" w:rsidRPr="001D200B" w:rsidRDefault="00C81547" w:rsidP="00E0031E">
            <w:pPr>
              <w:spacing w:before="0" w:after="0" w:line="240" w:lineRule="auto"/>
              <w:jc w:val="center"/>
              <w:rPr>
                <w:b/>
              </w:rPr>
            </w:pPr>
            <w:r w:rsidRPr="001D200B">
              <w:rPr>
                <w:b/>
              </w:rPr>
              <w:t>2026</w:t>
            </w:r>
          </w:p>
        </w:tc>
        <w:tc>
          <w:tcPr>
            <w:tcW w:w="882" w:type="dxa"/>
            <w:shd w:val="clear" w:color="auto" w:fill="F2F2F2" w:themeFill="background1" w:themeFillShade="F2"/>
            <w:vAlign w:val="center"/>
          </w:tcPr>
          <w:p w:rsidR="00C81547" w:rsidRPr="001D200B" w:rsidRDefault="00C81547" w:rsidP="00E0031E">
            <w:pPr>
              <w:spacing w:before="0" w:after="0" w:line="240" w:lineRule="auto"/>
              <w:jc w:val="center"/>
              <w:rPr>
                <w:b/>
              </w:rPr>
            </w:pPr>
            <w:r w:rsidRPr="001D200B">
              <w:rPr>
                <w:b/>
              </w:rPr>
              <w:t>2027</w:t>
            </w:r>
          </w:p>
        </w:tc>
      </w:tr>
      <w:tr w:rsidR="00C81547" w:rsidRPr="001D200B" w:rsidTr="00E0031E">
        <w:trPr>
          <w:trHeight w:val="796"/>
        </w:trPr>
        <w:tc>
          <w:tcPr>
            <w:tcW w:w="1630" w:type="dxa"/>
            <w:shd w:val="clear" w:color="auto" w:fill="auto"/>
            <w:vAlign w:val="center"/>
          </w:tcPr>
          <w:p w:rsidR="00C81547" w:rsidRPr="001D200B" w:rsidRDefault="00C81547" w:rsidP="00E0031E">
            <w:pPr>
              <w:spacing w:before="0" w:after="0" w:line="240" w:lineRule="auto"/>
              <w:jc w:val="center"/>
              <w:rPr>
                <w:b/>
              </w:rPr>
            </w:pPr>
            <w:r w:rsidRPr="001D200B">
              <w:rPr>
                <w:b/>
              </w:rPr>
              <w:t>Liczba ludności - prognoza</w:t>
            </w:r>
          </w:p>
        </w:tc>
        <w:tc>
          <w:tcPr>
            <w:tcW w:w="882" w:type="dxa"/>
            <w:shd w:val="clear" w:color="auto" w:fill="auto"/>
            <w:vAlign w:val="center"/>
          </w:tcPr>
          <w:p w:rsidR="00C81547" w:rsidRPr="001D200B" w:rsidRDefault="00C81547" w:rsidP="00C81547">
            <w:pPr>
              <w:spacing w:before="0" w:after="0" w:line="240" w:lineRule="auto"/>
              <w:jc w:val="center"/>
              <w:rPr>
                <w:sz w:val="22"/>
                <w:szCs w:val="22"/>
              </w:rPr>
            </w:pPr>
            <w:r w:rsidRPr="001D200B">
              <w:rPr>
                <w:sz w:val="22"/>
                <w:szCs w:val="22"/>
              </w:rPr>
              <w:t>11 793</w:t>
            </w:r>
          </w:p>
        </w:tc>
        <w:tc>
          <w:tcPr>
            <w:tcW w:w="882" w:type="dxa"/>
            <w:shd w:val="clear" w:color="auto" w:fill="auto"/>
            <w:vAlign w:val="center"/>
          </w:tcPr>
          <w:p w:rsidR="00C81547" w:rsidRPr="001D200B" w:rsidRDefault="00C81547" w:rsidP="00C81547">
            <w:pPr>
              <w:spacing w:before="0" w:after="0" w:line="240" w:lineRule="auto"/>
              <w:jc w:val="center"/>
              <w:rPr>
                <w:sz w:val="22"/>
                <w:szCs w:val="22"/>
              </w:rPr>
            </w:pPr>
            <w:r w:rsidRPr="001D200B">
              <w:rPr>
                <w:sz w:val="22"/>
                <w:szCs w:val="22"/>
              </w:rPr>
              <w:t>11 735</w:t>
            </w:r>
          </w:p>
        </w:tc>
        <w:tc>
          <w:tcPr>
            <w:tcW w:w="882" w:type="dxa"/>
            <w:shd w:val="clear" w:color="auto" w:fill="auto"/>
            <w:vAlign w:val="center"/>
          </w:tcPr>
          <w:p w:rsidR="00C81547" w:rsidRPr="001D200B" w:rsidRDefault="00C81547" w:rsidP="00C81547">
            <w:pPr>
              <w:spacing w:before="0" w:after="0" w:line="240" w:lineRule="auto"/>
              <w:jc w:val="center"/>
              <w:rPr>
                <w:sz w:val="22"/>
                <w:szCs w:val="22"/>
              </w:rPr>
            </w:pPr>
            <w:r w:rsidRPr="001D200B">
              <w:rPr>
                <w:sz w:val="22"/>
                <w:szCs w:val="22"/>
              </w:rPr>
              <w:t>11 677</w:t>
            </w:r>
          </w:p>
        </w:tc>
        <w:tc>
          <w:tcPr>
            <w:tcW w:w="882" w:type="dxa"/>
            <w:shd w:val="clear" w:color="auto" w:fill="auto"/>
            <w:vAlign w:val="center"/>
          </w:tcPr>
          <w:p w:rsidR="00C81547" w:rsidRPr="001D200B" w:rsidRDefault="00C81547" w:rsidP="00C81547">
            <w:pPr>
              <w:spacing w:before="0" w:after="0" w:line="240" w:lineRule="auto"/>
              <w:jc w:val="center"/>
              <w:rPr>
                <w:sz w:val="22"/>
                <w:szCs w:val="22"/>
              </w:rPr>
            </w:pPr>
            <w:r w:rsidRPr="001D200B">
              <w:rPr>
                <w:sz w:val="22"/>
                <w:szCs w:val="22"/>
              </w:rPr>
              <w:t>11 612</w:t>
            </w:r>
          </w:p>
        </w:tc>
        <w:tc>
          <w:tcPr>
            <w:tcW w:w="882" w:type="dxa"/>
            <w:shd w:val="clear" w:color="auto" w:fill="auto"/>
            <w:vAlign w:val="center"/>
          </w:tcPr>
          <w:p w:rsidR="00C81547" w:rsidRPr="001D200B" w:rsidRDefault="00C81547" w:rsidP="00C81547">
            <w:pPr>
              <w:spacing w:before="0" w:after="0" w:line="240" w:lineRule="auto"/>
              <w:jc w:val="center"/>
              <w:rPr>
                <w:sz w:val="22"/>
                <w:szCs w:val="22"/>
              </w:rPr>
            </w:pPr>
            <w:r w:rsidRPr="001D200B">
              <w:rPr>
                <w:sz w:val="22"/>
                <w:szCs w:val="22"/>
              </w:rPr>
              <w:t>11 548</w:t>
            </w:r>
          </w:p>
        </w:tc>
        <w:tc>
          <w:tcPr>
            <w:tcW w:w="882" w:type="dxa"/>
            <w:shd w:val="clear" w:color="auto" w:fill="auto"/>
            <w:vAlign w:val="center"/>
          </w:tcPr>
          <w:p w:rsidR="00C81547" w:rsidRPr="001D200B" w:rsidRDefault="00C81547" w:rsidP="00C81547">
            <w:pPr>
              <w:spacing w:before="0" w:after="0" w:line="240" w:lineRule="auto"/>
              <w:jc w:val="center"/>
              <w:rPr>
                <w:sz w:val="22"/>
                <w:szCs w:val="22"/>
              </w:rPr>
            </w:pPr>
            <w:r w:rsidRPr="001D200B">
              <w:rPr>
                <w:sz w:val="22"/>
                <w:szCs w:val="22"/>
              </w:rPr>
              <w:t>11 481</w:t>
            </w:r>
          </w:p>
        </w:tc>
        <w:tc>
          <w:tcPr>
            <w:tcW w:w="882" w:type="dxa"/>
            <w:shd w:val="clear" w:color="auto" w:fill="auto"/>
            <w:vAlign w:val="center"/>
          </w:tcPr>
          <w:p w:rsidR="00C81547" w:rsidRPr="001D200B" w:rsidRDefault="00C81547" w:rsidP="00C81547">
            <w:pPr>
              <w:spacing w:before="0" w:after="0" w:line="240" w:lineRule="auto"/>
              <w:jc w:val="center"/>
              <w:rPr>
                <w:sz w:val="22"/>
                <w:szCs w:val="22"/>
              </w:rPr>
            </w:pPr>
            <w:r w:rsidRPr="001D200B">
              <w:rPr>
                <w:sz w:val="22"/>
                <w:szCs w:val="22"/>
              </w:rPr>
              <w:t>11 410</w:t>
            </w:r>
          </w:p>
        </w:tc>
        <w:tc>
          <w:tcPr>
            <w:tcW w:w="882" w:type="dxa"/>
            <w:tcBorders>
              <w:bottom w:val="single" w:sz="4" w:space="0" w:color="auto"/>
            </w:tcBorders>
            <w:vAlign w:val="center"/>
          </w:tcPr>
          <w:p w:rsidR="00C81547" w:rsidRPr="001D200B" w:rsidRDefault="00C81547" w:rsidP="00C81547">
            <w:pPr>
              <w:spacing w:before="0" w:after="0" w:line="240" w:lineRule="auto"/>
              <w:jc w:val="center"/>
              <w:rPr>
                <w:sz w:val="22"/>
                <w:szCs w:val="22"/>
              </w:rPr>
            </w:pPr>
            <w:r w:rsidRPr="001D200B">
              <w:rPr>
                <w:sz w:val="22"/>
                <w:szCs w:val="22"/>
              </w:rPr>
              <w:t>11 336</w:t>
            </w:r>
          </w:p>
        </w:tc>
        <w:tc>
          <w:tcPr>
            <w:tcW w:w="882" w:type="dxa"/>
            <w:tcBorders>
              <w:bottom w:val="single" w:sz="4" w:space="0" w:color="auto"/>
            </w:tcBorders>
            <w:vAlign w:val="center"/>
          </w:tcPr>
          <w:p w:rsidR="00C81547" w:rsidRPr="001D200B" w:rsidRDefault="00C81547" w:rsidP="00C81547">
            <w:pPr>
              <w:spacing w:before="0" w:after="0" w:line="240" w:lineRule="auto"/>
              <w:jc w:val="center"/>
              <w:rPr>
                <w:sz w:val="22"/>
                <w:szCs w:val="22"/>
              </w:rPr>
            </w:pPr>
            <w:r w:rsidRPr="001D200B">
              <w:rPr>
                <w:sz w:val="22"/>
                <w:szCs w:val="22"/>
              </w:rPr>
              <w:t>11 257</w:t>
            </w:r>
          </w:p>
        </w:tc>
      </w:tr>
      <w:tr w:rsidR="00C81547" w:rsidRPr="001D200B" w:rsidTr="00E0031E">
        <w:trPr>
          <w:trHeight w:val="460"/>
        </w:trPr>
        <w:tc>
          <w:tcPr>
            <w:tcW w:w="1630" w:type="dxa"/>
            <w:shd w:val="clear" w:color="auto" w:fill="F2F2F2" w:themeFill="background1" w:themeFillShade="F2"/>
            <w:vAlign w:val="center"/>
          </w:tcPr>
          <w:p w:rsidR="00C81547" w:rsidRPr="001D200B" w:rsidRDefault="00C81547" w:rsidP="00E0031E">
            <w:pPr>
              <w:spacing w:before="0" w:after="0" w:line="240" w:lineRule="auto"/>
              <w:jc w:val="center"/>
              <w:rPr>
                <w:b/>
              </w:rPr>
            </w:pPr>
            <w:r w:rsidRPr="001D200B">
              <w:rPr>
                <w:b/>
              </w:rPr>
              <w:t>Rok</w:t>
            </w:r>
          </w:p>
        </w:tc>
        <w:tc>
          <w:tcPr>
            <w:tcW w:w="882" w:type="dxa"/>
            <w:shd w:val="clear" w:color="auto" w:fill="F2F2F2" w:themeFill="background1" w:themeFillShade="F2"/>
            <w:vAlign w:val="center"/>
          </w:tcPr>
          <w:p w:rsidR="00C81547" w:rsidRPr="001D200B" w:rsidRDefault="00C81547" w:rsidP="00E0031E">
            <w:pPr>
              <w:spacing w:before="0" w:after="0" w:line="240" w:lineRule="auto"/>
              <w:jc w:val="center"/>
              <w:rPr>
                <w:b/>
              </w:rPr>
            </w:pPr>
            <w:r w:rsidRPr="001D200B">
              <w:rPr>
                <w:b/>
              </w:rPr>
              <w:t>2028</w:t>
            </w:r>
          </w:p>
        </w:tc>
        <w:tc>
          <w:tcPr>
            <w:tcW w:w="882" w:type="dxa"/>
            <w:shd w:val="clear" w:color="auto" w:fill="F2F2F2" w:themeFill="background1" w:themeFillShade="F2"/>
            <w:vAlign w:val="center"/>
          </w:tcPr>
          <w:p w:rsidR="00C81547" w:rsidRPr="001D200B" w:rsidRDefault="00C81547" w:rsidP="00E0031E">
            <w:pPr>
              <w:spacing w:before="0" w:after="0" w:line="240" w:lineRule="auto"/>
              <w:jc w:val="center"/>
              <w:rPr>
                <w:b/>
              </w:rPr>
            </w:pPr>
            <w:r w:rsidRPr="001D200B">
              <w:rPr>
                <w:b/>
              </w:rPr>
              <w:t>2029</w:t>
            </w:r>
          </w:p>
        </w:tc>
        <w:tc>
          <w:tcPr>
            <w:tcW w:w="882" w:type="dxa"/>
            <w:shd w:val="clear" w:color="auto" w:fill="F2F2F2" w:themeFill="background1" w:themeFillShade="F2"/>
            <w:vAlign w:val="center"/>
          </w:tcPr>
          <w:p w:rsidR="00C81547" w:rsidRPr="001D200B" w:rsidRDefault="00C81547" w:rsidP="00E0031E">
            <w:pPr>
              <w:spacing w:before="0" w:after="0" w:line="240" w:lineRule="auto"/>
              <w:jc w:val="center"/>
              <w:rPr>
                <w:b/>
              </w:rPr>
            </w:pPr>
            <w:r w:rsidRPr="001D200B">
              <w:rPr>
                <w:b/>
              </w:rPr>
              <w:t>2030</w:t>
            </w:r>
          </w:p>
        </w:tc>
        <w:tc>
          <w:tcPr>
            <w:tcW w:w="882" w:type="dxa"/>
            <w:shd w:val="clear" w:color="auto" w:fill="F2F2F2" w:themeFill="background1" w:themeFillShade="F2"/>
            <w:vAlign w:val="center"/>
          </w:tcPr>
          <w:p w:rsidR="00C81547" w:rsidRPr="001D200B" w:rsidRDefault="00C81547" w:rsidP="00E0031E">
            <w:pPr>
              <w:spacing w:before="0" w:after="0" w:line="240" w:lineRule="auto"/>
              <w:jc w:val="center"/>
              <w:rPr>
                <w:b/>
              </w:rPr>
            </w:pPr>
            <w:r w:rsidRPr="001D200B">
              <w:rPr>
                <w:b/>
              </w:rPr>
              <w:t>2031</w:t>
            </w:r>
          </w:p>
        </w:tc>
        <w:tc>
          <w:tcPr>
            <w:tcW w:w="882" w:type="dxa"/>
            <w:shd w:val="clear" w:color="auto" w:fill="F2F2F2" w:themeFill="background1" w:themeFillShade="F2"/>
            <w:vAlign w:val="center"/>
          </w:tcPr>
          <w:p w:rsidR="00C81547" w:rsidRPr="001D200B" w:rsidRDefault="00C81547" w:rsidP="00E0031E">
            <w:pPr>
              <w:spacing w:before="0" w:after="0" w:line="240" w:lineRule="auto"/>
              <w:jc w:val="center"/>
              <w:rPr>
                <w:b/>
              </w:rPr>
            </w:pPr>
            <w:r w:rsidRPr="001D200B">
              <w:rPr>
                <w:b/>
              </w:rPr>
              <w:t>2032</w:t>
            </w:r>
          </w:p>
        </w:tc>
        <w:tc>
          <w:tcPr>
            <w:tcW w:w="882" w:type="dxa"/>
            <w:shd w:val="clear" w:color="auto" w:fill="F2F2F2" w:themeFill="background1" w:themeFillShade="F2"/>
            <w:vAlign w:val="center"/>
          </w:tcPr>
          <w:p w:rsidR="00C81547" w:rsidRPr="001D200B" w:rsidRDefault="00C81547" w:rsidP="00E0031E">
            <w:pPr>
              <w:spacing w:before="0" w:after="0" w:line="240" w:lineRule="auto"/>
              <w:jc w:val="center"/>
              <w:rPr>
                <w:b/>
              </w:rPr>
            </w:pPr>
            <w:r w:rsidRPr="001D200B">
              <w:rPr>
                <w:b/>
              </w:rPr>
              <w:t>2033</w:t>
            </w:r>
          </w:p>
        </w:tc>
        <w:tc>
          <w:tcPr>
            <w:tcW w:w="882" w:type="dxa"/>
            <w:shd w:val="clear" w:color="auto" w:fill="F2F2F2" w:themeFill="background1" w:themeFillShade="F2"/>
            <w:vAlign w:val="center"/>
          </w:tcPr>
          <w:p w:rsidR="00C81547" w:rsidRPr="001D200B" w:rsidRDefault="00C81547" w:rsidP="00E0031E">
            <w:pPr>
              <w:spacing w:before="0" w:after="0" w:line="240" w:lineRule="auto"/>
              <w:jc w:val="center"/>
              <w:rPr>
                <w:b/>
              </w:rPr>
            </w:pPr>
            <w:r w:rsidRPr="001D200B">
              <w:rPr>
                <w:b/>
              </w:rPr>
              <w:t>2034</w:t>
            </w:r>
          </w:p>
        </w:tc>
        <w:tc>
          <w:tcPr>
            <w:tcW w:w="882" w:type="dxa"/>
            <w:tcBorders>
              <w:bottom w:val="single" w:sz="4" w:space="0" w:color="auto"/>
              <w:tl2br w:val="nil"/>
              <w:tr2bl w:val="nil"/>
            </w:tcBorders>
            <w:shd w:val="clear" w:color="auto" w:fill="F2F2F2" w:themeFill="background1" w:themeFillShade="F2"/>
            <w:vAlign w:val="center"/>
          </w:tcPr>
          <w:p w:rsidR="00C81547" w:rsidRPr="001D200B" w:rsidRDefault="00C81547" w:rsidP="00E0031E">
            <w:pPr>
              <w:spacing w:before="0" w:after="0" w:line="240" w:lineRule="auto"/>
              <w:jc w:val="center"/>
              <w:rPr>
                <w:b/>
              </w:rPr>
            </w:pPr>
            <w:r w:rsidRPr="001D200B">
              <w:rPr>
                <w:b/>
              </w:rPr>
              <w:t>2035</w:t>
            </w:r>
          </w:p>
        </w:tc>
        <w:tc>
          <w:tcPr>
            <w:tcW w:w="882" w:type="dxa"/>
            <w:tcBorders>
              <w:tl2br w:val="single" w:sz="4" w:space="0" w:color="auto"/>
              <w:tr2bl w:val="single" w:sz="4" w:space="0" w:color="auto"/>
            </w:tcBorders>
            <w:shd w:val="clear" w:color="auto" w:fill="F2F2F2" w:themeFill="background1" w:themeFillShade="F2"/>
          </w:tcPr>
          <w:p w:rsidR="00C81547" w:rsidRPr="001D200B" w:rsidRDefault="00C81547" w:rsidP="00E0031E">
            <w:pPr>
              <w:spacing w:before="0" w:after="0" w:line="240" w:lineRule="auto"/>
              <w:jc w:val="center"/>
              <w:rPr>
                <w:b/>
              </w:rPr>
            </w:pPr>
          </w:p>
        </w:tc>
      </w:tr>
      <w:tr w:rsidR="00C81547" w:rsidRPr="001D200B" w:rsidTr="00E0031E">
        <w:trPr>
          <w:trHeight w:val="796"/>
        </w:trPr>
        <w:tc>
          <w:tcPr>
            <w:tcW w:w="1630" w:type="dxa"/>
            <w:shd w:val="clear" w:color="auto" w:fill="auto"/>
            <w:vAlign w:val="center"/>
          </w:tcPr>
          <w:p w:rsidR="00C81547" w:rsidRPr="001D200B" w:rsidRDefault="00C81547" w:rsidP="00E0031E">
            <w:pPr>
              <w:spacing w:before="0" w:after="0" w:line="240" w:lineRule="auto"/>
              <w:jc w:val="center"/>
              <w:rPr>
                <w:b/>
              </w:rPr>
            </w:pPr>
            <w:r w:rsidRPr="001D200B">
              <w:rPr>
                <w:b/>
              </w:rPr>
              <w:t>Liczba ludności - prognoza</w:t>
            </w:r>
          </w:p>
        </w:tc>
        <w:tc>
          <w:tcPr>
            <w:tcW w:w="882" w:type="dxa"/>
            <w:shd w:val="clear" w:color="auto" w:fill="auto"/>
            <w:vAlign w:val="center"/>
          </w:tcPr>
          <w:p w:rsidR="00C81547" w:rsidRPr="001D200B" w:rsidRDefault="00C81547" w:rsidP="00C81547">
            <w:pPr>
              <w:spacing w:before="0" w:after="0" w:line="240" w:lineRule="auto"/>
              <w:jc w:val="center"/>
              <w:rPr>
                <w:sz w:val="22"/>
                <w:szCs w:val="22"/>
              </w:rPr>
            </w:pPr>
            <w:r w:rsidRPr="001D200B">
              <w:rPr>
                <w:sz w:val="22"/>
                <w:szCs w:val="22"/>
              </w:rPr>
              <w:t>11 171</w:t>
            </w:r>
          </w:p>
        </w:tc>
        <w:tc>
          <w:tcPr>
            <w:tcW w:w="882" w:type="dxa"/>
            <w:shd w:val="clear" w:color="auto" w:fill="auto"/>
            <w:vAlign w:val="center"/>
          </w:tcPr>
          <w:p w:rsidR="00C81547" w:rsidRPr="001D200B" w:rsidRDefault="00C81547" w:rsidP="00C81547">
            <w:pPr>
              <w:spacing w:before="0" w:after="0" w:line="240" w:lineRule="auto"/>
              <w:jc w:val="center"/>
              <w:rPr>
                <w:sz w:val="22"/>
                <w:szCs w:val="22"/>
              </w:rPr>
            </w:pPr>
            <w:r w:rsidRPr="001D200B">
              <w:rPr>
                <w:sz w:val="22"/>
                <w:szCs w:val="22"/>
              </w:rPr>
              <w:t>11 082</w:t>
            </w:r>
          </w:p>
        </w:tc>
        <w:tc>
          <w:tcPr>
            <w:tcW w:w="882" w:type="dxa"/>
            <w:shd w:val="clear" w:color="auto" w:fill="auto"/>
            <w:vAlign w:val="center"/>
          </w:tcPr>
          <w:p w:rsidR="00C81547" w:rsidRPr="001D200B" w:rsidRDefault="00C81547" w:rsidP="00C81547">
            <w:pPr>
              <w:spacing w:before="0" w:after="0" w:line="240" w:lineRule="auto"/>
              <w:jc w:val="center"/>
              <w:rPr>
                <w:sz w:val="22"/>
                <w:szCs w:val="22"/>
              </w:rPr>
            </w:pPr>
            <w:r w:rsidRPr="001D200B">
              <w:rPr>
                <w:sz w:val="22"/>
                <w:szCs w:val="22"/>
              </w:rPr>
              <w:t>10 988</w:t>
            </w:r>
          </w:p>
        </w:tc>
        <w:tc>
          <w:tcPr>
            <w:tcW w:w="882" w:type="dxa"/>
            <w:shd w:val="clear" w:color="auto" w:fill="auto"/>
            <w:vAlign w:val="center"/>
          </w:tcPr>
          <w:p w:rsidR="00C81547" w:rsidRPr="001D200B" w:rsidRDefault="00C81547" w:rsidP="00C81547">
            <w:pPr>
              <w:spacing w:before="0" w:after="0" w:line="240" w:lineRule="auto"/>
              <w:jc w:val="center"/>
              <w:rPr>
                <w:sz w:val="22"/>
                <w:szCs w:val="22"/>
              </w:rPr>
            </w:pPr>
            <w:r w:rsidRPr="001D200B">
              <w:rPr>
                <w:sz w:val="22"/>
                <w:szCs w:val="22"/>
              </w:rPr>
              <w:t>10 925</w:t>
            </w:r>
          </w:p>
        </w:tc>
        <w:tc>
          <w:tcPr>
            <w:tcW w:w="882" w:type="dxa"/>
            <w:shd w:val="clear" w:color="auto" w:fill="auto"/>
            <w:vAlign w:val="center"/>
          </w:tcPr>
          <w:p w:rsidR="00C81547" w:rsidRPr="001D200B" w:rsidRDefault="00C81547" w:rsidP="00C81547">
            <w:pPr>
              <w:spacing w:before="0" w:after="0" w:line="240" w:lineRule="auto"/>
              <w:jc w:val="center"/>
              <w:rPr>
                <w:sz w:val="22"/>
                <w:szCs w:val="22"/>
              </w:rPr>
            </w:pPr>
            <w:r w:rsidRPr="001D200B">
              <w:rPr>
                <w:sz w:val="22"/>
                <w:szCs w:val="22"/>
              </w:rPr>
              <w:t>10 871</w:t>
            </w:r>
          </w:p>
        </w:tc>
        <w:tc>
          <w:tcPr>
            <w:tcW w:w="882" w:type="dxa"/>
            <w:shd w:val="clear" w:color="auto" w:fill="auto"/>
            <w:vAlign w:val="center"/>
          </w:tcPr>
          <w:p w:rsidR="00C81547" w:rsidRPr="001D200B" w:rsidRDefault="00C81547" w:rsidP="00C81547">
            <w:pPr>
              <w:spacing w:before="0" w:after="0" w:line="240" w:lineRule="auto"/>
              <w:jc w:val="center"/>
              <w:rPr>
                <w:sz w:val="22"/>
                <w:szCs w:val="22"/>
              </w:rPr>
            </w:pPr>
            <w:r w:rsidRPr="001D200B">
              <w:rPr>
                <w:sz w:val="22"/>
                <w:szCs w:val="22"/>
              </w:rPr>
              <w:t>10 814</w:t>
            </w:r>
          </w:p>
        </w:tc>
        <w:tc>
          <w:tcPr>
            <w:tcW w:w="882" w:type="dxa"/>
            <w:shd w:val="clear" w:color="auto" w:fill="auto"/>
            <w:vAlign w:val="center"/>
          </w:tcPr>
          <w:p w:rsidR="00C81547" w:rsidRPr="001D200B" w:rsidRDefault="00C81547" w:rsidP="00C81547">
            <w:pPr>
              <w:spacing w:before="0" w:after="0" w:line="240" w:lineRule="auto"/>
              <w:jc w:val="center"/>
              <w:rPr>
                <w:sz w:val="22"/>
                <w:szCs w:val="22"/>
              </w:rPr>
            </w:pPr>
            <w:r w:rsidRPr="001D200B">
              <w:rPr>
                <w:sz w:val="22"/>
                <w:szCs w:val="22"/>
              </w:rPr>
              <w:t>10 760</w:t>
            </w:r>
          </w:p>
        </w:tc>
        <w:tc>
          <w:tcPr>
            <w:tcW w:w="882" w:type="dxa"/>
            <w:tcBorders>
              <w:tl2br w:val="nil"/>
              <w:tr2bl w:val="nil"/>
            </w:tcBorders>
            <w:shd w:val="clear" w:color="auto" w:fill="auto"/>
            <w:vAlign w:val="center"/>
          </w:tcPr>
          <w:p w:rsidR="00C81547" w:rsidRPr="001D200B" w:rsidRDefault="00C81547" w:rsidP="00C81547">
            <w:pPr>
              <w:spacing w:before="0" w:after="0" w:line="240" w:lineRule="auto"/>
              <w:jc w:val="center"/>
              <w:rPr>
                <w:sz w:val="22"/>
                <w:szCs w:val="22"/>
              </w:rPr>
            </w:pPr>
            <w:r w:rsidRPr="001D200B">
              <w:rPr>
                <w:sz w:val="22"/>
                <w:szCs w:val="22"/>
              </w:rPr>
              <w:t>10 710</w:t>
            </w:r>
          </w:p>
        </w:tc>
        <w:tc>
          <w:tcPr>
            <w:tcW w:w="882" w:type="dxa"/>
            <w:tcBorders>
              <w:tl2br w:val="single" w:sz="4" w:space="0" w:color="auto"/>
              <w:tr2bl w:val="single" w:sz="4" w:space="0" w:color="auto"/>
            </w:tcBorders>
            <w:shd w:val="clear" w:color="auto" w:fill="F2F2F2" w:themeFill="background1" w:themeFillShade="F2"/>
          </w:tcPr>
          <w:p w:rsidR="00C81547" w:rsidRPr="001D200B" w:rsidRDefault="00C81547" w:rsidP="00E0031E">
            <w:pPr>
              <w:spacing w:before="0" w:after="0" w:line="240" w:lineRule="auto"/>
            </w:pPr>
          </w:p>
        </w:tc>
      </w:tr>
    </w:tbl>
    <w:p w:rsidR="00981416" w:rsidRPr="001D200B" w:rsidRDefault="00C81547" w:rsidP="00C81547">
      <w:pPr>
        <w:pStyle w:val="podtabelk"/>
        <w:rPr>
          <w:rFonts w:cstheme="minorHAnsi"/>
          <w:highlight w:val="yellow"/>
        </w:rPr>
      </w:pPr>
      <w:r w:rsidRPr="001D200B">
        <w:t xml:space="preserve">* źródło: Prognoza ludności gmin na lata 2017-2030, </w:t>
      </w:r>
      <w:hyperlink r:id="rId39" w:history="1">
        <w:r w:rsidRPr="001D200B">
          <w:rPr>
            <w:rStyle w:val="Hipercze"/>
            <w:rFonts w:asciiTheme="minorHAnsi" w:hAnsiTheme="minorHAnsi" w:cstheme="minorHAnsi"/>
            <w:color w:val="auto"/>
          </w:rPr>
          <w:t>www.stat.gov.pl</w:t>
        </w:r>
      </w:hyperlink>
      <w:r w:rsidRPr="001D200B">
        <w:t>, obliczenia własne</w:t>
      </w:r>
    </w:p>
    <w:p w:rsidR="00AF334A" w:rsidRPr="001D200B" w:rsidRDefault="00AF334A" w:rsidP="00AF334A">
      <w:pPr>
        <w:pStyle w:val="Nagwek2"/>
        <w:rPr>
          <w:rFonts w:cstheme="minorHAnsi"/>
        </w:rPr>
      </w:pPr>
      <w:bookmarkStart w:id="21" w:name="_Toc31972816"/>
      <w:r w:rsidRPr="001D200B">
        <w:rPr>
          <w:rFonts w:cstheme="minorHAnsi"/>
        </w:rPr>
        <w:lastRenderedPageBreak/>
        <w:t xml:space="preserve">3. </w:t>
      </w:r>
      <w:r w:rsidR="002E63AB" w:rsidRPr="001D200B">
        <w:rPr>
          <w:rFonts w:cstheme="minorHAnsi"/>
        </w:rPr>
        <w:t>Infrastruktura budowlana</w:t>
      </w:r>
      <w:bookmarkEnd w:id="21"/>
    </w:p>
    <w:p w:rsidR="00305B24" w:rsidRPr="001D200B" w:rsidRDefault="00FC6E83" w:rsidP="004F26F2">
      <w:pPr>
        <w:rPr>
          <w:rFonts w:cstheme="minorHAnsi"/>
        </w:rPr>
      </w:pPr>
      <w:r w:rsidRPr="001D200B">
        <w:rPr>
          <w:rFonts w:cstheme="minorHAnsi"/>
        </w:rPr>
        <w:t xml:space="preserve">Gmina Połaniec </w:t>
      </w:r>
      <w:r w:rsidR="00D36336" w:rsidRPr="001D200B">
        <w:rPr>
          <w:rFonts w:cstheme="minorHAnsi"/>
        </w:rPr>
        <w:t>skupia na s</w:t>
      </w:r>
      <w:r w:rsidRPr="001D200B">
        <w:rPr>
          <w:rFonts w:cstheme="minorHAnsi"/>
        </w:rPr>
        <w:t>w</w:t>
      </w:r>
      <w:r w:rsidR="00635EB0" w:rsidRPr="001D200B">
        <w:rPr>
          <w:rFonts w:cstheme="minorHAnsi"/>
        </w:rPr>
        <w:t>oim</w:t>
      </w:r>
      <w:r w:rsidRPr="001D200B">
        <w:rPr>
          <w:rFonts w:cstheme="minorHAnsi"/>
        </w:rPr>
        <w:t xml:space="preserve"> terenie </w:t>
      </w:r>
      <w:r w:rsidR="00305B24" w:rsidRPr="001D200B">
        <w:rPr>
          <w:rFonts w:cstheme="minorHAnsi"/>
        </w:rPr>
        <w:t xml:space="preserve">placówki usługowe, obiekty administracji publicznej, </w:t>
      </w:r>
      <w:r w:rsidR="00210485" w:rsidRPr="001D200B">
        <w:rPr>
          <w:rFonts w:cstheme="minorHAnsi"/>
        </w:rPr>
        <w:t>tereny</w:t>
      </w:r>
      <w:r w:rsidR="00D36336" w:rsidRPr="001D200B">
        <w:rPr>
          <w:rFonts w:cstheme="minorHAnsi"/>
        </w:rPr>
        <w:t xml:space="preserve"> pr</w:t>
      </w:r>
      <w:r w:rsidR="00210485" w:rsidRPr="001D200B">
        <w:rPr>
          <w:rFonts w:cstheme="minorHAnsi"/>
        </w:rPr>
        <w:t>z</w:t>
      </w:r>
      <w:r w:rsidR="00D36336" w:rsidRPr="001D200B">
        <w:rPr>
          <w:rFonts w:cstheme="minorHAnsi"/>
        </w:rPr>
        <w:t>em</w:t>
      </w:r>
      <w:r w:rsidR="00210485" w:rsidRPr="001D200B">
        <w:rPr>
          <w:rFonts w:cstheme="minorHAnsi"/>
        </w:rPr>
        <w:t>y</w:t>
      </w:r>
      <w:r w:rsidR="00D36336" w:rsidRPr="001D200B">
        <w:rPr>
          <w:rFonts w:cstheme="minorHAnsi"/>
        </w:rPr>
        <w:t>s</w:t>
      </w:r>
      <w:r w:rsidR="00210485" w:rsidRPr="001D200B">
        <w:rPr>
          <w:rFonts w:cstheme="minorHAnsi"/>
        </w:rPr>
        <w:t>ł</w:t>
      </w:r>
      <w:r w:rsidR="00D36336" w:rsidRPr="001D200B">
        <w:rPr>
          <w:rFonts w:cstheme="minorHAnsi"/>
        </w:rPr>
        <w:t xml:space="preserve">owe </w:t>
      </w:r>
      <w:r w:rsidR="00305B24" w:rsidRPr="001D200B">
        <w:rPr>
          <w:rFonts w:cstheme="minorHAnsi"/>
        </w:rPr>
        <w:t xml:space="preserve">oraz </w:t>
      </w:r>
      <w:r w:rsidR="00210485" w:rsidRPr="001D200B">
        <w:rPr>
          <w:rFonts w:cstheme="minorHAnsi"/>
        </w:rPr>
        <w:t>zabudow</w:t>
      </w:r>
      <w:r w:rsidR="00305B24" w:rsidRPr="001D200B">
        <w:rPr>
          <w:rFonts w:cstheme="minorHAnsi"/>
        </w:rPr>
        <w:t>ę</w:t>
      </w:r>
      <w:r w:rsidR="00210485" w:rsidRPr="001D200B">
        <w:rPr>
          <w:rFonts w:cstheme="minorHAnsi"/>
        </w:rPr>
        <w:t xml:space="preserve"> mieszkaniow</w:t>
      </w:r>
      <w:r w:rsidR="00305B24" w:rsidRPr="001D200B">
        <w:rPr>
          <w:rFonts w:cstheme="minorHAnsi"/>
        </w:rPr>
        <w:t>ą.</w:t>
      </w:r>
      <w:r w:rsidR="00210485" w:rsidRPr="001D200B">
        <w:rPr>
          <w:rFonts w:cstheme="minorHAnsi"/>
        </w:rPr>
        <w:t xml:space="preserve"> </w:t>
      </w:r>
      <w:r w:rsidR="002A1BFB" w:rsidRPr="001D200B">
        <w:rPr>
          <w:rFonts w:cstheme="minorHAnsi"/>
        </w:rPr>
        <w:t>W strukturze funkcjonalno – przestrzennej zagospodarowania terenu, zgodnie ze studium uwarunkowań i</w:t>
      </w:r>
      <w:r w:rsidR="00305B24" w:rsidRPr="001D200B">
        <w:rPr>
          <w:rFonts w:cstheme="minorHAnsi"/>
        </w:rPr>
        <w:t xml:space="preserve"> </w:t>
      </w:r>
      <w:r w:rsidR="002A1BFB" w:rsidRPr="001D200B">
        <w:rPr>
          <w:rFonts w:cstheme="minorHAnsi"/>
        </w:rPr>
        <w:t>kierunków zagospodarowania przestrzennego</w:t>
      </w:r>
      <w:r w:rsidR="00635EB0" w:rsidRPr="001D200B">
        <w:rPr>
          <w:rFonts w:cstheme="minorHAnsi"/>
        </w:rPr>
        <w:t xml:space="preserve"> gmin</w:t>
      </w:r>
      <w:r w:rsidR="002A1BFB" w:rsidRPr="001D200B">
        <w:rPr>
          <w:rFonts w:cstheme="minorHAnsi"/>
        </w:rPr>
        <w:t xml:space="preserve">, </w:t>
      </w:r>
      <w:r w:rsidR="00635EB0" w:rsidRPr="001D200B">
        <w:rPr>
          <w:rFonts w:cstheme="minorHAnsi"/>
        </w:rPr>
        <w:t>wyróżnia się:</w:t>
      </w:r>
    </w:p>
    <w:p w:rsidR="00305B24" w:rsidRPr="001D200B" w:rsidRDefault="00635EB0" w:rsidP="00F21741">
      <w:pPr>
        <w:pStyle w:val="Punktatory1"/>
      </w:pPr>
      <w:r w:rsidRPr="001D200B">
        <w:t>stref</w:t>
      </w:r>
      <w:r w:rsidR="00512D08" w:rsidRPr="001D200B">
        <w:t>y</w:t>
      </w:r>
      <w:r w:rsidRPr="001D200B">
        <w:t xml:space="preserve"> osadniczo – </w:t>
      </w:r>
      <w:r w:rsidR="00512D08" w:rsidRPr="001D200B">
        <w:t>miejskie</w:t>
      </w:r>
      <w:r w:rsidR="009A660F" w:rsidRPr="001D200B">
        <w:t xml:space="preserve"> - </w:t>
      </w:r>
      <w:r w:rsidR="00EE3B2D" w:rsidRPr="001D200B">
        <w:t>związane z rozwojem miasta, w</w:t>
      </w:r>
      <w:r w:rsidR="00BC26BB" w:rsidRPr="001D200B">
        <w:t xml:space="preserve"> </w:t>
      </w:r>
      <w:r w:rsidR="00EE3B2D" w:rsidRPr="001D200B">
        <w:t xml:space="preserve">tym tereny obecnej zabudowy oraz tereny rozwojowe funkcji mieszkaniowo </w:t>
      </w:r>
      <w:r w:rsidR="00A40A1C" w:rsidRPr="001D200B">
        <w:t>– usługowej</w:t>
      </w:r>
      <w:r w:rsidR="00512D08" w:rsidRPr="001D200B">
        <w:t>,</w:t>
      </w:r>
    </w:p>
    <w:p w:rsidR="009A660F" w:rsidRPr="001D200B" w:rsidRDefault="009A660F" w:rsidP="00F21741">
      <w:pPr>
        <w:pStyle w:val="Punktatory1"/>
      </w:pPr>
      <w:r w:rsidRPr="001D200B">
        <w:t>stref</w:t>
      </w:r>
      <w:r w:rsidR="00512D08" w:rsidRPr="001D200B">
        <w:t>y</w:t>
      </w:r>
      <w:r w:rsidRPr="001D200B">
        <w:t xml:space="preserve"> rolniczo - osadnicz</w:t>
      </w:r>
      <w:r w:rsidR="00512D08" w:rsidRPr="001D200B">
        <w:t>e</w:t>
      </w:r>
      <w:r w:rsidRPr="001D200B">
        <w:t xml:space="preserve"> - obejmuj</w:t>
      </w:r>
      <w:r w:rsidR="00512D08" w:rsidRPr="001D200B">
        <w:t>ące</w:t>
      </w:r>
      <w:r w:rsidRPr="001D200B">
        <w:t xml:space="preserve"> tereny rolne i zabudowy wsi</w:t>
      </w:r>
      <w:r w:rsidR="00512D08" w:rsidRPr="001D200B">
        <w:t>,</w:t>
      </w:r>
    </w:p>
    <w:p w:rsidR="009A660F" w:rsidRPr="001D200B" w:rsidRDefault="002E4E96" w:rsidP="00F21741">
      <w:pPr>
        <w:pStyle w:val="Punktatory1"/>
      </w:pPr>
      <w:r w:rsidRPr="001D200B">
        <w:t>stref</w:t>
      </w:r>
      <w:r w:rsidR="00512D08" w:rsidRPr="001D200B">
        <w:t>y</w:t>
      </w:r>
      <w:r w:rsidRPr="001D200B">
        <w:t xml:space="preserve"> przemysłow</w:t>
      </w:r>
      <w:r w:rsidR="00512D08" w:rsidRPr="001D200B">
        <w:t>e</w:t>
      </w:r>
    </w:p>
    <w:p w:rsidR="007E39BC" w:rsidRPr="001D200B" w:rsidRDefault="00A40A1C" w:rsidP="00F21741">
      <w:pPr>
        <w:pStyle w:val="Punktatory1"/>
      </w:pPr>
      <w:r w:rsidRPr="001D200B">
        <w:t>stref</w:t>
      </w:r>
      <w:r w:rsidR="00512D08" w:rsidRPr="001D200B">
        <w:t>y</w:t>
      </w:r>
      <w:r w:rsidRPr="001D200B">
        <w:t xml:space="preserve"> przyrodnicz</w:t>
      </w:r>
      <w:r w:rsidR="00512D08" w:rsidRPr="001D200B">
        <w:t>e</w:t>
      </w:r>
    </w:p>
    <w:p w:rsidR="002B5E57" w:rsidRPr="001D200B" w:rsidRDefault="002769EE" w:rsidP="0043094A">
      <w:pPr>
        <w:rPr>
          <w:rFonts w:cstheme="minorHAnsi"/>
          <w:u w:val="single"/>
        </w:rPr>
      </w:pPr>
      <w:r w:rsidRPr="001D200B">
        <w:rPr>
          <w:rFonts w:cstheme="minorHAnsi"/>
          <w:u w:val="single"/>
        </w:rPr>
        <w:t>Zabudowa mieszkaniowa:</w:t>
      </w:r>
    </w:p>
    <w:p w:rsidR="004216AA" w:rsidRPr="001D200B" w:rsidRDefault="004216AA" w:rsidP="004216AA">
      <w:pPr>
        <w:rPr>
          <w:rFonts w:cstheme="minorHAnsi"/>
        </w:rPr>
      </w:pPr>
      <w:r w:rsidRPr="001D200B">
        <w:rPr>
          <w:rFonts w:cstheme="minorHAnsi"/>
        </w:rPr>
        <w:t>Na obszarze gminy Połaniec dominuje budownictwo mieszkalne, w tym:</w:t>
      </w:r>
    </w:p>
    <w:p w:rsidR="004216AA" w:rsidRPr="001D200B" w:rsidRDefault="004216AA" w:rsidP="00F21741">
      <w:pPr>
        <w:pStyle w:val="Punktatory1"/>
      </w:pPr>
      <w:r w:rsidRPr="001D200B">
        <w:t xml:space="preserve">zabudowa wielorodzinna </w:t>
      </w:r>
    </w:p>
    <w:p w:rsidR="004216AA" w:rsidRPr="001D200B" w:rsidRDefault="004216AA" w:rsidP="00F21741">
      <w:pPr>
        <w:pStyle w:val="Punktatory1"/>
      </w:pPr>
      <w:r w:rsidRPr="001D200B">
        <w:t xml:space="preserve">zabudowa jednorodzinna w formie osiedlowej </w:t>
      </w:r>
    </w:p>
    <w:p w:rsidR="004216AA" w:rsidRPr="001D200B" w:rsidRDefault="004216AA" w:rsidP="00F21741">
      <w:pPr>
        <w:pStyle w:val="Punktatory1"/>
      </w:pPr>
      <w:r w:rsidRPr="001D200B">
        <w:t xml:space="preserve">zabudowa jednorodzinna wolnostojąca i szeregowa </w:t>
      </w:r>
    </w:p>
    <w:p w:rsidR="004216AA" w:rsidRPr="001D200B" w:rsidRDefault="00FC2394" w:rsidP="00F21741">
      <w:pPr>
        <w:pStyle w:val="Punktatory1"/>
      </w:pPr>
      <w:r w:rsidRPr="001D200B">
        <w:t>zabudowa zagrodowa i jednorodzinna – na terenach wiejskich gminy</w:t>
      </w:r>
    </w:p>
    <w:p w:rsidR="005D7432" w:rsidRPr="001D200B" w:rsidRDefault="00FC2394" w:rsidP="000E7341">
      <w:pPr>
        <w:rPr>
          <w:rFonts w:cstheme="minorHAnsi"/>
        </w:rPr>
      </w:pPr>
      <w:r w:rsidRPr="001D200B">
        <w:rPr>
          <w:rFonts w:cstheme="minorHAnsi"/>
        </w:rPr>
        <w:t xml:space="preserve">Najstarsza część miasta Połaniec </w:t>
      </w:r>
      <w:r w:rsidR="003A513C" w:rsidRPr="001D200B">
        <w:rPr>
          <w:rFonts w:cstheme="minorHAnsi"/>
        </w:rPr>
        <w:t>rozciąga się po obu stronach rzeki Czarnej i zabudowana jest w przewadze starymi drewnianymi domami oraz nową zabudową jednorodzinną w</w:t>
      </w:r>
      <w:r w:rsidR="00512D08" w:rsidRPr="001D200B">
        <w:rPr>
          <w:rFonts w:cstheme="minorHAnsi"/>
        </w:rPr>
        <w:t> </w:t>
      </w:r>
      <w:r w:rsidR="003A513C" w:rsidRPr="001D200B">
        <w:rPr>
          <w:rFonts w:cstheme="minorHAnsi"/>
        </w:rPr>
        <w:t xml:space="preserve">formie skoncentrowanej w zespołach i poza nimi. </w:t>
      </w:r>
    </w:p>
    <w:p w:rsidR="004216AA" w:rsidRPr="001D200B" w:rsidRDefault="003A513C" w:rsidP="000E7341">
      <w:pPr>
        <w:rPr>
          <w:rFonts w:cstheme="minorHAnsi"/>
        </w:rPr>
      </w:pPr>
      <w:r w:rsidRPr="001D200B">
        <w:rPr>
          <w:rFonts w:cstheme="minorHAnsi"/>
        </w:rPr>
        <w:t xml:space="preserve">Zabudowa miejska, w przewadze wielorodzinna, osiedlowa </w:t>
      </w:r>
      <w:r w:rsidR="005D7432" w:rsidRPr="001D200B">
        <w:rPr>
          <w:rFonts w:cstheme="minorHAnsi"/>
        </w:rPr>
        <w:t>mieści</w:t>
      </w:r>
      <w:r w:rsidRPr="001D200B">
        <w:rPr>
          <w:rFonts w:cstheme="minorHAnsi"/>
        </w:rPr>
        <w:t xml:space="preserve"> się po południowej stronie rzeki. Zabudowa siedliskowa </w:t>
      </w:r>
      <w:r w:rsidR="005D7432" w:rsidRPr="001D200B">
        <w:rPr>
          <w:rFonts w:cstheme="minorHAnsi"/>
        </w:rPr>
        <w:t xml:space="preserve">o charakterze jednorodzinnym zlokalizowana jest w części północnej. </w:t>
      </w:r>
      <w:r w:rsidR="003A71C3" w:rsidRPr="001D200B">
        <w:rPr>
          <w:rFonts w:cstheme="minorHAnsi"/>
        </w:rPr>
        <w:t xml:space="preserve">Obszary nowej zabudowy jednorodzinnej wolnostojącej i szeregowej zajmują obrzeża miasta, największy udział ma zabudowa szeregowa w osiedlach Południe i Północ. </w:t>
      </w:r>
    </w:p>
    <w:p w:rsidR="00A91C59" w:rsidRPr="001D200B" w:rsidRDefault="002D6B5A" w:rsidP="00A91C59">
      <w:r w:rsidRPr="001D200B">
        <w:rPr>
          <w:rFonts w:cstheme="minorHAnsi"/>
        </w:rPr>
        <w:t>Na terenach wiejskich występuje zabudowa zagrodowa i jednorodzinna</w:t>
      </w:r>
      <w:r w:rsidR="00D355DB" w:rsidRPr="001D200B">
        <w:rPr>
          <w:rFonts w:cstheme="minorHAnsi"/>
        </w:rPr>
        <w:t xml:space="preserve">, </w:t>
      </w:r>
      <w:r w:rsidR="00A91C59" w:rsidRPr="001D200B">
        <w:rPr>
          <w:rFonts w:cstheme="minorHAnsi"/>
        </w:rPr>
        <w:t>która</w:t>
      </w:r>
      <w:r w:rsidR="009678B3" w:rsidRPr="001D200B">
        <w:rPr>
          <w:rFonts w:cstheme="minorHAnsi"/>
        </w:rPr>
        <w:t xml:space="preserve"> charakteryzuj</w:t>
      </w:r>
      <w:r w:rsidR="00A91C59" w:rsidRPr="001D200B">
        <w:rPr>
          <w:rFonts w:cstheme="minorHAnsi"/>
        </w:rPr>
        <w:t>e</w:t>
      </w:r>
      <w:r w:rsidR="009678B3" w:rsidRPr="001D200B">
        <w:rPr>
          <w:rFonts w:cstheme="minorHAnsi"/>
        </w:rPr>
        <w:t xml:space="preserve"> się stosunkowo małym rozproszeniem. </w:t>
      </w:r>
      <w:r w:rsidR="00A91C59" w:rsidRPr="001D200B">
        <w:t>Zabudowa zagrodowa, jednorodzinna grupuje się tworząc wsie – ulice. Dominuje tu budownictwo niskie, charakterystyczne dla osadnictwa wiejskiego zarówno pod względem formy, jak i funkcji, tj. budynek mieszkalny jednorodzinny wraz z towarzyszącą zabudową związaną z działalnością gospodarczą mieszkańców.</w:t>
      </w:r>
    </w:p>
    <w:p w:rsidR="00A91C59" w:rsidRPr="001D200B" w:rsidRDefault="00A91C59" w:rsidP="00A91C59">
      <w:r w:rsidRPr="001D200B">
        <w:t xml:space="preserve">Obiekty budowlane różnią się wiekiem, technologią wykonania, przeznaczeniem i wynikającą z powyższych parametrów energochłonnością. </w:t>
      </w:r>
    </w:p>
    <w:p w:rsidR="00D27A5A" w:rsidRPr="001D200B" w:rsidRDefault="00D27A5A">
      <w:pPr>
        <w:spacing w:before="0" w:after="0" w:line="240" w:lineRule="auto"/>
        <w:jc w:val="left"/>
        <w:rPr>
          <w:rFonts w:cstheme="minorHAnsi"/>
          <w:b/>
        </w:rPr>
      </w:pPr>
      <w:r w:rsidRPr="001D200B">
        <w:rPr>
          <w:rFonts w:cstheme="minorHAnsi"/>
          <w:b/>
        </w:rPr>
        <w:br w:type="page"/>
      </w:r>
    </w:p>
    <w:p w:rsidR="009678B3" w:rsidRPr="001D200B" w:rsidRDefault="00A91C59" w:rsidP="00A91C59">
      <w:pPr>
        <w:shd w:val="clear" w:color="auto" w:fill="F2F2F2" w:themeFill="background1" w:themeFillShade="F2"/>
        <w:rPr>
          <w:rFonts w:cstheme="minorHAnsi"/>
          <w:b/>
        </w:rPr>
      </w:pPr>
      <w:r w:rsidRPr="001D200B">
        <w:rPr>
          <w:rFonts w:cstheme="minorHAnsi"/>
          <w:b/>
        </w:rPr>
        <w:lastRenderedPageBreak/>
        <w:t>Zasoby mieszkaniowe – stan obecny</w:t>
      </w:r>
    </w:p>
    <w:p w:rsidR="007C546D" w:rsidRPr="001D200B" w:rsidRDefault="009266A2" w:rsidP="000E7341">
      <w:pPr>
        <w:rPr>
          <w:rFonts w:cstheme="minorHAnsi"/>
        </w:rPr>
      </w:pPr>
      <w:r w:rsidRPr="001D200B">
        <w:rPr>
          <w:rFonts w:cstheme="minorHAnsi"/>
        </w:rPr>
        <w:t>Według danych Głównego Urzędu Statystycznego (</w:t>
      </w:r>
      <w:hyperlink r:id="rId40" w:history="1">
        <w:r w:rsidRPr="001D200B">
          <w:rPr>
            <w:rFonts w:cstheme="minorHAnsi"/>
          </w:rPr>
          <w:t>www.stat.gov.pl</w:t>
        </w:r>
      </w:hyperlink>
      <w:r w:rsidRPr="001D200B">
        <w:rPr>
          <w:rFonts w:cstheme="minorHAnsi"/>
        </w:rPr>
        <w:t>), stan na koniec 201</w:t>
      </w:r>
      <w:r w:rsidR="00E7455C" w:rsidRPr="001D200B">
        <w:rPr>
          <w:rFonts w:cstheme="minorHAnsi"/>
        </w:rPr>
        <w:t>8</w:t>
      </w:r>
      <w:r w:rsidRPr="001D200B">
        <w:rPr>
          <w:rFonts w:cstheme="minorHAnsi"/>
        </w:rPr>
        <w:t xml:space="preserve"> roku, </w:t>
      </w:r>
      <w:r w:rsidR="000E7341" w:rsidRPr="001D200B">
        <w:rPr>
          <w:rFonts w:cstheme="minorHAnsi"/>
        </w:rPr>
        <w:t xml:space="preserve">zabudowę mieszkaniową </w:t>
      </w:r>
      <w:r w:rsidR="00FC6E83" w:rsidRPr="001D200B">
        <w:rPr>
          <w:rFonts w:cstheme="minorHAnsi"/>
        </w:rPr>
        <w:t xml:space="preserve">gminy Połaniec </w:t>
      </w:r>
      <w:r w:rsidR="0049617F" w:rsidRPr="001D200B">
        <w:rPr>
          <w:rFonts w:cstheme="minorHAnsi"/>
        </w:rPr>
        <w:t>stanowią</w:t>
      </w:r>
      <w:r w:rsidR="000E7341" w:rsidRPr="001D200B">
        <w:rPr>
          <w:rFonts w:cstheme="minorHAnsi"/>
        </w:rPr>
        <w:t xml:space="preserve"> </w:t>
      </w:r>
      <w:r w:rsidR="00E0031E" w:rsidRPr="001D200B">
        <w:rPr>
          <w:rFonts w:cstheme="minorHAnsi"/>
        </w:rPr>
        <w:t>2183</w:t>
      </w:r>
      <w:r w:rsidR="0049617F" w:rsidRPr="001D200B">
        <w:rPr>
          <w:rFonts w:cstheme="minorHAnsi"/>
        </w:rPr>
        <w:t xml:space="preserve"> budynki mieszkalne</w:t>
      </w:r>
      <w:r w:rsidR="000E7341" w:rsidRPr="001D200B">
        <w:rPr>
          <w:rFonts w:cstheme="minorHAnsi"/>
        </w:rPr>
        <w:t xml:space="preserve">, mieszczące </w:t>
      </w:r>
      <w:r w:rsidR="007C546D" w:rsidRPr="001D200B">
        <w:rPr>
          <w:rFonts w:cstheme="minorHAnsi"/>
        </w:rPr>
        <w:t>3</w:t>
      </w:r>
      <w:r w:rsidR="00E0031E" w:rsidRPr="001D200B">
        <w:rPr>
          <w:rFonts w:cstheme="minorHAnsi"/>
        </w:rPr>
        <w:t>927</w:t>
      </w:r>
      <w:r w:rsidR="000E7341" w:rsidRPr="001D200B">
        <w:rPr>
          <w:rFonts w:cstheme="minorHAnsi"/>
        </w:rPr>
        <w:t xml:space="preserve"> mieszkań</w:t>
      </w:r>
      <w:r w:rsidR="007C546D" w:rsidRPr="001D200B">
        <w:rPr>
          <w:rFonts w:cstheme="minorHAnsi"/>
        </w:rPr>
        <w:t xml:space="preserve"> o</w:t>
      </w:r>
      <w:r w:rsidR="009F346E" w:rsidRPr="001D200B">
        <w:rPr>
          <w:rFonts w:cstheme="minorHAnsi"/>
        </w:rPr>
        <w:t xml:space="preserve"> </w:t>
      </w:r>
      <w:r w:rsidR="007C546D" w:rsidRPr="001D200B">
        <w:rPr>
          <w:rFonts w:cstheme="minorHAnsi"/>
        </w:rPr>
        <w:t xml:space="preserve">łącznej powierzchni użytkowej </w:t>
      </w:r>
      <w:r w:rsidR="00E0031E" w:rsidRPr="001D200B">
        <w:rPr>
          <w:rFonts w:cstheme="minorHAnsi"/>
        </w:rPr>
        <w:t>328.201</w:t>
      </w:r>
      <w:r w:rsidR="007C546D" w:rsidRPr="001D200B">
        <w:rPr>
          <w:rFonts w:cstheme="minorHAnsi"/>
        </w:rPr>
        <w:t xml:space="preserve"> m</w:t>
      </w:r>
      <w:r w:rsidR="007C546D" w:rsidRPr="001D200B">
        <w:rPr>
          <w:rFonts w:cstheme="minorHAnsi"/>
          <w:vertAlign w:val="superscript"/>
        </w:rPr>
        <w:t>2</w:t>
      </w:r>
      <w:r w:rsidR="007C546D" w:rsidRPr="001D200B">
        <w:rPr>
          <w:rFonts w:cstheme="minorHAnsi"/>
        </w:rPr>
        <w:t>.</w:t>
      </w:r>
    </w:p>
    <w:p w:rsidR="009266A2" w:rsidRPr="001D200B" w:rsidRDefault="00A40A1C" w:rsidP="00A40A1C">
      <w:pPr>
        <w:pStyle w:val="Tytu"/>
        <w:rPr>
          <w:rFonts w:cstheme="minorHAnsi"/>
          <w:b/>
        </w:rPr>
      </w:pPr>
      <w:bookmarkStart w:id="22" w:name="_Toc39476556"/>
      <w:r w:rsidRPr="001D200B">
        <w:rPr>
          <w:rFonts w:cstheme="minorHAnsi"/>
          <w:b/>
        </w:rPr>
        <w:t xml:space="preserve">Tabela </w:t>
      </w:r>
      <w:r w:rsidR="005B7234" w:rsidRPr="001D200B">
        <w:rPr>
          <w:rFonts w:cstheme="minorHAnsi"/>
          <w:b/>
        </w:rPr>
        <w:fldChar w:fldCharType="begin"/>
      </w:r>
      <w:r w:rsidR="00F200FE" w:rsidRPr="001D200B">
        <w:rPr>
          <w:rFonts w:cstheme="minorHAnsi"/>
          <w:b/>
        </w:rPr>
        <w:instrText xml:space="preserve"> SEQ Tabela \* ARABIC </w:instrText>
      </w:r>
      <w:r w:rsidR="005B7234" w:rsidRPr="001D200B">
        <w:rPr>
          <w:rFonts w:cstheme="minorHAnsi"/>
          <w:b/>
        </w:rPr>
        <w:fldChar w:fldCharType="separate"/>
      </w:r>
      <w:r w:rsidR="00975320" w:rsidRPr="001D200B">
        <w:rPr>
          <w:rFonts w:cstheme="minorHAnsi"/>
          <w:b/>
          <w:noProof/>
        </w:rPr>
        <w:t>4</w:t>
      </w:r>
      <w:r w:rsidR="005B7234" w:rsidRPr="001D200B">
        <w:rPr>
          <w:rFonts w:cstheme="minorHAnsi"/>
          <w:b/>
        </w:rPr>
        <w:fldChar w:fldCharType="end"/>
      </w:r>
      <w:r w:rsidRPr="001D200B">
        <w:rPr>
          <w:rFonts w:cstheme="minorHAnsi"/>
          <w:b/>
        </w:rPr>
        <w:t xml:space="preserve">. </w:t>
      </w:r>
      <w:r w:rsidR="009266A2" w:rsidRPr="001D200B">
        <w:rPr>
          <w:rFonts w:cstheme="minorHAnsi"/>
          <w:b/>
        </w:rPr>
        <w:t xml:space="preserve">Zasoby mieszkaniowe według lokalizacji </w:t>
      </w:r>
      <w:r w:rsidR="00E0031E" w:rsidRPr="001D200B">
        <w:rPr>
          <w:rFonts w:cstheme="minorHAnsi"/>
          <w:b/>
        </w:rPr>
        <w:t>– stan na koniec 2018 roku (GUS, www.stat.gov.pl)</w:t>
      </w:r>
      <w:bookmarkEnd w:id="22"/>
    </w:p>
    <w:tbl>
      <w:tblPr>
        <w:tblStyle w:val="Tabela-Siatka"/>
        <w:tblW w:w="0" w:type="auto"/>
        <w:tblLook w:val="04A0"/>
      </w:tblPr>
      <w:tblGrid>
        <w:gridCol w:w="4077"/>
        <w:gridCol w:w="1701"/>
        <w:gridCol w:w="1701"/>
        <w:gridCol w:w="1701"/>
      </w:tblGrid>
      <w:tr w:rsidR="00E0031E" w:rsidRPr="001D200B" w:rsidTr="00E0031E">
        <w:trPr>
          <w:trHeight w:val="547"/>
        </w:trPr>
        <w:tc>
          <w:tcPr>
            <w:tcW w:w="4077" w:type="dxa"/>
            <w:shd w:val="clear" w:color="auto" w:fill="F2F2F2" w:themeFill="background1" w:themeFillShade="F2"/>
            <w:vAlign w:val="center"/>
          </w:tcPr>
          <w:p w:rsidR="00E0031E" w:rsidRPr="001D200B" w:rsidRDefault="00E0031E" w:rsidP="00E0031E">
            <w:pPr>
              <w:spacing w:before="0" w:after="0" w:line="240" w:lineRule="auto"/>
              <w:jc w:val="center"/>
              <w:rPr>
                <w:b/>
              </w:rPr>
            </w:pPr>
            <w:r w:rsidRPr="001D200B">
              <w:rPr>
                <w:b/>
              </w:rPr>
              <w:t>Wskaźnik</w:t>
            </w:r>
          </w:p>
        </w:tc>
        <w:tc>
          <w:tcPr>
            <w:tcW w:w="1701" w:type="dxa"/>
            <w:shd w:val="clear" w:color="auto" w:fill="F2F2F2" w:themeFill="background1" w:themeFillShade="F2"/>
            <w:vAlign w:val="center"/>
          </w:tcPr>
          <w:p w:rsidR="00E0031E" w:rsidRPr="001D200B" w:rsidRDefault="00E0031E" w:rsidP="00E0031E">
            <w:pPr>
              <w:spacing w:before="0" w:after="0" w:line="240" w:lineRule="auto"/>
              <w:jc w:val="center"/>
              <w:rPr>
                <w:b/>
              </w:rPr>
            </w:pPr>
            <w:r w:rsidRPr="001D200B">
              <w:rPr>
                <w:b/>
              </w:rPr>
              <w:t>Miasto</w:t>
            </w:r>
          </w:p>
        </w:tc>
        <w:tc>
          <w:tcPr>
            <w:tcW w:w="1701" w:type="dxa"/>
            <w:shd w:val="clear" w:color="auto" w:fill="F2F2F2" w:themeFill="background1" w:themeFillShade="F2"/>
            <w:vAlign w:val="center"/>
          </w:tcPr>
          <w:p w:rsidR="00E0031E" w:rsidRPr="001D200B" w:rsidRDefault="00E0031E" w:rsidP="00E0031E">
            <w:pPr>
              <w:spacing w:before="0" w:after="0" w:line="240" w:lineRule="auto"/>
              <w:jc w:val="center"/>
              <w:rPr>
                <w:b/>
              </w:rPr>
            </w:pPr>
            <w:r w:rsidRPr="001D200B">
              <w:rPr>
                <w:b/>
              </w:rPr>
              <w:t>Obszary wiejskie</w:t>
            </w:r>
          </w:p>
        </w:tc>
        <w:tc>
          <w:tcPr>
            <w:tcW w:w="1701" w:type="dxa"/>
            <w:shd w:val="clear" w:color="auto" w:fill="F2F2F2" w:themeFill="background1" w:themeFillShade="F2"/>
            <w:vAlign w:val="center"/>
          </w:tcPr>
          <w:p w:rsidR="00E0031E" w:rsidRPr="001D200B" w:rsidRDefault="00E0031E" w:rsidP="00E0031E">
            <w:pPr>
              <w:spacing w:before="0" w:after="0" w:line="240" w:lineRule="auto"/>
              <w:jc w:val="center"/>
              <w:rPr>
                <w:b/>
              </w:rPr>
            </w:pPr>
            <w:r w:rsidRPr="001D200B">
              <w:rPr>
                <w:b/>
              </w:rPr>
              <w:t>Ogółem gmina</w:t>
            </w:r>
          </w:p>
        </w:tc>
      </w:tr>
      <w:tr w:rsidR="00E0031E" w:rsidRPr="001D200B" w:rsidTr="00E0031E">
        <w:tc>
          <w:tcPr>
            <w:tcW w:w="4077" w:type="dxa"/>
            <w:shd w:val="clear" w:color="auto" w:fill="auto"/>
          </w:tcPr>
          <w:p w:rsidR="00E0031E" w:rsidRPr="001D200B" w:rsidRDefault="00E0031E" w:rsidP="00E0031E">
            <w:pPr>
              <w:spacing w:before="0" w:after="0" w:line="240" w:lineRule="auto"/>
            </w:pPr>
            <w:r w:rsidRPr="001D200B">
              <w:t>Liczba mieszkań (szt.)</w:t>
            </w:r>
          </w:p>
        </w:tc>
        <w:tc>
          <w:tcPr>
            <w:tcW w:w="1701" w:type="dxa"/>
            <w:shd w:val="clear" w:color="auto" w:fill="auto"/>
          </w:tcPr>
          <w:p w:rsidR="00E0031E" w:rsidRPr="001D200B" w:rsidRDefault="00E0031E" w:rsidP="00E0031E">
            <w:pPr>
              <w:spacing w:before="0" w:after="0" w:line="240" w:lineRule="auto"/>
              <w:jc w:val="center"/>
            </w:pPr>
            <w:r w:rsidRPr="001D200B">
              <w:t>2 908</w:t>
            </w:r>
          </w:p>
        </w:tc>
        <w:tc>
          <w:tcPr>
            <w:tcW w:w="1701" w:type="dxa"/>
            <w:shd w:val="clear" w:color="auto" w:fill="auto"/>
          </w:tcPr>
          <w:p w:rsidR="00E0031E" w:rsidRPr="001D200B" w:rsidRDefault="00E0031E" w:rsidP="00E0031E">
            <w:pPr>
              <w:spacing w:before="0" w:after="0" w:line="240" w:lineRule="auto"/>
              <w:jc w:val="center"/>
            </w:pPr>
            <w:r w:rsidRPr="001D200B">
              <w:t>1 019</w:t>
            </w:r>
          </w:p>
        </w:tc>
        <w:tc>
          <w:tcPr>
            <w:tcW w:w="1701" w:type="dxa"/>
            <w:shd w:val="clear" w:color="auto" w:fill="auto"/>
          </w:tcPr>
          <w:p w:rsidR="00E0031E" w:rsidRPr="001D200B" w:rsidRDefault="00E0031E" w:rsidP="00E0031E">
            <w:pPr>
              <w:spacing w:before="0" w:after="0" w:line="240" w:lineRule="auto"/>
              <w:jc w:val="center"/>
            </w:pPr>
            <w:r w:rsidRPr="001D200B">
              <w:t>3 927</w:t>
            </w:r>
          </w:p>
        </w:tc>
      </w:tr>
      <w:tr w:rsidR="00E0031E" w:rsidRPr="001D200B" w:rsidTr="00E0031E">
        <w:tc>
          <w:tcPr>
            <w:tcW w:w="4077" w:type="dxa"/>
            <w:shd w:val="clear" w:color="auto" w:fill="auto"/>
          </w:tcPr>
          <w:p w:rsidR="00E0031E" w:rsidRPr="001D200B" w:rsidRDefault="00E0031E" w:rsidP="00E0031E">
            <w:pPr>
              <w:spacing w:before="0" w:after="0" w:line="240" w:lineRule="auto"/>
            </w:pPr>
            <w:r w:rsidRPr="001D200B">
              <w:t>Liczba izb (szt.)</w:t>
            </w:r>
          </w:p>
        </w:tc>
        <w:tc>
          <w:tcPr>
            <w:tcW w:w="1701" w:type="dxa"/>
            <w:shd w:val="clear" w:color="auto" w:fill="auto"/>
          </w:tcPr>
          <w:p w:rsidR="00E0031E" w:rsidRPr="001D200B" w:rsidRDefault="00E0031E" w:rsidP="00E0031E">
            <w:pPr>
              <w:spacing w:before="0" w:after="0" w:line="240" w:lineRule="auto"/>
              <w:jc w:val="center"/>
            </w:pPr>
            <w:r w:rsidRPr="001D200B">
              <w:t>12 398</w:t>
            </w:r>
          </w:p>
        </w:tc>
        <w:tc>
          <w:tcPr>
            <w:tcW w:w="1701" w:type="dxa"/>
            <w:shd w:val="clear" w:color="auto" w:fill="auto"/>
          </w:tcPr>
          <w:p w:rsidR="00E0031E" w:rsidRPr="001D200B" w:rsidRDefault="00E0031E" w:rsidP="00E0031E">
            <w:pPr>
              <w:spacing w:before="0" w:after="0" w:line="240" w:lineRule="auto"/>
              <w:jc w:val="center"/>
            </w:pPr>
            <w:r w:rsidRPr="001D200B">
              <w:t>4 696</w:t>
            </w:r>
          </w:p>
        </w:tc>
        <w:tc>
          <w:tcPr>
            <w:tcW w:w="1701" w:type="dxa"/>
            <w:shd w:val="clear" w:color="auto" w:fill="auto"/>
          </w:tcPr>
          <w:p w:rsidR="00E0031E" w:rsidRPr="001D200B" w:rsidRDefault="00E0031E" w:rsidP="00E0031E">
            <w:pPr>
              <w:spacing w:before="0" w:after="0" w:line="240" w:lineRule="auto"/>
              <w:jc w:val="center"/>
            </w:pPr>
            <w:r w:rsidRPr="001D200B">
              <w:t>17 094</w:t>
            </w:r>
          </w:p>
        </w:tc>
      </w:tr>
      <w:tr w:rsidR="00E0031E" w:rsidRPr="001D200B" w:rsidTr="00E0031E">
        <w:tc>
          <w:tcPr>
            <w:tcW w:w="4077" w:type="dxa"/>
            <w:shd w:val="clear" w:color="auto" w:fill="auto"/>
          </w:tcPr>
          <w:p w:rsidR="00E0031E" w:rsidRPr="001D200B" w:rsidRDefault="00E0031E" w:rsidP="00E0031E">
            <w:pPr>
              <w:spacing w:before="0" w:after="0" w:line="240" w:lineRule="auto"/>
            </w:pPr>
            <w:r w:rsidRPr="001D200B">
              <w:t>Powierzchnia użytkowa (m</w:t>
            </w:r>
            <w:r w:rsidRPr="001D200B">
              <w:rPr>
                <w:vertAlign w:val="superscript"/>
              </w:rPr>
              <w:t>2</w:t>
            </w:r>
            <w:r w:rsidRPr="001D200B">
              <w:t>)</w:t>
            </w:r>
          </w:p>
        </w:tc>
        <w:tc>
          <w:tcPr>
            <w:tcW w:w="1701" w:type="dxa"/>
            <w:shd w:val="clear" w:color="auto" w:fill="auto"/>
          </w:tcPr>
          <w:p w:rsidR="00E0031E" w:rsidRPr="001D200B" w:rsidRDefault="00E0031E" w:rsidP="00E0031E">
            <w:pPr>
              <w:spacing w:before="0" w:after="0" w:line="240" w:lineRule="auto"/>
              <w:jc w:val="center"/>
            </w:pPr>
            <w:r w:rsidRPr="001D200B">
              <w:t>222 212</w:t>
            </w:r>
          </w:p>
        </w:tc>
        <w:tc>
          <w:tcPr>
            <w:tcW w:w="1701" w:type="dxa"/>
            <w:shd w:val="clear" w:color="auto" w:fill="auto"/>
          </w:tcPr>
          <w:p w:rsidR="00E0031E" w:rsidRPr="001D200B" w:rsidRDefault="00E0031E" w:rsidP="00E0031E">
            <w:pPr>
              <w:spacing w:before="0" w:after="0" w:line="240" w:lineRule="auto"/>
              <w:jc w:val="center"/>
            </w:pPr>
            <w:r w:rsidRPr="001D200B">
              <w:t>105 989</w:t>
            </w:r>
          </w:p>
        </w:tc>
        <w:tc>
          <w:tcPr>
            <w:tcW w:w="1701" w:type="dxa"/>
            <w:shd w:val="clear" w:color="auto" w:fill="auto"/>
          </w:tcPr>
          <w:p w:rsidR="00E0031E" w:rsidRPr="001D200B" w:rsidRDefault="00E0031E" w:rsidP="00E0031E">
            <w:pPr>
              <w:spacing w:before="0" w:after="0" w:line="240" w:lineRule="auto"/>
              <w:jc w:val="center"/>
            </w:pPr>
            <w:r w:rsidRPr="001D200B">
              <w:t>328 201</w:t>
            </w:r>
          </w:p>
        </w:tc>
      </w:tr>
      <w:tr w:rsidR="00E0031E" w:rsidRPr="001D200B" w:rsidTr="00E0031E">
        <w:tc>
          <w:tcPr>
            <w:tcW w:w="4077" w:type="dxa"/>
            <w:shd w:val="clear" w:color="auto" w:fill="auto"/>
          </w:tcPr>
          <w:p w:rsidR="00E0031E" w:rsidRPr="001D200B" w:rsidRDefault="00E0031E" w:rsidP="00E0031E">
            <w:pPr>
              <w:spacing w:before="0" w:after="0" w:line="240" w:lineRule="auto"/>
            </w:pPr>
            <w:r w:rsidRPr="001D200B">
              <w:t>Przeciętna powierzchnia użytkowa (m</w:t>
            </w:r>
            <w:r w:rsidRPr="001D200B">
              <w:rPr>
                <w:vertAlign w:val="superscript"/>
              </w:rPr>
              <w:t>2</w:t>
            </w:r>
            <w:r w:rsidRPr="001D200B">
              <w:t>)</w:t>
            </w:r>
          </w:p>
        </w:tc>
        <w:tc>
          <w:tcPr>
            <w:tcW w:w="1701" w:type="dxa"/>
            <w:shd w:val="clear" w:color="auto" w:fill="auto"/>
          </w:tcPr>
          <w:p w:rsidR="00E0031E" w:rsidRPr="001D200B" w:rsidRDefault="00E30017" w:rsidP="00E0031E">
            <w:pPr>
              <w:spacing w:before="0" w:after="0" w:line="240" w:lineRule="auto"/>
              <w:jc w:val="center"/>
            </w:pPr>
            <w:r w:rsidRPr="001D200B">
              <w:t>76,4</w:t>
            </w:r>
          </w:p>
        </w:tc>
        <w:tc>
          <w:tcPr>
            <w:tcW w:w="1701" w:type="dxa"/>
            <w:shd w:val="clear" w:color="auto" w:fill="auto"/>
          </w:tcPr>
          <w:p w:rsidR="00E0031E" w:rsidRPr="001D200B" w:rsidRDefault="00E30017" w:rsidP="00E0031E">
            <w:pPr>
              <w:spacing w:before="0" w:after="0" w:line="240" w:lineRule="auto"/>
              <w:jc w:val="center"/>
            </w:pPr>
            <w:r w:rsidRPr="001D200B">
              <w:t>104,0</w:t>
            </w:r>
          </w:p>
        </w:tc>
        <w:tc>
          <w:tcPr>
            <w:tcW w:w="1701" w:type="dxa"/>
            <w:shd w:val="clear" w:color="auto" w:fill="auto"/>
          </w:tcPr>
          <w:p w:rsidR="00E0031E" w:rsidRPr="001D200B" w:rsidRDefault="00E30017" w:rsidP="00E0031E">
            <w:pPr>
              <w:spacing w:before="0" w:after="0" w:line="240" w:lineRule="auto"/>
              <w:jc w:val="center"/>
            </w:pPr>
            <w:r w:rsidRPr="001D200B">
              <w:t>83,6</w:t>
            </w:r>
          </w:p>
        </w:tc>
      </w:tr>
    </w:tbl>
    <w:p w:rsidR="00E0031E" w:rsidRPr="001D200B" w:rsidRDefault="00E0031E" w:rsidP="00E0031E">
      <w:pPr>
        <w:pStyle w:val="podtabelk"/>
        <w:rPr>
          <w:highlight w:val="yellow"/>
        </w:rPr>
      </w:pPr>
      <w:r w:rsidRPr="001D200B">
        <w:t>Źródło: Dane GUS</w:t>
      </w:r>
    </w:p>
    <w:p w:rsidR="00F94926" w:rsidRPr="001D200B" w:rsidRDefault="00F94926" w:rsidP="00F94926">
      <w:r w:rsidRPr="001D200B">
        <w:t xml:space="preserve">Według danych zamieszczonych w powyższej tabeli wynika, że większość mieszkań (ponad 74%) znajduje się na terenie miasta. Przeciętna powierzchnia </w:t>
      </w:r>
      <w:r w:rsidR="00E474FF" w:rsidRPr="001D200B">
        <w:t>użytkowa</w:t>
      </w:r>
      <w:r w:rsidRPr="001D200B">
        <w:t xml:space="preserve"> mieszkani</w:t>
      </w:r>
      <w:r w:rsidR="00E474FF" w:rsidRPr="001D200B">
        <w:t>a</w:t>
      </w:r>
      <w:r w:rsidRPr="001D200B">
        <w:t xml:space="preserve"> w mieście </w:t>
      </w:r>
      <w:r w:rsidR="00E474FF" w:rsidRPr="001D200B">
        <w:t>wynosi 76,4m</w:t>
      </w:r>
      <w:r w:rsidR="00E474FF" w:rsidRPr="001D200B">
        <w:rPr>
          <w:vertAlign w:val="superscript"/>
        </w:rPr>
        <w:t>2</w:t>
      </w:r>
      <w:r w:rsidR="00E474FF" w:rsidRPr="001D200B">
        <w:t xml:space="preserve">, większe mieszkania realizowane są na obszarach wiejskich </w:t>
      </w:r>
      <w:r w:rsidRPr="001D200B">
        <w:t>gminy</w:t>
      </w:r>
      <w:r w:rsidR="00E474FF" w:rsidRPr="001D200B">
        <w:t xml:space="preserve"> – przeciętną wielkość to 104 m</w:t>
      </w:r>
      <w:r w:rsidR="00E474FF" w:rsidRPr="001D200B">
        <w:rPr>
          <w:vertAlign w:val="superscript"/>
        </w:rPr>
        <w:t>2</w:t>
      </w:r>
      <w:r w:rsidR="00E474FF" w:rsidRPr="001D200B">
        <w:t xml:space="preserve">. </w:t>
      </w:r>
    </w:p>
    <w:p w:rsidR="00A3206A" w:rsidRPr="001D200B" w:rsidRDefault="00A3206A" w:rsidP="00A3206A">
      <w:r w:rsidRPr="001D200B">
        <w:t xml:space="preserve">W latach 2010 – 2018 zasoby mieszkaniowe zwiększyły się o </w:t>
      </w:r>
      <w:r w:rsidR="002B5547" w:rsidRPr="001D200B">
        <w:t>133</w:t>
      </w:r>
      <w:r w:rsidRPr="001D200B">
        <w:t xml:space="preserve"> mieszka</w:t>
      </w:r>
      <w:r w:rsidR="002B5547" w:rsidRPr="001D200B">
        <w:t>nia</w:t>
      </w:r>
      <w:r w:rsidRPr="001D200B">
        <w:t xml:space="preserve">. </w:t>
      </w:r>
    </w:p>
    <w:p w:rsidR="003A4410" w:rsidRPr="001D200B" w:rsidRDefault="00A3206A" w:rsidP="00A3206A">
      <w:pPr>
        <w:pStyle w:val="Legenda"/>
        <w:rPr>
          <w:rFonts w:cstheme="minorHAnsi"/>
          <w:color w:val="auto"/>
        </w:rPr>
      </w:pPr>
      <w:bookmarkStart w:id="23" w:name="_Toc31371905"/>
      <w:r w:rsidRPr="001D200B">
        <w:rPr>
          <w:color w:val="auto"/>
        </w:rPr>
        <w:t xml:space="preserve">Wykres </w:t>
      </w:r>
      <w:r w:rsidR="005B7234" w:rsidRPr="001D200B">
        <w:rPr>
          <w:color w:val="auto"/>
        </w:rPr>
        <w:fldChar w:fldCharType="begin"/>
      </w:r>
      <w:r w:rsidR="005B7234" w:rsidRPr="001D200B">
        <w:rPr>
          <w:color w:val="auto"/>
        </w:rPr>
        <w:instrText xml:space="preserve"> SEQ Wykres \* ARABIC </w:instrText>
      </w:r>
      <w:r w:rsidR="005B7234" w:rsidRPr="001D200B">
        <w:rPr>
          <w:color w:val="auto"/>
        </w:rPr>
        <w:fldChar w:fldCharType="separate"/>
      </w:r>
      <w:r w:rsidR="00975320" w:rsidRPr="001D200B">
        <w:rPr>
          <w:noProof/>
          <w:color w:val="auto"/>
        </w:rPr>
        <w:t>3</w:t>
      </w:r>
      <w:r w:rsidR="005B7234" w:rsidRPr="001D200B">
        <w:rPr>
          <w:color w:val="auto"/>
        </w:rPr>
        <w:fldChar w:fldCharType="end"/>
      </w:r>
      <w:r w:rsidRPr="001D200B">
        <w:rPr>
          <w:color w:val="auto"/>
        </w:rPr>
        <w:t xml:space="preserve">. </w:t>
      </w:r>
      <w:r w:rsidRPr="001D200B">
        <w:rPr>
          <w:rFonts w:cstheme="minorHAnsi"/>
          <w:color w:val="auto"/>
        </w:rPr>
        <w:t>Liczba mieszkań na terenie gminy Połaniec w latach 2010-2018 (GUS, www.stst.gov.pl)</w:t>
      </w:r>
      <w:bookmarkEnd w:id="23"/>
    </w:p>
    <w:p w:rsidR="00A3206A" w:rsidRPr="001D200B" w:rsidRDefault="00A3206A" w:rsidP="009266A2">
      <w:pPr>
        <w:rPr>
          <w:rFonts w:cstheme="minorHAnsi"/>
        </w:rPr>
      </w:pPr>
      <w:r w:rsidRPr="001D200B">
        <w:rPr>
          <w:rFonts w:cstheme="minorHAnsi"/>
          <w:noProof/>
        </w:rPr>
        <w:drawing>
          <wp:inline distT="0" distB="0" distL="0" distR="0">
            <wp:extent cx="5486400" cy="3009900"/>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27A5A" w:rsidRPr="001D200B" w:rsidRDefault="00D27A5A">
      <w:pPr>
        <w:spacing w:before="0" w:after="0" w:line="240" w:lineRule="auto"/>
        <w:jc w:val="left"/>
        <w:rPr>
          <w:b/>
        </w:rPr>
      </w:pPr>
      <w:r w:rsidRPr="001D200B">
        <w:rPr>
          <w:b/>
        </w:rPr>
        <w:br w:type="page"/>
      </w:r>
    </w:p>
    <w:p w:rsidR="002B5547" w:rsidRPr="001D200B" w:rsidRDefault="002B5547" w:rsidP="002B5547">
      <w:pPr>
        <w:shd w:val="clear" w:color="auto" w:fill="F2F2F2" w:themeFill="background1" w:themeFillShade="F2"/>
        <w:rPr>
          <w:b/>
        </w:rPr>
      </w:pPr>
      <w:r w:rsidRPr="001D200B">
        <w:rPr>
          <w:b/>
        </w:rPr>
        <w:lastRenderedPageBreak/>
        <w:t xml:space="preserve">Struktura własnościowa zasobów mieszkaniowych </w:t>
      </w:r>
    </w:p>
    <w:p w:rsidR="00555499" w:rsidRPr="001D200B" w:rsidRDefault="00555499" w:rsidP="00555499">
      <w:r w:rsidRPr="001D200B">
        <w:t xml:space="preserve">Stan zasobów mieszkaniowych w dużej mierze zależy od struktur własnościowych występujących w gminie. Stosunki własnościowe w sferze mieszkalnictwa na terenie gminy praktycznie nie zmieniają się. Najwięcej zasobów mieszkaniowych jest własnością osób fizycznych bądź też, w przypadku obszaru miejskiego, pozostaje w zarządzie Spółdzielni Mieszkaniowej „Połaniec” – jest to ok. 62% mieszkań na terenie miasta Połaniec. </w:t>
      </w:r>
    </w:p>
    <w:p w:rsidR="00555499" w:rsidRPr="001D200B" w:rsidRDefault="00555499" w:rsidP="00555499">
      <w:r w:rsidRPr="001D200B">
        <w:t xml:space="preserve">Zasoby mieszkaniowe SM „Połaniec” obejmują 78 budynków mieszkalnych wielorodzinnych wybudowanych w latach 1975-1997 </w:t>
      </w:r>
      <w:r w:rsidR="00522DEE" w:rsidRPr="001D200B">
        <w:t>z 1803 lokalami mieszkalnymi i 10-ma lokalami użytkowymi o łącznej powierzchni użytkowej 97 906 m</w:t>
      </w:r>
      <w:r w:rsidR="00522DEE" w:rsidRPr="001D200B">
        <w:rPr>
          <w:vertAlign w:val="superscript"/>
        </w:rPr>
        <w:t>2</w:t>
      </w:r>
      <w:r w:rsidR="004D1659" w:rsidRPr="001D200B">
        <w:t xml:space="preserve"> (łączna powierzchnia lokali mieszkalnych to 96,6 tys. m</w:t>
      </w:r>
      <w:r w:rsidR="004D1659" w:rsidRPr="001D200B">
        <w:rPr>
          <w:vertAlign w:val="superscript"/>
        </w:rPr>
        <w:t>2</w:t>
      </w:r>
      <w:r w:rsidR="004D1659" w:rsidRPr="001D200B">
        <w:t>).</w:t>
      </w:r>
    </w:p>
    <w:p w:rsidR="00555499" w:rsidRPr="001D200B" w:rsidRDefault="00522DEE" w:rsidP="00555499">
      <w:r w:rsidRPr="001D200B">
        <w:t>W poszczególnych formach i rodzajach budownictwa mieszkaniowego występuje znaczne zróżnicowanie struktury mieszkań oraz ich powierzchni użytkowej. Największe lokale mieszkalne realizowane są w budownictwie indywidualnym.</w:t>
      </w:r>
    </w:p>
    <w:p w:rsidR="00BB7FF7" w:rsidRPr="001D200B" w:rsidRDefault="00BB7FF7" w:rsidP="00BB7FF7">
      <w:pPr>
        <w:shd w:val="clear" w:color="auto" w:fill="D9D9D9" w:themeFill="background1" w:themeFillShade="D9"/>
        <w:rPr>
          <w:b/>
        </w:rPr>
      </w:pPr>
      <w:r w:rsidRPr="001D200B">
        <w:rPr>
          <w:b/>
        </w:rPr>
        <w:t>Struktura wiekowa zasobów mieszkaniowych</w:t>
      </w:r>
    </w:p>
    <w:p w:rsidR="00A96556" w:rsidRPr="001D200B" w:rsidRDefault="00A96556" w:rsidP="00A96556">
      <w:r w:rsidRPr="001D200B">
        <w:t>Poglądową strukturę wiekową zasobów mieszkaniowych na terenie gminy przedstawiono za pomocą danych z Narodowego Spisu Powszechnego Ludności i Mieszkań do 2002 roku oraz danych Głównego Urzędu Statystycznego – mieszkania oddane do użytku w latach 2003-2018.</w:t>
      </w:r>
    </w:p>
    <w:p w:rsidR="00BB7FF7" w:rsidRPr="001D200B" w:rsidRDefault="00A96556" w:rsidP="00A96556">
      <w:pPr>
        <w:pStyle w:val="Legenda"/>
        <w:rPr>
          <w:rFonts w:cstheme="minorHAnsi"/>
          <w:color w:val="auto"/>
          <w:highlight w:val="yellow"/>
        </w:rPr>
      </w:pPr>
      <w:bookmarkStart w:id="24" w:name="_Toc39476557"/>
      <w:r w:rsidRPr="001D200B">
        <w:rPr>
          <w:color w:val="auto"/>
        </w:rPr>
        <w:t xml:space="preserve">Tabela </w:t>
      </w:r>
      <w:r w:rsidR="005B7234" w:rsidRPr="001D200B">
        <w:rPr>
          <w:color w:val="auto"/>
        </w:rPr>
        <w:fldChar w:fldCharType="begin"/>
      </w:r>
      <w:r w:rsidR="005B7234" w:rsidRPr="001D200B">
        <w:rPr>
          <w:color w:val="auto"/>
        </w:rPr>
        <w:instrText xml:space="preserve"> SEQ Tabela \* ARABIC </w:instrText>
      </w:r>
      <w:r w:rsidR="005B7234" w:rsidRPr="001D200B">
        <w:rPr>
          <w:color w:val="auto"/>
        </w:rPr>
        <w:fldChar w:fldCharType="separate"/>
      </w:r>
      <w:r w:rsidR="00975320" w:rsidRPr="001D200B">
        <w:rPr>
          <w:noProof/>
          <w:color w:val="auto"/>
        </w:rPr>
        <w:t>5</w:t>
      </w:r>
      <w:r w:rsidR="005B7234" w:rsidRPr="001D200B">
        <w:rPr>
          <w:color w:val="auto"/>
        </w:rPr>
        <w:fldChar w:fldCharType="end"/>
      </w:r>
      <w:r w:rsidRPr="001D200B">
        <w:rPr>
          <w:color w:val="auto"/>
        </w:rPr>
        <w:t>. Zabudowa mieszkaniowa według okresu wzniesienia</w:t>
      </w:r>
      <w:bookmarkEnd w:id="24"/>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47"/>
        <w:gridCol w:w="1763"/>
        <w:gridCol w:w="2700"/>
        <w:gridCol w:w="3240"/>
      </w:tblGrid>
      <w:tr w:rsidR="00A96556" w:rsidRPr="001D200B" w:rsidTr="00C375A1">
        <w:trPr>
          <w:cantSplit/>
          <w:trHeight w:val="160"/>
        </w:trPr>
        <w:tc>
          <w:tcPr>
            <w:tcW w:w="0" w:type="auto"/>
            <w:vMerge w:val="restart"/>
            <w:shd w:val="clear" w:color="auto" w:fill="D9D9D9" w:themeFill="background1" w:themeFillShade="D9"/>
            <w:vAlign w:val="center"/>
          </w:tcPr>
          <w:p w:rsidR="00A96556" w:rsidRPr="001D200B" w:rsidRDefault="00A96556" w:rsidP="00C375A1">
            <w:pPr>
              <w:spacing w:before="0" w:after="0" w:line="240" w:lineRule="auto"/>
              <w:jc w:val="center"/>
              <w:rPr>
                <w:b/>
                <w:sz w:val="22"/>
                <w:szCs w:val="22"/>
              </w:rPr>
            </w:pPr>
            <w:r w:rsidRPr="001D200B">
              <w:rPr>
                <w:b/>
                <w:sz w:val="22"/>
                <w:szCs w:val="22"/>
              </w:rPr>
              <w:t>Okres budowy</w:t>
            </w:r>
          </w:p>
        </w:tc>
        <w:tc>
          <w:tcPr>
            <w:tcW w:w="7703" w:type="dxa"/>
            <w:gridSpan w:val="3"/>
            <w:shd w:val="clear" w:color="auto" w:fill="D9D9D9" w:themeFill="background1" w:themeFillShade="D9"/>
          </w:tcPr>
          <w:p w:rsidR="00A96556" w:rsidRPr="001D200B" w:rsidRDefault="00A96556" w:rsidP="00C375A1">
            <w:pPr>
              <w:spacing w:before="0" w:after="0" w:line="240" w:lineRule="auto"/>
              <w:jc w:val="center"/>
              <w:rPr>
                <w:b/>
                <w:sz w:val="22"/>
                <w:szCs w:val="22"/>
              </w:rPr>
            </w:pPr>
            <w:r w:rsidRPr="001D200B">
              <w:rPr>
                <w:b/>
                <w:sz w:val="22"/>
                <w:szCs w:val="22"/>
              </w:rPr>
              <w:t>Wyszczególnienie</w:t>
            </w:r>
          </w:p>
        </w:tc>
      </w:tr>
      <w:tr w:rsidR="00A96556" w:rsidRPr="001D200B" w:rsidTr="00C375A1">
        <w:trPr>
          <w:cantSplit/>
          <w:trHeight w:val="160"/>
        </w:trPr>
        <w:tc>
          <w:tcPr>
            <w:tcW w:w="0" w:type="auto"/>
            <w:vMerge/>
            <w:shd w:val="clear" w:color="auto" w:fill="D9D9D9" w:themeFill="background1" w:themeFillShade="D9"/>
          </w:tcPr>
          <w:p w:rsidR="00A96556" w:rsidRPr="001D200B" w:rsidRDefault="00A96556" w:rsidP="00C375A1">
            <w:pPr>
              <w:spacing w:before="0" w:after="0" w:line="240" w:lineRule="auto"/>
              <w:jc w:val="center"/>
              <w:rPr>
                <w:b/>
                <w:sz w:val="22"/>
                <w:szCs w:val="22"/>
              </w:rPr>
            </w:pPr>
          </w:p>
        </w:tc>
        <w:tc>
          <w:tcPr>
            <w:tcW w:w="1763" w:type="dxa"/>
            <w:shd w:val="clear" w:color="auto" w:fill="D9D9D9" w:themeFill="background1" w:themeFillShade="D9"/>
            <w:vAlign w:val="center"/>
          </w:tcPr>
          <w:p w:rsidR="00A96556" w:rsidRPr="001D200B" w:rsidRDefault="00A96556" w:rsidP="00C375A1">
            <w:pPr>
              <w:spacing w:before="0" w:after="0" w:line="240" w:lineRule="auto"/>
              <w:jc w:val="center"/>
              <w:rPr>
                <w:b/>
                <w:sz w:val="22"/>
                <w:szCs w:val="22"/>
              </w:rPr>
            </w:pPr>
            <w:r w:rsidRPr="001D200B">
              <w:rPr>
                <w:b/>
                <w:sz w:val="22"/>
                <w:szCs w:val="22"/>
              </w:rPr>
              <w:t>Ogółem</w:t>
            </w:r>
          </w:p>
        </w:tc>
        <w:tc>
          <w:tcPr>
            <w:tcW w:w="2700" w:type="dxa"/>
            <w:shd w:val="clear" w:color="auto" w:fill="D9D9D9" w:themeFill="background1" w:themeFillShade="D9"/>
          </w:tcPr>
          <w:p w:rsidR="00A96556" w:rsidRPr="001D200B" w:rsidRDefault="00A96556" w:rsidP="00C375A1">
            <w:pPr>
              <w:spacing w:before="0" w:after="0" w:line="240" w:lineRule="auto"/>
              <w:jc w:val="center"/>
              <w:rPr>
                <w:b/>
                <w:sz w:val="22"/>
                <w:szCs w:val="22"/>
              </w:rPr>
            </w:pPr>
            <w:r w:rsidRPr="001D200B">
              <w:rPr>
                <w:b/>
                <w:sz w:val="22"/>
                <w:szCs w:val="22"/>
              </w:rPr>
              <w:t>Powierzchnia użytkowa</w:t>
            </w:r>
          </w:p>
          <w:p w:rsidR="00A96556" w:rsidRPr="001D200B" w:rsidRDefault="00A96556" w:rsidP="00C375A1">
            <w:pPr>
              <w:spacing w:before="0" w:after="0" w:line="240" w:lineRule="auto"/>
              <w:jc w:val="center"/>
              <w:rPr>
                <w:b/>
                <w:sz w:val="22"/>
                <w:szCs w:val="22"/>
              </w:rPr>
            </w:pPr>
            <w:r w:rsidRPr="001D200B">
              <w:rPr>
                <w:b/>
                <w:sz w:val="22"/>
                <w:szCs w:val="22"/>
              </w:rPr>
              <w:t>(w m</w:t>
            </w:r>
            <w:r w:rsidRPr="001D200B">
              <w:rPr>
                <w:b/>
                <w:sz w:val="22"/>
                <w:szCs w:val="22"/>
                <w:vertAlign w:val="superscript"/>
              </w:rPr>
              <w:t>2</w:t>
            </w:r>
            <w:r w:rsidRPr="001D200B">
              <w:rPr>
                <w:b/>
                <w:sz w:val="22"/>
                <w:szCs w:val="22"/>
              </w:rPr>
              <w:t>)</w:t>
            </w:r>
          </w:p>
        </w:tc>
        <w:tc>
          <w:tcPr>
            <w:tcW w:w="3240" w:type="dxa"/>
            <w:shd w:val="clear" w:color="auto" w:fill="D9D9D9" w:themeFill="background1" w:themeFillShade="D9"/>
          </w:tcPr>
          <w:p w:rsidR="00A96556" w:rsidRPr="001D200B" w:rsidRDefault="00A96556" w:rsidP="00C375A1">
            <w:pPr>
              <w:spacing w:before="0" w:after="0" w:line="240" w:lineRule="auto"/>
              <w:jc w:val="center"/>
              <w:rPr>
                <w:b/>
                <w:sz w:val="22"/>
                <w:szCs w:val="22"/>
              </w:rPr>
            </w:pPr>
            <w:r w:rsidRPr="001D200B">
              <w:rPr>
                <w:b/>
                <w:sz w:val="22"/>
                <w:szCs w:val="22"/>
              </w:rPr>
              <w:t>Średnia powierzchnia użytkowa mieszkania (w m</w:t>
            </w:r>
            <w:r w:rsidRPr="001D200B">
              <w:rPr>
                <w:b/>
                <w:sz w:val="22"/>
                <w:szCs w:val="22"/>
                <w:vertAlign w:val="superscript"/>
              </w:rPr>
              <w:t>2</w:t>
            </w:r>
            <w:r w:rsidRPr="001D200B">
              <w:rPr>
                <w:b/>
                <w:sz w:val="22"/>
                <w:szCs w:val="22"/>
              </w:rPr>
              <w:t>)</w:t>
            </w:r>
          </w:p>
        </w:tc>
      </w:tr>
      <w:tr w:rsidR="00A96556" w:rsidRPr="001D200B" w:rsidTr="00C375A1">
        <w:trPr>
          <w:cantSplit/>
        </w:trPr>
        <w:tc>
          <w:tcPr>
            <w:tcW w:w="0" w:type="auto"/>
            <w:shd w:val="clear" w:color="auto" w:fill="auto"/>
            <w:vAlign w:val="center"/>
          </w:tcPr>
          <w:p w:rsidR="00A96556" w:rsidRPr="001D200B" w:rsidRDefault="00A96556" w:rsidP="00C375A1">
            <w:pPr>
              <w:spacing w:before="0" w:after="0" w:line="240" w:lineRule="auto"/>
              <w:rPr>
                <w:b/>
                <w:sz w:val="22"/>
                <w:szCs w:val="22"/>
              </w:rPr>
            </w:pPr>
            <w:r w:rsidRPr="001D200B">
              <w:rPr>
                <w:b/>
                <w:sz w:val="22"/>
                <w:szCs w:val="22"/>
              </w:rPr>
              <w:t>przed 1918</w:t>
            </w:r>
          </w:p>
        </w:tc>
        <w:tc>
          <w:tcPr>
            <w:tcW w:w="1763" w:type="dxa"/>
            <w:shd w:val="clear" w:color="auto" w:fill="auto"/>
          </w:tcPr>
          <w:p w:rsidR="00A96556" w:rsidRPr="001D200B" w:rsidRDefault="00C375A1" w:rsidP="00C375A1">
            <w:pPr>
              <w:pStyle w:val="Tekstpodstawowy2"/>
              <w:spacing w:before="0" w:after="0" w:line="240" w:lineRule="auto"/>
              <w:jc w:val="center"/>
              <w:rPr>
                <w:sz w:val="22"/>
                <w:szCs w:val="22"/>
              </w:rPr>
            </w:pPr>
            <w:r w:rsidRPr="001D200B">
              <w:rPr>
                <w:sz w:val="22"/>
                <w:szCs w:val="22"/>
              </w:rPr>
              <w:t>16</w:t>
            </w:r>
          </w:p>
        </w:tc>
        <w:tc>
          <w:tcPr>
            <w:tcW w:w="2700" w:type="dxa"/>
            <w:shd w:val="clear" w:color="auto" w:fill="auto"/>
          </w:tcPr>
          <w:p w:rsidR="00A96556" w:rsidRPr="001D200B" w:rsidRDefault="00C375A1" w:rsidP="00C375A1">
            <w:pPr>
              <w:pStyle w:val="Tekstpodstawowy2"/>
              <w:tabs>
                <w:tab w:val="left" w:pos="900"/>
                <w:tab w:val="center" w:pos="1280"/>
              </w:tabs>
              <w:spacing w:before="0" w:after="0" w:line="240" w:lineRule="auto"/>
              <w:jc w:val="center"/>
              <w:rPr>
                <w:sz w:val="22"/>
                <w:szCs w:val="22"/>
              </w:rPr>
            </w:pPr>
            <w:r w:rsidRPr="001D200B">
              <w:rPr>
                <w:sz w:val="22"/>
                <w:szCs w:val="22"/>
              </w:rPr>
              <w:t>781,0</w:t>
            </w:r>
          </w:p>
        </w:tc>
        <w:tc>
          <w:tcPr>
            <w:tcW w:w="3240" w:type="dxa"/>
            <w:shd w:val="clear" w:color="auto" w:fill="auto"/>
          </w:tcPr>
          <w:p w:rsidR="00A96556" w:rsidRPr="001D200B" w:rsidRDefault="00C375A1" w:rsidP="00C375A1">
            <w:pPr>
              <w:pStyle w:val="Tekstpodstawowy2"/>
              <w:spacing w:before="0" w:after="0" w:line="240" w:lineRule="auto"/>
              <w:jc w:val="center"/>
              <w:rPr>
                <w:sz w:val="22"/>
                <w:szCs w:val="22"/>
              </w:rPr>
            </w:pPr>
            <w:r w:rsidRPr="001D200B">
              <w:rPr>
                <w:sz w:val="22"/>
                <w:szCs w:val="22"/>
              </w:rPr>
              <w:t>48,8</w:t>
            </w:r>
          </w:p>
        </w:tc>
      </w:tr>
      <w:tr w:rsidR="00A96556" w:rsidRPr="001D200B" w:rsidTr="00C375A1">
        <w:trPr>
          <w:cantSplit/>
        </w:trPr>
        <w:tc>
          <w:tcPr>
            <w:tcW w:w="0" w:type="auto"/>
            <w:shd w:val="clear" w:color="auto" w:fill="auto"/>
            <w:vAlign w:val="center"/>
          </w:tcPr>
          <w:p w:rsidR="00A96556" w:rsidRPr="001D200B" w:rsidRDefault="00A96556" w:rsidP="00C375A1">
            <w:pPr>
              <w:spacing w:before="0" w:after="0" w:line="240" w:lineRule="auto"/>
              <w:rPr>
                <w:b/>
                <w:sz w:val="22"/>
                <w:szCs w:val="22"/>
              </w:rPr>
            </w:pPr>
            <w:r w:rsidRPr="001D200B">
              <w:rPr>
                <w:b/>
                <w:sz w:val="22"/>
                <w:szCs w:val="22"/>
              </w:rPr>
              <w:t>1918-1944</w:t>
            </w:r>
          </w:p>
        </w:tc>
        <w:tc>
          <w:tcPr>
            <w:tcW w:w="1763" w:type="dxa"/>
            <w:shd w:val="clear" w:color="auto" w:fill="auto"/>
          </w:tcPr>
          <w:p w:rsidR="00A96556" w:rsidRPr="001D200B" w:rsidRDefault="00C375A1" w:rsidP="00C375A1">
            <w:pPr>
              <w:pStyle w:val="Tekstpodstawowy2"/>
              <w:spacing w:before="0" w:after="0" w:line="240" w:lineRule="auto"/>
              <w:jc w:val="center"/>
              <w:rPr>
                <w:sz w:val="22"/>
                <w:szCs w:val="22"/>
              </w:rPr>
            </w:pPr>
            <w:r w:rsidRPr="001D200B">
              <w:rPr>
                <w:sz w:val="22"/>
                <w:szCs w:val="22"/>
              </w:rPr>
              <w:t>106</w:t>
            </w:r>
          </w:p>
        </w:tc>
        <w:tc>
          <w:tcPr>
            <w:tcW w:w="2700" w:type="dxa"/>
            <w:shd w:val="clear" w:color="auto" w:fill="auto"/>
          </w:tcPr>
          <w:p w:rsidR="00A96556" w:rsidRPr="001D200B" w:rsidRDefault="00C375A1" w:rsidP="00C375A1">
            <w:pPr>
              <w:pStyle w:val="Tekstpodstawowy2"/>
              <w:spacing w:before="0" w:after="0" w:line="240" w:lineRule="auto"/>
              <w:jc w:val="center"/>
              <w:rPr>
                <w:sz w:val="22"/>
                <w:szCs w:val="22"/>
              </w:rPr>
            </w:pPr>
            <w:r w:rsidRPr="001D200B">
              <w:rPr>
                <w:sz w:val="22"/>
                <w:szCs w:val="22"/>
              </w:rPr>
              <w:t>5 365,0</w:t>
            </w:r>
          </w:p>
        </w:tc>
        <w:tc>
          <w:tcPr>
            <w:tcW w:w="3240" w:type="dxa"/>
            <w:shd w:val="clear" w:color="auto" w:fill="auto"/>
          </w:tcPr>
          <w:p w:rsidR="00A96556" w:rsidRPr="001D200B" w:rsidRDefault="00C375A1" w:rsidP="00C375A1">
            <w:pPr>
              <w:pStyle w:val="Tekstpodstawowy2"/>
              <w:spacing w:before="0" w:after="0" w:line="240" w:lineRule="auto"/>
              <w:jc w:val="center"/>
              <w:rPr>
                <w:sz w:val="22"/>
                <w:szCs w:val="22"/>
              </w:rPr>
            </w:pPr>
            <w:r w:rsidRPr="001D200B">
              <w:rPr>
                <w:sz w:val="22"/>
                <w:szCs w:val="22"/>
              </w:rPr>
              <w:t>50,6</w:t>
            </w:r>
          </w:p>
        </w:tc>
      </w:tr>
      <w:tr w:rsidR="00A96556" w:rsidRPr="001D200B" w:rsidTr="00C375A1">
        <w:trPr>
          <w:cantSplit/>
        </w:trPr>
        <w:tc>
          <w:tcPr>
            <w:tcW w:w="0" w:type="auto"/>
            <w:shd w:val="clear" w:color="auto" w:fill="auto"/>
            <w:vAlign w:val="center"/>
          </w:tcPr>
          <w:p w:rsidR="00A96556" w:rsidRPr="001D200B" w:rsidRDefault="00A96556" w:rsidP="00C375A1">
            <w:pPr>
              <w:spacing w:before="0" w:after="0" w:line="240" w:lineRule="auto"/>
              <w:rPr>
                <w:b/>
                <w:sz w:val="22"/>
                <w:szCs w:val="22"/>
              </w:rPr>
            </w:pPr>
            <w:r w:rsidRPr="001D200B">
              <w:rPr>
                <w:b/>
                <w:sz w:val="22"/>
                <w:szCs w:val="22"/>
              </w:rPr>
              <w:t>1945-1970</w:t>
            </w:r>
          </w:p>
        </w:tc>
        <w:tc>
          <w:tcPr>
            <w:tcW w:w="1763" w:type="dxa"/>
            <w:shd w:val="clear" w:color="auto" w:fill="auto"/>
          </w:tcPr>
          <w:p w:rsidR="00A96556" w:rsidRPr="001D200B" w:rsidRDefault="00C375A1" w:rsidP="00C375A1">
            <w:pPr>
              <w:pStyle w:val="Tekstpodstawowy2"/>
              <w:spacing w:before="0" w:after="0" w:line="240" w:lineRule="auto"/>
              <w:jc w:val="center"/>
              <w:rPr>
                <w:sz w:val="22"/>
                <w:szCs w:val="22"/>
              </w:rPr>
            </w:pPr>
            <w:r w:rsidRPr="001D200B">
              <w:rPr>
                <w:sz w:val="22"/>
                <w:szCs w:val="22"/>
              </w:rPr>
              <w:t>430</w:t>
            </w:r>
          </w:p>
        </w:tc>
        <w:tc>
          <w:tcPr>
            <w:tcW w:w="2700" w:type="dxa"/>
            <w:shd w:val="clear" w:color="auto" w:fill="auto"/>
          </w:tcPr>
          <w:p w:rsidR="00A96556" w:rsidRPr="001D200B" w:rsidRDefault="00C375A1" w:rsidP="00C375A1">
            <w:pPr>
              <w:pStyle w:val="Tekstpodstawowy2"/>
              <w:spacing w:before="0" w:after="0" w:line="240" w:lineRule="auto"/>
              <w:jc w:val="center"/>
              <w:rPr>
                <w:sz w:val="22"/>
                <w:szCs w:val="22"/>
              </w:rPr>
            </w:pPr>
            <w:r w:rsidRPr="001D200B">
              <w:rPr>
                <w:sz w:val="22"/>
                <w:szCs w:val="22"/>
              </w:rPr>
              <w:t>28 803,0</w:t>
            </w:r>
          </w:p>
        </w:tc>
        <w:tc>
          <w:tcPr>
            <w:tcW w:w="3240" w:type="dxa"/>
            <w:shd w:val="clear" w:color="auto" w:fill="auto"/>
          </w:tcPr>
          <w:p w:rsidR="00A96556" w:rsidRPr="001D200B" w:rsidRDefault="00C375A1" w:rsidP="00C375A1">
            <w:pPr>
              <w:pStyle w:val="Tekstpodstawowy2"/>
              <w:spacing w:before="0" w:after="0" w:line="240" w:lineRule="auto"/>
              <w:jc w:val="center"/>
              <w:rPr>
                <w:sz w:val="22"/>
                <w:szCs w:val="22"/>
              </w:rPr>
            </w:pPr>
            <w:r w:rsidRPr="001D200B">
              <w:rPr>
                <w:sz w:val="22"/>
                <w:szCs w:val="22"/>
              </w:rPr>
              <w:t>67,0</w:t>
            </w:r>
          </w:p>
        </w:tc>
      </w:tr>
      <w:tr w:rsidR="00A96556" w:rsidRPr="001D200B" w:rsidTr="00C375A1">
        <w:trPr>
          <w:cantSplit/>
        </w:trPr>
        <w:tc>
          <w:tcPr>
            <w:tcW w:w="0" w:type="auto"/>
            <w:shd w:val="clear" w:color="auto" w:fill="auto"/>
            <w:vAlign w:val="center"/>
          </w:tcPr>
          <w:p w:rsidR="00A96556" w:rsidRPr="001D200B" w:rsidRDefault="00A96556" w:rsidP="00C375A1">
            <w:pPr>
              <w:spacing w:before="0" w:after="0" w:line="240" w:lineRule="auto"/>
              <w:rPr>
                <w:b/>
                <w:sz w:val="22"/>
                <w:szCs w:val="22"/>
              </w:rPr>
            </w:pPr>
            <w:r w:rsidRPr="001D200B">
              <w:rPr>
                <w:b/>
                <w:sz w:val="22"/>
                <w:szCs w:val="22"/>
              </w:rPr>
              <w:t>1971-1978</w:t>
            </w:r>
          </w:p>
        </w:tc>
        <w:tc>
          <w:tcPr>
            <w:tcW w:w="1763" w:type="dxa"/>
            <w:shd w:val="clear" w:color="auto" w:fill="auto"/>
          </w:tcPr>
          <w:p w:rsidR="00A96556" w:rsidRPr="001D200B" w:rsidRDefault="00C375A1" w:rsidP="00C375A1">
            <w:pPr>
              <w:pStyle w:val="Tekstpodstawowy2"/>
              <w:spacing w:before="0" w:after="0" w:line="240" w:lineRule="auto"/>
              <w:jc w:val="center"/>
              <w:rPr>
                <w:sz w:val="22"/>
                <w:szCs w:val="22"/>
              </w:rPr>
            </w:pPr>
            <w:r w:rsidRPr="001D200B">
              <w:rPr>
                <w:sz w:val="22"/>
                <w:szCs w:val="22"/>
              </w:rPr>
              <w:t>793</w:t>
            </w:r>
          </w:p>
        </w:tc>
        <w:tc>
          <w:tcPr>
            <w:tcW w:w="2700" w:type="dxa"/>
            <w:shd w:val="clear" w:color="auto" w:fill="auto"/>
          </w:tcPr>
          <w:p w:rsidR="00A96556" w:rsidRPr="001D200B" w:rsidRDefault="00C375A1" w:rsidP="00C375A1">
            <w:pPr>
              <w:pStyle w:val="Tekstpodstawowy2"/>
              <w:spacing w:before="0" w:after="0" w:line="240" w:lineRule="auto"/>
              <w:jc w:val="center"/>
              <w:rPr>
                <w:sz w:val="22"/>
                <w:szCs w:val="22"/>
              </w:rPr>
            </w:pPr>
            <w:r w:rsidRPr="001D200B">
              <w:rPr>
                <w:sz w:val="22"/>
                <w:szCs w:val="22"/>
              </w:rPr>
              <w:t>51 535,0</w:t>
            </w:r>
          </w:p>
        </w:tc>
        <w:tc>
          <w:tcPr>
            <w:tcW w:w="3240" w:type="dxa"/>
            <w:shd w:val="clear" w:color="auto" w:fill="auto"/>
          </w:tcPr>
          <w:p w:rsidR="00A96556" w:rsidRPr="001D200B" w:rsidRDefault="00C375A1" w:rsidP="00C375A1">
            <w:pPr>
              <w:pStyle w:val="Tekstpodstawowy2"/>
              <w:spacing w:before="0" w:after="0" w:line="240" w:lineRule="auto"/>
              <w:jc w:val="center"/>
              <w:rPr>
                <w:sz w:val="22"/>
                <w:szCs w:val="22"/>
              </w:rPr>
            </w:pPr>
            <w:r w:rsidRPr="001D200B">
              <w:rPr>
                <w:sz w:val="22"/>
                <w:szCs w:val="22"/>
              </w:rPr>
              <w:t>65,0</w:t>
            </w:r>
          </w:p>
        </w:tc>
      </w:tr>
      <w:tr w:rsidR="00A96556" w:rsidRPr="001D200B" w:rsidTr="00C375A1">
        <w:trPr>
          <w:cantSplit/>
        </w:trPr>
        <w:tc>
          <w:tcPr>
            <w:tcW w:w="0" w:type="auto"/>
            <w:shd w:val="clear" w:color="auto" w:fill="auto"/>
            <w:vAlign w:val="center"/>
          </w:tcPr>
          <w:p w:rsidR="00A96556" w:rsidRPr="001D200B" w:rsidRDefault="00A96556" w:rsidP="00C375A1">
            <w:pPr>
              <w:spacing w:before="0" w:after="0" w:line="240" w:lineRule="auto"/>
              <w:rPr>
                <w:b/>
                <w:sz w:val="22"/>
                <w:szCs w:val="22"/>
              </w:rPr>
            </w:pPr>
            <w:r w:rsidRPr="001D200B">
              <w:rPr>
                <w:b/>
                <w:sz w:val="22"/>
                <w:szCs w:val="22"/>
              </w:rPr>
              <w:t>1979-1988</w:t>
            </w:r>
          </w:p>
        </w:tc>
        <w:tc>
          <w:tcPr>
            <w:tcW w:w="1763" w:type="dxa"/>
            <w:shd w:val="clear" w:color="auto" w:fill="auto"/>
          </w:tcPr>
          <w:p w:rsidR="00A96556" w:rsidRPr="001D200B" w:rsidRDefault="00C375A1" w:rsidP="00C375A1">
            <w:pPr>
              <w:pStyle w:val="Tekstpodstawowy2"/>
              <w:spacing w:before="0" w:after="0" w:line="240" w:lineRule="auto"/>
              <w:jc w:val="center"/>
              <w:rPr>
                <w:sz w:val="22"/>
                <w:szCs w:val="22"/>
              </w:rPr>
            </w:pPr>
            <w:r w:rsidRPr="001D200B">
              <w:rPr>
                <w:sz w:val="22"/>
                <w:szCs w:val="22"/>
              </w:rPr>
              <w:t>1066</w:t>
            </w:r>
          </w:p>
        </w:tc>
        <w:tc>
          <w:tcPr>
            <w:tcW w:w="2700" w:type="dxa"/>
            <w:shd w:val="clear" w:color="auto" w:fill="auto"/>
          </w:tcPr>
          <w:p w:rsidR="00A96556" w:rsidRPr="001D200B" w:rsidRDefault="00C375A1" w:rsidP="00C375A1">
            <w:pPr>
              <w:pStyle w:val="Tekstpodstawowy2"/>
              <w:spacing w:before="0" w:after="0" w:line="240" w:lineRule="auto"/>
              <w:jc w:val="center"/>
              <w:rPr>
                <w:sz w:val="22"/>
                <w:szCs w:val="22"/>
              </w:rPr>
            </w:pPr>
            <w:r w:rsidRPr="001D200B">
              <w:rPr>
                <w:sz w:val="22"/>
                <w:szCs w:val="22"/>
              </w:rPr>
              <w:t>78 699,0</w:t>
            </w:r>
          </w:p>
        </w:tc>
        <w:tc>
          <w:tcPr>
            <w:tcW w:w="3240" w:type="dxa"/>
            <w:shd w:val="clear" w:color="auto" w:fill="auto"/>
          </w:tcPr>
          <w:p w:rsidR="00A96556" w:rsidRPr="001D200B" w:rsidRDefault="00C375A1" w:rsidP="00C375A1">
            <w:pPr>
              <w:pStyle w:val="Tekstpodstawowy2"/>
              <w:spacing w:before="0" w:after="0" w:line="240" w:lineRule="auto"/>
              <w:jc w:val="center"/>
              <w:rPr>
                <w:sz w:val="22"/>
                <w:szCs w:val="22"/>
              </w:rPr>
            </w:pPr>
            <w:r w:rsidRPr="001D200B">
              <w:rPr>
                <w:sz w:val="22"/>
                <w:szCs w:val="22"/>
              </w:rPr>
              <w:t>73,8</w:t>
            </w:r>
          </w:p>
        </w:tc>
      </w:tr>
      <w:tr w:rsidR="00A96556" w:rsidRPr="001D200B" w:rsidTr="00C375A1">
        <w:trPr>
          <w:cantSplit/>
        </w:trPr>
        <w:tc>
          <w:tcPr>
            <w:tcW w:w="0" w:type="auto"/>
            <w:shd w:val="clear" w:color="auto" w:fill="auto"/>
            <w:vAlign w:val="center"/>
          </w:tcPr>
          <w:p w:rsidR="00A96556" w:rsidRPr="001D200B" w:rsidRDefault="00A96556" w:rsidP="00C375A1">
            <w:pPr>
              <w:spacing w:before="0" w:after="0" w:line="240" w:lineRule="auto"/>
              <w:rPr>
                <w:b/>
                <w:sz w:val="22"/>
                <w:szCs w:val="22"/>
              </w:rPr>
            </w:pPr>
            <w:r w:rsidRPr="001D200B">
              <w:rPr>
                <w:b/>
                <w:sz w:val="22"/>
                <w:szCs w:val="22"/>
              </w:rPr>
              <w:t>1989-2002</w:t>
            </w:r>
          </w:p>
        </w:tc>
        <w:tc>
          <w:tcPr>
            <w:tcW w:w="1763" w:type="dxa"/>
            <w:shd w:val="clear" w:color="auto" w:fill="auto"/>
          </w:tcPr>
          <w:p w:rsidR="00A96556" w:rsidRPr="001D200B" w:rsidRDefault="00C375A1" w:rsidP="00C375A1">
            <w:pPr>
              <w:pStyle w:val="Tekstpodstawowy2"/>
              <w:spacing w:before="0" w:after="0" w:line="240" w:lineRule="auto"/>
              <w:jc w:val="center"/>
              <w:rPr>
                <w:sz w:val="22"/>
                <w:szCs w:val="22"/>
              </w:rPr>
            </w:pPr>
            <w:r w:rsidRPr="001D200B">
              <w:rPr>
                <w:sz w:val="22"/>
                <w:szCs w:val="22"/>
              </w:rPr>
              <w:t>960</w:t>
            </w:r>
          </w:p>
        </w:tc>
        <w:tc>
          <w:tcPr>
            <w:tcW w:w="2700" w:type="dxa"/>
            <w:shd w:val="clear" w:color="auto" w:fill="auto"/>
          </w:tcPr>
          <w:p w:rsidR="00A96556" w:rsidRPr="001D200B" w:rsidRDefault="00C375A1" w:rsidP="00C375A1">
            <w:pPr>
              <w:pStyle w:val="Tekstpodstawowy2"/>
              <w:spacing w:before="0" w:after="0" w:line="240" w:lineRule="auto"/>
              <w:jc w:val="center"/>
              <w:rPr>
                <w:sz w:val="22"/>
                <w:szCs w:val="22"/>
              </w:rPr>
            </w:pPr>
            <w:r w:rsidRPr="001D200B">
              <w:rPr>
                <w:sz w:val="22"/>
                <w:szCs w:val="22"/>
              </w:rPr>
              <w:t>94 660,0</w:t>
            </w:r>
          </w:p>
        </w:tc>
        <w:tc>
          <w:tcPr>
            <w:tcW w:w="3240" w:type="dxa"/>
            <w:shd w:val="clear" w:color="auto" w:fill="auto"/>
          </w:tcPr>
          <w:p w:rsidR="00A96556" w:rsidRPr="001D200B" w:rsidRDefault="00C375A1" w:rsidP="00C375A1">
            <w:pPr>
              <w:pStyle w:val="Tekstpodstawowy2"/>
              <w:spacing w:before="0" w:after="0" w:line="240" w:lineRule="auto"/>
              <w:jc w:val="center"/>
              <w:rPr>
                <w:sz w:val="22"/>
                <w:szCs w:val="22"/>
              </w:rPr>
            </w:pPr>
            <w:r w:rsidRPr="001D200B">
              <w:rPr>
                <w:sz w:val="22"/>
                <w:szCs w:val="22"/>
              </w:rPr>
              <w:t>98,6</w:t>
            </w:r>
          </w:p>
        </w:tc>
      </w:tr>
      <w:tr w:rsidR="00A96556" w:rsidRPr="001D200B" w:rsidTr="00C375A1">
        <w:trPr>
          <w:cantSplit/>
        </w:trPr>
        <w:tc>
          <w:tcPr>
            <w:tcW w:w="0" w:type="auto"/>
            <w:shd w:val="clear" w:color="auto" w:fill="auto"/>
            <w:vAlign w:val="center"/>
          </w:tcPr>
          <w:p w:rsidR="00A96556" w:rsidRPr="001D200B" w:rsidRDefault="00A96556" w:rsidP="00C375A1">
            <w:pPr>
              <w:spacing w:before="0" w:after="0" w:line="240" w:lineRule="auto"/>
              <w:rPr>
                <w:b/>
                <w:sz w:val="22"/>
                <w:szCs w:val="22"/>
              </w:rPr>
            </w:pPr>
            <w:r w:rsidRPr="001D200B">
              <w:rPr>
                <w:b/>
                <w:sz w:val="22"/>
                <w:szCs w:val="22"/>
              </w:rPr>
              <w:t>2003-2018</w:t>
            </w:r>
          </w:p>
        </w:tc>
        <w:tc>
          <w:tcPr>
            <w:tcW w:w="1763" w:type="dxa"/>
            <w:shd w:val="clear" w:color="auto" w:fill="auto"/>
            <w:vAlign w:val="bottom"/>
          </w:tcPr>
          <w:p w:rsidR="00A96556" w:rsidRPr="001D200B" w:rsidRDefault="00636B9F" w:rsidP="00C375A1">
            <w:pPr>
              <w:spacing w:before="0" w:after="0" w:line="240" w:lineRule="auto"/>
              <w:jc w:val="center"/>
              <w:rPr>
                <w:sz w:val="22"/>
                <w:szCs w:val="22"/>
              </w:rPr>
            </w:pPr>
            <w:r w:rsidRPr="001D200B">
              <w:rPr>
                <w:sz w:val="22"/>
                <w:szCs w:val="22"/>
              </w:rPr>
              <w:t>327</w:t>
            </w:r>
          </w:p>
        </w:tc>
        <w:tc>
          <w:tcPr>
            <w:tcW w:w="2700" w:type="dxa"/>
            <w:shd w:val="clear" w:color="auto" w:fill="auto"/>
            <w:vAlign w:val="bottom"/>
          </w:tcPr>
          <w:p w:rsidR="00A96556" w:rsidRPr="001D200B" w:rsidRDefault="00636B9F" w:rsidP="00C375A1">
            <w:pPr>
              <w:spacing w:before="0" w:after="0" w:line="240" w:lineRule="auto"/>
              <w:jc w:val="center"/>
              <w:rPr>
                <w:sz w:val="22"/>
                <w:szCs w:val="22"/>
              </w:rPr>
            </w:pPr>
            <w:r w:rsidRPr="001D200B">
              <w:rPr>
                <w:sz w:val="22"/>
                <w:szCs w:val="22"/>
              </w:rPr>
              <w:t>47 337,0</w:t>
            </w:r>
          </w:p>
        </w:tc>
        <w:tc>
          <w:tcPr>
            <w:tcW w:w="3240" w:type="dxa"/>
            <w:shd w:val="clear" w:color="auto" w:fill="auto"/>
            <w:vAlign w:val="bottom"/>
          </w:tcPr>
          <w:p w:rsidR="00A96556" w:rsidRPr="001D200B" w:rsidRDefault="00636B9F" w:rsidP="00C375A1">
            <w:pPr>
              <w:spacing w:before="0" w:after="0" w:line="240" w:lineRule="auto"/>
              <w:jc w:val="center"/>
              <w:rPr>
                <w:sz w:val="22"/>
                <w:szCs w:val="22"/>
              </w:rPr>
            </w:pPr>
            <w:r w:rsidRPr="001D200B">
              <w:rPr>
                <w:sz w:val="22"/>
                <w:szCs w:val="22"/>
              </w:rPr>
              <w:t>144,8</w:t>
            </w:r>
          </w:p>
        </w:tc>
      </w:tr>
      <w:tr w:rsidR="00A96556" w:rsidRPr="001D200B" w:rsidTr="00C375A1">
        <w:trPr>
          <w:cantSplit/>
        </w:trPr>
        <w:tc>
          <w:tcPr>
            <w:tcW w:w="0" w:type="auto"/>
            <w:shd w:val="clear" w:color="auto" w:fill="auto"/>
            <w:vAlign w:val="center"/>
          </w:tcPr>
          <w:p w:rsidR="00A96556" w:rsidRPr="001D200B" w:rsidRDefault="00A96556" w:rsidP="00C375A1">
            <w:pPr>
              <w:spacing w:before="0" w:after="0" w:line="240" w:lineRule="auto"/>
              <w:rPr>
                <w:b/>
                <w:sz w:val="22"/>
                <w:szCs w:val="22"/>
              </w:rPr>
            </w:pPr>
            <w:r w:rsidRPr="001D200B">
              <w:rPr>
                <w:b/>
                <w:sz w:val="22"/>
                <w:szCs w:val="22"/>
              </w:rPr>
              <w:t>nieustalone</w:t>
            </w:r>
          </w:p>
        </w:tc>
        <w:tc>
          <w:tcPr>
            <w:tcW w:w="1763" w:type="dxa"/>
            <w:shd w:val="clear" w:color="auto" w:fill="auto"/>
            <w:vAlign w:val="bottom"/>
          </w:tcPr>
          <w:p w:rsidR="00A96556" w:rsidRPr="001D200B" w:rsidRDefault="00636B9F" w:rsidP="00C375A1">
            <w:pPr>
              <w:spacing w:before="0" w:after="0" w:line="240" w:lineRule="auto"/>
              <w:jc w:val="center"/>
              <w:rPr>
                <w:sz w:val="22"/>
                <w:szCs w:val="22"/>
              </w:rPr>
            </w:pPr>
            <w:r w:rsidRPr="001D200B">
              <w:rPr>
                <w:sz w:val="22"/>
                <w:szCs w:val="22"/>
              </w:rPr>
              <w:t>229</w:t>
            </w:r>
          </w:p>
        </w:tc>
        <w:tc>
          <w:tcPr>
            <w:tcW w:w="2700" w:type="dxa"/>
            <w:shd w:val="clear" w:color="auto" w:fill="auto"/>
            <w:vAlign w:val="bottom"/>
          </w:tcPr>
          <w:p w:rsidR="00A96556" w:rsidRPr="001D200B" w:rsidRDefault="00636B9F" w:rsidP="00C375A1">
            <w:pPr>
              <w:spacing w:before="0" w:after="0" w:line="240" w:lineRule="auto"/>
              <w:jc w:val="center"/>
              <w:rPr>
                <w:sz w:val="22"/>
                <w:szCs w:val="22"/>
              </w:rPr>
            </w:pPr>
            <w:r w:rsidRPr="001D200B">
              <w:rPr>
                <w:sz w:val="22"/>
                <w:szCs w:val="22"/>
              </w:rPr>
              <w:t>21 021,0</w:t>
            </w:r>
          </w:p>
        </w:tc>
        <w:tc>
          <w:tcPr>
            <w:tcW w:w="3240" w:type="dxa"/>
            <w:shd w:val="clear" w:color="auto" w:fill="auto"/>
            <w:vAlign w:val="bottom"/>
          </w:tcPr>
          <w:p w:rsidR="00A96556" w:rsidRPr="001D200B" w:rsidRDefault="00636B9F" w:rsidP="00C375A1">
            <w:pPr>
              <w:spacing w:before="0" w:after="0" w:line="240" w:lineRule="auto"/>
              <w:jc w:val="center"/>
              <w:rPr>
                <w:sz w:val="22"/>
                <w:szCs w:val="22"/>
              </w:rPr>
            </w:pPr>
            <w:r w:rsidRPr="001D200B">
              <w:rPr>
                <w:sz w:val="22"/>
                <w:szCs w:val="22"/>
              </w:rPr>
              <w:t>91,8</w:t>
            </w:r>
          </w:p>
        </w:tc>
      </w:tr>
    </w:tbl>
    <w:p w:rsidR="00636B9F" w:rsidRPr="001D200B" w:rsidRDefault="00636B9F" w:rsidP="00636B9F">
      <w:pPr>
        <w:spacing w:before="0" w:after="0" w:line="240" w:lineRule="auto"/>
        <w:rPr>
          <w:sz w:val="18"/>
          <w:szCs w:val="18"/>
        </w:rPr>
      </w:pPr>
      <w:r w:rsidRPr="001D200B">
        <w:rPr>
          <w:sz w:val="18"/>
          <w:szCs w:val="18"/>
        </w:rPr>
        <w:t>Źródło: Dane GUS,www.stat.gov.pl</w:t>
      </w:r>
    </w:p>
    <w:p w:rsidR="00507221" w:rsidRPr="001D200B" w:rsidRDefault="00507221" w:rsidP="00507221">
      <w:pPr>
        <w:rPr>
          <w:szCs w:val="24"/>
        </w:rPr>
      </w:pPr>
      <w:r w:rsidRPr="001D200B">
        <w:rPr>
          <w:rFonts w:cstheme="minorHAnsi"/>
          <w:szCs w:val="24"/>
        </w:rPr>
        <w:t>Ponad 85% budynków mieszkalnych w gminie powstało po 1970 roku, łączna powierzchnia użytkowa tych zasobów wynosi ponad 272</w:t>
      </w:r>
      <w:r w:rsidR="002937AD" w:rsidRPr="001D200B">
        <w:rPr>
          <w:rFonts w:cstheme="minorHAnsi"/>
          <w:szCs w:val="24"/>
        </w:rPr>
        <w:t xml:space="preserve"> </w:t>
      </w:r>
      <w:r w:rsidRPr="001D200B">
        <w:rPr>
          <w:rFonts w:cstheme="minorHAnsi"/>
          <w:szCs w:val="24"/>
        </w:rPr>
        <w:t>tys.m</w:t>
      </w:r>
      <w:r w:rsidRPr="001D200B">
        <w:rPr>
          <w:rFonts w:cstheme="minorHAnsi"/>
          <w:szCs w:val="24"/>
          <w:vertAlign w:val="superscript"/>
        </w:rPr>
        <w:t>2</w:t>
      </w:r>
      <w:r w:rsidRPr="001D200B">
        <w:rPr>
          <w:rFonts w:cstheme="minorHAnsi"/>
          <w:szCs w:val="24"/>
        </w:rPr>
        <w:t>. Dynamiczny rozwój budownictwa mieszkaniowego w latach 70’ i 80’ XX wieku był ściśle powiązany z rozwojem sfery gospodarczej gminy, tj. rozpoczęciem budowy elektrowni (lata 70’) oraz odzyskaniem przez Połaniec praw miejskich (lata 80’). B</w:t>
      </w:r>
      <w:r w:rsidRPr="001D200B">
        <w:rPr>
          <w:szCs w:val="24"/>
        </w:rPr>
        <w:t xml:space="preserve">udynki najstarsze, tj. powstałe do 1945 roku stanowią zaledwie 3,3% ogólnego zasobu - zakłada się, że budynki z tego czasu charakteryzować się będą przede wszystkim niskim standardem zamieszkania i najczęściej złym stanem technicznym. </w:t>
      </w:r>
    </w:p>
    <w:p w:rsidR="008A10DF" w:rsidRPr="001D200B" w:rsidRDefault="00275E86" w:rsidP="00761536">
      <w:pPr>
        <w:pStyle w:val="Tytu"/>
        <w:rPr>
          <w:rFonts w:cstheme="minorHAnsi"/>
          <w:b/>
        </w:rPr>
      </w:pPr>
      <w:bookmarkStart w:id="25" w:name="_Toc31371906"/>
      <w:r w:rsidRPr="001D200B">
        <w:rPr>
          <w:rFonts w:cstheme="minorHAnsi"/>
          <w:b/>
          <w:noProof/>
        </w:rPr>
        <w:lastRenderedPageBreak/>
        <w:drawing>
          <wp:anchor distT="0" distB="0" distL="114300" distR="114300" simplePos="0" relativeHeight="251663360" behindDoc="0" locked="0" layoutInCell="1" allowOverlap="1">
            <wp:simplePos x="0" y="0"/>
            <wp:positionH relativeFrom="column">
              <wp:posOffset>-5080</wp:posOffset>
            </wp:positionH>
            <wp:positionV relativeFrom="paragraph">
              <wp:posOffset>412750</wp:posOffset>
            </wp:positionV>
            <wp:extent cx="5486400" cy="2609850"/>
            <wp:effectExtent l="0" t="0" r="0" b="0"/>
            <wp:wrapSquare wrapText="bothSides"/>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r w:rsidR="00761536" w:rsidRPr="001D200B">
        <w:rPr>
          <w:rFonts w:cstheme="minorHAnsi"/>
          <w:b/>
        </w:rPr>
        <w:t xml:space="preserve">Wykres </w:t>
      </w:r>
      <w:r w:rsidR="005B7234" w:rsidRPr="001D200B">
        <w:rPr>
          <w:rFonts w:cstheme="minorHAnsi"/>
          <w:b/>
        </w:rPr>
        <w:fldChar w:fldCharType="begin"/>
      </w:r>
      <w:r w:rsidR="00F200FE" w:rsidRPr="001D200B">
        <w:rPr>
          <w:rFonts w:cstheme="minorHAnsi"/>
          <w:b/>
        </w:rPr>
        <w:instrText xml:space="preserve"> SEQ Wykres \* ARABIC </w:instrText>
      </w:r>
      <w:r w:rsidR="005B7234" w:rsidRPr="001D200B">
        <w:rPr>
          <w:rFonts w:cstheme="minorHAnsi"/>
          <w:b/>
        </w:rPr>
        <w:fldChar w:fldCharType="separate"/>
      </w:r>
      <w:r w:rsidR="00975320" w:rsidRPr="001D200B">
        <w:rPr>
          <w:rFonts w:cstheme="minorHAnsi"/>
          <w:b/>
          <w:noProof/>
        </w:rPr>
        <w:t>4</w:t>
      </w:r>
      <w:r w:rsidR="005B7234" w:rsidRPr="001D200B">
        <w:rPr>
          <w:rFonts w:cstheme="minorHAnsi"/>
          <w:b/>
        </w:rPr>
        <w:fldChar w:fldCharType="end"/>
      </w:r>
      <w:r w:rsidR="00761536" w:rsidRPr="001D200B">
        <w:rPr>
          <w:rFonts w:cstheme="minorHAnsi"/>
          <w:b/>
        </w:rPr>
        <w:t xml:space="preserve">. </w:t>
      </w:r>
      <w:r w:rsidR="008A10DF" w:rsidRPr="001D200B">
        <w:rPr>
          <w:rFonts w:cstheme="minorHAnsi"/>
          <w:b/>
        </w:rPr>
        <w:t>Mieszkania gminy Połaniec według okresu budowy - struktura procentowa</w:t>
      </w:r>
      <w:bookmarkEnd w:id="25"/>
    </w:p>
    <w:p w:rsidR="002937AD" w:rsidRPr="001D200B" w:rsidRDefault="002937AD" w:rsidP="002937AD">
      <w:pPr>
        <w:rPr>
          <w:rFonts w:cstheme="minorHAnsi"/>
          <w:bCs/>
        </w:rPr>
      </w:pPr>
      <w:r w:rsidRPr="001D200B">
        <w:t>Ruch budowlany na terenie gminy Połaniec, biorąc pod uwagę okres 2003-2018, kształtuje się na poziomie około 20 mieszkań/rok i dotyczy budynków nowych, jak również po rozbudowie. Mieszkania z tego okresu charakteryzują się wysokim komfortem po stronie powierzchni użytkowej - średni metraż nowego mieszkania to blisko 145m</w:t>
      </w:r>
      <w:r w:rsidRPr="001D200B">
        <w:rPr>
          <w:vertAlign w:val="superscript"/>
        </w:rPr>
        <w:t>2</w:t>
      </w:r>
      <w:r w:rsidRPr="001D200B">
        <w:t xml:space="preserve">. Zmiany warunków mieszkaniowych determinuje przyrost nowych mieszkań, szczególnie w ramach budownictwa indywidualnego. </w:t>
      </w:r>
      <w:r w:rsidRPr="001D200B">
        <w:rPr>
          <w:rFonts w:cstheme="minorHAnsi"/>
          <w:bCs/>
        </w:rPr>
        <w:t>W tym okresie powstało 14 mieszkań komunalnych o łącznej powierzchni użytkowej 499 m</w:t>
      </w:r>
      <w:r w:rsidRPr="001D200B">
        <w:rPr>
          <w:rFonts w:cstheme="minorHAnsi"/>
          <w:bCs/>
          <w:vertAlign w:val="superscript"/>
        </w:rPr>
        <w:t>2</w:t>
      </w:r>
      <w:r w:rsidRPr="001D200B">
        <w:rPr>
          <w:rFonts w:cstheme="minorHAnsi"/>
          <w:bCs/>
        </w:rPr>
        <w:t xml:space="preserve">. </w:t>
      </w:r>
    </w:p>
    <w:p w:rsidR="0060010D" w:rsidRPr="001D200B" w:rsidRDefault="004011D9" w:rsidP="008651E8">
      <w:pPr>
        <w:rPr>
          <w:rFonts w:cstheme="minorHAnsi"/>
        </w:rPr>
      </w:pPr>
      <w:r w:rsidRPr="001D200B">
        <w:rPr>
          <w:rFonts w:cstheme="minorHAnsi"/>
        </w:rPr>
        <w:t xml:space="preserve">Zmiany średniej powierzchni użytkowej mieszkania </w:t>
      </w:r>
      <w:r w:rsidR="004F2E09" w:rsidRPr="001D200B">
        <w:rPr>
          <w:rFonts w:cstheme="minorHAnsi"/>
        </w:rPr>
        <w:t xml:space="preserve">według okresu </w:t>
      </w:r>
      <w:r w:rsidR="006F1992" w:rsidRPr="001D200B">
        <w:rPr>
          <w:rFonts w:cstheme="minorHAnsi"/>
        </w:rPr>
        <w:t>wzniesienia</w:t>
      </w:r>
      <w:r w:rsidR="004667E6" w:rsidRPr="001D200B">
        <w:rPr>
          <w:rFonts w:cstheme="minorHAnsi"/>
        </w:rPr>
        <w:t xml:space="preserve"> budynku p</w:t>
      </w:r>
      <w:r w:rsidR="00411321" w:rsidRPr="001D200B">
        <w:rPr>
          <w:rFonts w:cstheme="minorHAnsi"/>
        </w:rPr>
        <w:t>okazano na wykresie.</w:t>
      </w:r>
    </w:p>
    <w:p w:rsidR="00DA400F" w:rsidRPr="001D200B" w:rsidRDefault="00275E86" w:rsidP="00DA400F">
      <w:pPr>
        <w:pStyle w:val="Tytu"/>
        <w:rPr>
          <w:rFonts w:cstheme="minorHAnsi"/>
          <w:b/>
        </w:rPr>
      </w:pPr>
      <w:bookmarkStart w:id="26" w:name="_Toc31371907"/>
      <w:r w:rsidRPr="001D200B">
        <w:rPr>
          <w:rFonts w:cstheme="minorHAnsi"/>
          <w:b/>
          <w:noProof/>
        </w:rPr>
        <w:drawing>
          <wp:anchor distT="0" distB="0" distL="114300" distR="114300" simplePos="0" relativeHeight="251651072" behindDoc="0" locked="0" layoutInCell="1" allowOverlap="1">
            <wp:simplePos x="0" y="0"/>
            <wp:positionH relativeFrom="column">
              <wp:posOffset>52070</wp:posOffset>
            </wp:positionH>
            <wp:positionV relativeFrom="paragraph">
              <wp:posOffset>465455</wp:posOffset>
            </wp:positionV>
            <wp:extent cx="5486400" cy="2647950"/>
            <wp:effectExtent l="0" t="0" r="0" b="0"/>
            <wp:wrapSquare wrapText="bothSides"/>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r w:rsidR="00DA400F" w:rsidRPr="001D200B">
        <w:rPr>
          <w:rFonts w:cstheme="minorHAnsi"/>
          <w:b/>
        </w:rPr>
        <w:t xml:space="preserve">Wykres </w:t>
      </w:r>
      <w:r w:rsidR="005B7234" w:rsidRPr="001D200B">
        <w:rPr>
          <w:rFonts w:cstheme="minorHAnsi"/>
          <w:b/>
        </w:rPr>
        <w:fldChar w:fldCharType="begin"/>
      </w:r>
      <w:r w:rsidR="00F200FE" w:rsidRPr="001D200B">
        <w:rPr>
          <w:rFonts w:cstheme="minorHAnsi"/>
          <w:b/>
        </w:rPr>
        <w:instrText xml:space="preserve"> SEQ Wykres \* ARABIC </w:instrText>
      </w:r>
      <w:r w:rsidR="005B7234" w:rsidRPr="001D200B">
        <w:rPr>
          <w:rFonts w:cstheme="minorHAnsi"/>
          <w:b/>
        </w:rPr>
        <w:fldChar w:fldCharType="separate"/>
      </w:r>
      <w:r w:rsidR="00975320" w:rsidRPr="001D200B">
        <w:rPr>
          <w:rFonts w:cstheme="minorHAnsi"/>
          <w:b/>
          <w:noProof/>
        </w:rPr>
        <w:t>5</w:t>
      </w:r>
      <w:r w:rsidR="005B7234" w:rsidRPr="001D200B">
        <w:rPr>
          <w:rFonts w:cstheme="minorHAnsi"/>
          <w:b/>
        </w:rPr>
        <w:fldChar w:fldCharType="end"/>
      </w:r>
      <w:r w:rsidR="00DA400F" w:rsidRPr="001D200B">
        <w:rPr>
          <w:rFonts w:cstheme="minorHAnsi"/>
          <w:b/>
        </w:rPr>
        <w:t>. Przeciętna wielkość mieszkania w gminie Połaniec – według okresu budowy</w:t>
      </w:r>
      <w:bookmarkEnd w:id="26"/>
    </w:p>
    <w:p w:rsidR="0060010D" w:rsidRPr="001D200B" w:rsidRDefault="0060010D" w:rsidP="008651E8">
      <w:pPr>
        <w:rPr>
          <w:rFonts w:cstheme="minorHAnsi"/>
          <w:sz w:val="20"/>
        </w:rPr>
      </w:pPr>
    </w:p>
    <w:p w:rsidR="00411321" w:rsidRPr="001D200B" w:rsidRDefault="00411321" w:rsidP="00411321">
      <w:r w:rsidRPr="001D200B">
        <w:lastRenderedPageBreak/>
        <w:t>Stan zabudowy mieszkaniowej, ocenia się biorąc pod uwagę okresu powstania, technologii wykonania oraz stosowanych materiałów budowlanych - g</w:t>
      </w:r>
      <w:r w:rsidRPr="001D200B">
        <w:rPr>
          <w:szCs w:val="22"/>
        </w:rPr>
        <w:t xml:space="preserve">eneralnie stosowane rozwiązania budowlane zmieniały się wraz z upływem czasu i rozwojem technologii wykonania materiałów budowlanych i wykończeniowych. Z obecności na terenie gminy budynków „starych” i ich liczebności </w:t>
      </w:r>
      <w:r w:rsidRPr="001D200B">
        <w:t xml:space="preserve">wynika potencjalnie duża możliwości zaoszczędzenia energii cieplnej poprzez prace termomodernizacyjne i remontowe. </w:t>
      </w:r>
    </w:p>
    <w:p w:rsidR="00411321" w:rsidRPr="001D200B" w:rsidRDefault="00411321" w:rsidP="00411321">
      <w:r w:rsidRPr="001D200B">
        <w:t>Zmiany przeciętnego zapotrzebowania na energię (w kWh/m</w:t>
      </w:r>
      <w:r w:rsidRPr="001D200B">
        <w:rPr>
          <w:vertAlign w:val="superscript"/>
        </w:rPr>
        <w:t xml:space="preserve">2 </w:t>
      </w:r>
      <w:r w:rsidRPr="001D200B">
        <w:t>pow. użytkowej) do ogrzewania budynków w relacji do okresu budowy pokazano na wykresie.</w:t>
      </w:r>
    </w:p>
    <w:p w:rsidR="00D8766B" w:rsidRPr="001D200B" w:rsidRDefault="00D8766B" w:rsidP="00D8766B">
      <w:pPr>
        <w:pStyle w:val="Tytu"/>
        <w:rPr>
          <w:rFonts w:cstheme="minorHAnsi"/>
          <w:b/>
        </w:rPr>
      </w:pPr>
      <w:r w:rsidRPr="001D200B">
        <w:rPr>
          <w:rFonts w:cstheme="minorHAnsi"/>
          <w:b/>
          <w:noProof/>
        </w:rPr>
        <w:drawing>
          <wp:anchor distT="0" distB="0" distL="114300" distR="114300" simplePos="0" relativeHeight="251664384" behindDoc="1" locked="0" layoutInCell="1" allowOverlap="1">
            <wp:simplePos x="0" y="0"/>
            <wp:positionH relativeFrom="column">
              <wp:posOffset>52070</wp:posOffset>
            </wp:positionH>
            <wp:positionV relativeFrom="paragraph">
              <wp:posOffset>612775</wp:posOffset>
            </wp:positionV>
            <wp:extent cx="5657850" cy="2667000"/>
            <wp:effectExtent l="0" t="0" r="0" b="0"/>
            <wp:wrapSquare wrapText="bothSides"/>
            <wp:docPr id="18"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bookmarkStart w:id="27" w:name="_Toc31371908"/>
      <w:r w:rsidR="00DA400F" w:rsidRPr="001D200B">
        <w:rPr>
          <w:rFonts w:cstheme="minorHAnsi"/>
          <w:b/>
        </w:rPr>
        <w:t xml:space="preserve">Wykres </w:t>
      </w:r>
      <w:r w:rsidR="005B7234" w:rsidRPr="001D200B">
        <w:rPr>
          <w:rFonts w:cstheme="minorHAnsi"/>
          <w:b/>
        </w:rPr>
        <w:fldChar w:fldCharType="begin"/>
      </w:r>
      <w:r w:rsidR="00F200FE" w:rsidRPr="001D200B">
        <w:rPr>
          <w:rFonts w:cstheme="minorHAnsi"/>
          <w:b/>
        </w:rPr>
        <w:instrText xml:space="preserve"> SEQ Wykres \* ARABIC </w:instrText>
      </w:r>
      <w:r w:rsidR="005B7234" w:rsidRPr="001D200B">
        <w:rPr>
          <w:rFonts w:cstheme="minorHAnsi"/>
          <w:b/>
        </w:rPr>
        <w:fldChar w:fldCharType="separate"/>
      </w:r>
      <w:r w:rsidR="00975320" w:rsidRPr="001D200B">
        <w:rPr>
          <w:rFonts w:cstheme="minorHAnsi"/>
          <w:b/>
          <w:noProof/>
        </w:rPr>
        <w:t>6</w:t>
      </w:r>
      <w:r w:rsidR="005B7234" w:rsidRPr="001D200B">
        <w:rPr>
          <w:rFonts w:cstheme="minorHAnsi"/>
          <w:b/>
        </w:rPr>
        <w:fldChar w:fldCharType="end"/>
      </w:r>
      <w:r w:rsidR="00DA400F" w:rsidRPr="001D200B">
        <w:rPr>
          <w:rFonts w:cstheme="minorHAnsi"/>
          <w:b/>
        </w:rPr>
        <w:t xml:space="preserve">. Parametry energochłonności – powierzchniowy wskaźnik sezonowego </w:t>
      </w:r>
      <w:r w:rsidRPr="001D200B">
        <w:rPr>
          <w:rFonts w:cstheme="minorHAnsi"/>
          <w:b/>
        </w:rPr>
        <w:t>zapotrzebowania na ciepło</w:t>
      </w:r>
      <w:bookmarkEnd w:id="27"/>
    </w:p>
    <w:p w:rsidR="00D8766B" w:rsidRPr="001D200B" w:rsidRDefault="00D8766B" w:rsidP="00D8766B">
      <w:pPr>
        <w:pStyle w:val="Tytu"/>
        <w:rPr>
          <w:rFonts w:cstheme="minorHAnsi"/>
          <w:sz w:val="20"/>
          <w:highlight w:val="yellow"/>
        </w:rPr>
      </w:pPr>
    </w:p>
    <w:p w:rsidR="00411321" w:rsidRPr="001D200B" w:rsidRDefault="00411321" w:rsidP="00411321">
      <w:pPr>
        <w:rPr>
          <w:u w:val="single"/>
        </w:rPr>
      </w:pPr>
      <w:r w:rsidRPr="001D200B">
        <w:rPr>
          <w:u w:val="single"/>
        </w:rPr>
        <w:t>Zasoby niemieszk</w:t>
      </w:r>
      <w:r w:rsidR="0099788F" w:rsidRPr="001D200B">
        <w:rPr>
          <w:u w:val="single"/>
        </w:rPr>
        <w:t>alne:</w:t>
      </w:r>
    </w:p>
    <w:p w:rsidR="00446B04" w:rsidRPr="001D200B" w:rsidRDefault="00653836" w:rsidP="003D7C1D">
      <w:r w:rsidRPr="001D200B">
        <w:rPr>
          <w:rFonts w:cstheme="minorHAnsi"/>
          <w:szCs w:val="24"/>
        </w:rPr>
        <w:t xml:space="preserve">Usługi podstawowe i ponadpodstawowe koncentrują się </w:t>
      </w:r>
      <w:r w:rsidR="00920325" w:rsidRPr="001D200B">
        <w:rPr>
          <w:rFonts w:cstheme="minorHAnsi"/>
          <w:szCs w:val="24"/>
        </w:rPr>
        <w:t xml:space="preserve">głównie na terenie </w:t>
      </w:r>
      <w:r w:rsidR="0099788F" w:rsidRPr="001D200B">
        <w:rPr>
          <w:rFonts w:cstheme="minorHAnsi"/>
          <w:szCs w:val="24"/>
        </w:rPr>
        <w:t>miasta</w:t>
      </w:r>
      <w:r w:rsidR="00920325" w:rsidRPr="001D200B">
        <w:rPr>
          <w:rFonts w:cstheme="minorHAnsi"/>
          <w:szCs w:val="24"/>
        </w:rPr>
        <w:t xml:space="preserve"> </w:t>
      </w:r>
      <w:r w:rsidRPr="001D200B">
        <w:rPr>
          <w:rFonts w:cstheme="minorHAnsi"/>
          <w:szCs w:val="24"/>
        </w:rPr>
        <w:t xml:space="preserve">- </w:t>
      </w:r>
      <w:r w:rsidR="00A93C50" w:rsidRPr="001D200B">
        <w:rPr>
          <w:rFonts w:cstheme="minorHAnsi"/>
          <w:szCs w:val="24"/>
        </w:rPr>
        <w:t xml:space="preserve">znajdują się </w:t>
      </w:r>
      <w:r w:rsidRPr="001D200B">
        <w:rPr>
          <w:rFonts w:cstheme="minorHAnsi"/>
          <w:szCs w:val="24"/>
        </w:rPr>
        <w:t xml:space="preserve">tu </w:t>
      </w:r>
      <w:r w:rsidR="00A93C50" w:rsidRPr="001D200B">
        <w:rPr>
          <w:rFonts w:cstheme="minorHAnsi"/>
          <w:szCs w:val="24"/>
        </w:rPr>
        <w:t xml:space="preserve">liczne obiekty użyteczności publicznej, są to budynki przeznaczone dla potrzeb oświaty, opieki zdrowotnej, administracji samorządowej, kultury, obsługi bankowej, handlu, gastronomii, sportu, itp. </w:t>
      </w:r>
      <w:r w:rsidR="00920325" w:rsidRPr="001D200B">
        <w:rPr>
          <w:szCs w:val="24"/>
        </w:rPr>
        <w:t>Na obszarze wiejskim gminy są to głównie remizy strażackie, szkoły podstawowe lub przedszkola (Okrągła, Rudniki, Ruszcza, Zrębin).</w:t>
      </w:r>
      <w:r w:rsidR="006840D2" w:rsidRPr="001D200B">
        <w:rPr>
          <w:szCs w:val="24"/>
        </w:rPr>
        <w:t xml:space="preserve"> </w:t>
      </w:r>
      <w:r w:rsidR="00446B04" w:rsidRPr="001D200B">
        <w:rPr>
          <w:rFonts w:cstheme="minorHAnsi"/>
          <w:szCs w:val="24"/>
        </w:rPr>
        <w:t>Miasto i</w:t>
      </w:r>
      <w:r w:rsidR="006840D2" w:rsidRPr="001D200B">
        <w:rPr>
          <w:rFonts w:cstheme="minorHAnsi"/>
          <w:szCs w:val="24"/>
        </w:rPr>
        <w:t> </w:t>
      </w:r>
      <w:r w:rsidR="00446B04" w:rsidRPr="001D200B">
        <w:rPr>
          <w:rFonts w:cstheme="minorHAnsi"/>
          <w:szCs w:val="24"/>
        </w:rPr>
        <w:t xml:space="preserve">gmina Połaniec posiada rozwiniętą sieć placówek oświatowo-wychowawczych na poziomie podstawowym i ponadpodstawowym: </w:t>
      </w:r>
      <w:r w:rsidR="00446B04" w:rsidRPr="001D200B">
        <w:t>Publiczna Szkoła Podstawowa z Oddziałami Integracyjn</w:t>
      </w:r>
      <w:r w:rsidR="003D7C1D" w:rsidRPr="001D200B">
        <w:t xml:space="preserve">ymi im. T. Kościuszki w Połańcu, Przedszkole Publiczne w Połańcu, </w:t>
      </w:r>
      <w:r w:rsidR="00446B04" w:rsidRPr="001D200B">
        <w:t>Publicz</w:t>
      </w:r>
      <w:r w:rsidR="003D7C1D" w:rsidRPr="001D200B">
        <w:t xml:space="preserve">na Szkoła Podstawowa w Zrębinie, </w:t>
      </w:r>
      <w:r w:rsidR="00446B04" w:rsidRPr="001D200B">
        <w:t>Zespół</w:t>
      </w:r>
      <w:r w:rsidR="003D7C1D" w:rsidRPr="001D200B">
        <w:t xml:space="preserve"> Placówek Oświatowych w Ruszczy, Żłobek w Połańcu, </w:t>
      </w:r>
      <w:r w:rsidR="00446B04" w:rsidRPr="001D200B">
        <w:t>Zespół Szkół im. Oddziału Partyza</w:t>
      </w:r>
      <w:r w:rsidR="003D7C1D" w:rsidRPr="001D200B">
        <w:t xml:space="preserve">nckiego AK „Jędrusie” w Połańcu, </w:t>
      </w:r>
      <w:r w:rsidR="00446B04" w:rsidRPr="001D200B">
        <w:t>Poradnia Psychologiczno-Pedagogiczna w Staszowie Filia w Połańcu</w:t>
      </w:r>
      <w:r w:rsidR="003D7C1D" w:rsidRPr="001D200B">
        <w:t>.</w:t>
      </w:r>
    </w:p>
    <w:p w:rsidR="006840D2" w:rsidRPr="001D200B" w:rsidRDefault="006840D2" w:rsidP="00D713F6">
      <w:pPr>
        <w:rPr>
          <w:rFonts w:cs="Calibri"/>
        </w:rPr>
      </w:pPr>
      <w:r w:rsidRPr="001D200B">
        <w:rPr>
          <w:rFonts w:eastAsia="MSTT31f16d5a04o187074S00"/>
        </w:rPr>
        <w:t>Opieka medyczna działa w dwóch sektorach: publicznym i prywatnym, oferując opiekę podstawową</w:t>
      </w:r>
      <w:r w:rsidR="00317BE2" w:rsidRPr="001D200B">
        <w:rPr>
          <w:rFonts w:eastAsia="MSTT31f16d5a04o187074S00"/>
        </w:rPr>
        <w:t xml:space="preserve"> oraz specjalistyczną (poradnie specjalistyczne). </w:t>
      </w:r>
      <w:r w:rsidRPr="001D200B">
        <w:t xml:space="preserve">Obiekty związane ze służbą </w:t>
      </w:r>
      <w:r w:rsidRPr="001D200B">
        <w:lastRenderedPageBreak/>
        <w:t>zdrowia to</w:t>
      </w:r>
      <w:r w:rsidRPr="001D200B">
        <w:rPr>
          <w:rFonts w:cs="Calibri"/>
        </w:rPr>
        <w:t xml:space="preserve">: NZOZ Centrum Medyczne </w:t>
      </w:r>
      <w:r w:rsidR="00317BE2" w:rsidRPr="001D200B">
        <w:rPr>
          <w:rFonts w:cs="Calibri"/>
        </w:rPr>
        <w:t xml:space="preserve">Połaniec </w:t>
      </w:r>
      <w:r w:rsidRPr="001D200B">
        <w:rPr>
          <w:rFonts w:cs="Calibri"/>
        </w:rPr>
        <w:t xml:space="preserve">Sp. </w:t>
      </w:r>
      <w:r w:rsidR="00317BE2" w:rsidRPr="001D200B">
        <w:rPr>
          <w:rFonts w:cs="Calibri"/>
        </w:rPr>
        <w:t>z</w:t>
      </w:r>
      <w:r w:rsidRPr="001D200B">
        <w:rPr>
          <w:rFonts w:cs="Calibri"/>
        </w:rPr>
        <w:t xml:space="preserve"> o.o. </w:t>
      </w:r>
      <w:r w:rsidR="00317BE2" w:rsidRPr="001D200B">
        <w:rPr>
          <w:rFonts w:cs="Calibri"/>
        </w:rPr>
        <w:t xml:space="preserve">w miejscowości Zawada oraz Samodzielny Publiczny ZOZ Przychodnia Zdrowia w Połańcu. </w:t>
      </w:r>
    </w:p>
    <w:p w:rsidR="00780263" w:rsidRPr="001D200B" w:rsidRDefault="00780263" w:rsidP="00184216">
      <w:pPr>
        <w:rPr>
          <w:rFonts w:cstheme="minorHAnsi"/>
          <w:szCs w:val="24"/>
        </w:rPr>
      </w:pPr>
      <w:r w:rsidRPr="001D200B">
        <w:rPr>
          <w:rFonts w:eastAsia="MSTT31f16d5a04o187074S00" w:cstheme="minorHAnsi"/>
        </w:rPr>
        <w:t>Funkcję upowszechniania kultury realizuje Centrum Kultury i Sztuki w Połańcu oraz Miejsko – Gminna Biblioteka Publiczna im. Adama Mickiewicza w Połańcu</w:t>
      </w:r>
      <w:r w:rsidR="003D471A" w:rsidRPr="001D200B">
        <w:rPr>
          <w:rFonts w:eastAsia="MSTT31f16d5a04o187074S00" w:cstheme="minorHAnsi"/>
        </w:rPr>
        <w:t>.</w:t>
      </w:r>
      <w:r w:rsidR="00317BE2" w:rsidRPr="001D200B">
        <w:rPr>
          <w:rFonts w:eastAsia="MSTT31f16d5a04o187074S00" w:cstheme="minorHAnsi"/>
        </w:rPr>
        <w:t xml:space="preserve"> </w:t>
      </w:r>
      <w:r w:rsidR="00D132D8" w:rsidRPr="001D200B">
        <w:rPr>
          <w:rFonts w:cstheme="minorHAnsi"/>
          <w:szCs w:val="24"/>
        </w:rPr>
        <w:t xml:space="preserve">Do najważniejszych </w:t>
      </w:r>
      <w:r w:rsidRPr="001D200B">
        <w:rPr>
          <w:rFonts w:cstheme="minorHAnsi"/>
          <w:szCs w:val="24"/>
        </w:rPr>
        <w:t>jednostek</w:t>
      </w:r>
      <w:r w:rsidR="00D132D8" w:rsidRPr="001D200B">
        <w:rPr>
          <w:rFonts w:cstheme="minorHAnsi"/>
          <w:szCs w:val="24"/>
        </w:rPr>
        <w:t xml:space="preserve"> realizujących zadania z zakresu sportu</w:t>
      </w:r>
      <w:r w:rsidRPr="001D200B">
        <w:rPr>
          <w:rFonts w:cstheme="minorHAnsi"/>
          <w:szCs w:val="24"/>
        </w:rPr>
        <w:t xml:space="preserve"> i</w:t>
      </w:r>
      <w:r w:rsidR="00D132D8" w:rsidRPr="001D200B">
        <w:rPr>
          <w:rFonts w:cstheme="minorHAnsi"/>
          <w:szCs w:val="24"/>
        </w:rPr>
        <w:t xml:space="preserve"> rekreacji należy </w:t>
      </w:r>
      <w:r w:rsidRPr="001D200B">
        <w:rPr>
          <w:rFonts w:cstheme="minorHAnsi"/>
          <w:szCs w:val="24"/>
        </w:rPr>
        <w:t xml:space="preserve">Ośrodek Sportu i Rekreacji wraz z krytą pływalnią „Delfin”. </w:t>
      </w:r>
    </w:p>
    <w:p w:rsidR="00317BE2" w:rsidRPr="001D200B" w:rsidRDefault="00317BE2" w:rsidP="00317BE2">
      <w:r w:rsidRPr="001D200B">
        <w:t xml:space="preserve">Handel i drobne usługi służące zaspokojeniu podstawowych potrzeb mieszkańców znajdują lokalizację na terenie całego miasta - obiekty handlowo-usługowe występują zarówno w połączeniu z zabudową mieszkaniową, jak również jako samodzielne budynki wolnostojące. </w:t>
      </w:r>
    </w:p>
    <w:p w:rsidR="004B7266" w:rsidRPr="001D200B" w:rsidRDefault="00317BE2" w:rsidP="00317BE2">
      <w:pPr>
        <w:rPr>
          <w:rFonts w:cstheme="minorHAnsi"/>
          <w:highlight w:val="yellow"/>
        </w:rPr>
      </w:pPr>
      <w:r w:rsidRPr="001D200B">
        <w:t>Budynki sfery publicznej oraz działalności gospodarczej cechują się zróżnicowanymi potrzebami energetycznymi. Posiadają cechy charakterystyczne zarówno dla budynków mieszkalnych jak również administracyjnych, obiektów sklepowych, warsztatów czy hal produkcyjnych. Zapotrzebowanie na energię w analizowanych obiektach jest zróżnicowane i zmienne w czasie.</w:t>
      </w:r>
    </w:p>
    <w:p w:rsidR="00B67E0C" w:rsidRPr="001D200B" w:rsidRDefault="00B67E0C" w:rsidP="00B67E0C">
      <w:pPr>
        <w:pStyle w:val="Nagwek2"/>
        <w:rPr>
          <w:rFonts w:cstheme="minorHAnsi"/>
        </w:rPr>
      </w:pPr>
      <w:bookmarkStart w:id="28" w:name="_Toc31972817"/>
      <w:r w:rsidRPr="001D200B">
        <w:rPr>
          <w:rFonts w:cstheme="minorHAnsi"/>
        </w:rPr>
        <w:t>4. Charakterystyka infrastruktury technicznej</w:t>
      </w:r>
      <w:bookmarkEnd w:id="28"/>
    </w:p>
    <w:p w:rsidR="00131A90" w:rsidRPr="001D200B" w:rsidRDefault="00131A90" w:rsidP="00D0248D">
      <w:pPr>
        <w:rPr>
          <w:rFonts w:cstheme="minorHAnsi"/>
          <w:highlight w:val="yellow"/>
        </w:rPr>
      </w:pPr>
      <w:r w:rsidRPr="001D200B">
        <w:rPr>
          <w:rFonts w:cstheme="minorHAnsi"/>
        </w:rPr>
        <w:t xml:space="preserve">Zaopatrzenie ludności w wodę odbywa się poprzez </w:t>
      </w:r>
      <w:r w:rsidR="00311766" w:rsidRPr="001D200B">
        <w:rPr>
          <w:rFonts w:cstheme="minorHAnsi"/>
        </w:rPr>
        <w:t xml:space="preserve">jeden system wodociągowy </w:t>
      </w:r>
      <w:r w:rsidRPr="001D200B">
        <w:rPr>
          <w:rFonts w:cstheme="minorHAnsi"/>
        </w:rPr>
        <w:t>bazujący na</w:t>
      </w:r>
      <w:r w:rsidR="005329ED" w:rsidRPr="001D200B">
        <w:rPr>
          <w:rFonts w:cstheme="minorHAnsi"/>
        </w:rPr>
        <w:t xml:space="preserve"> </w:t>
      </w:r>
      <w:r w:rsidRPr="001D200B">
        <w:rPr>
          <w:rFonts w:cstheme="minorHAnsi"/>
        </w:rPr>
        <w:t xml:space="preserve">ujęciu </w:t>
      </w:r>
      <w:r w:rsidR="00311766" w:rsidRPr="001D200B">
        <w:rPr>
          <w:rFonts w:cstheme="minorHAnsi"/>
        </w:rPr>
        <w:t xml:space="preserve">wód podziemnych zlokalizowanym w miejscowości </w:t>
      </w:r>
      <w:r w:rsidRPr="001D200B">
        <w:rPr>
          <w:rFonts w:cstheme="minorHAnsi"/>
        </w:rPr>
        <w:t>Wiązownic</w:t>
      </w:r>
      <w:r w:rsidR="005329ED" w:rsidRPr="001D200B">
        <w:rPr>
          <w:rFonts w:cstheme="minorHAnsi"/>
        </w:rPr>
        <w:t>a</w:t>
      </w:r>
      <w:r w:rsidRPr="001D200B">
        <w:rPr>
          <w:rFonts w:cstheme="minorHAnsi"/>
        </w:rPr>
        <w:t xml:space="preserve"> </w:t>
      </w:r>
      <w:r w:rsidR="00311766" w:rsidRPr="001D200B">
        <w:rPr>
          <w:rFonts w:cstheme="minorHAnsi"/>
        </w:rPr>
        <w:t xml:space="preserve">Mała </w:t>
      </w:r>
      <w:r w:rsidR="005329ED" w:rsidRPr="001D200B">
        <w:rPr>
          <w:rFonts w:cstheme="minorHAnsi"/>
        </w:rPr>
        <w:t xml:space="preserve">w </w:t>
      </w:r>
      <w:r w:rsidRPr="001D200B">
        <w:rPr>
          <w:rFonts w:cstheme="minorHAnsi"/>
        </w:rPr>
        <w:t>gm</w:t>
      </w:r>
      <w:r w:rsidR="005329ED" w:rsidRPr="001D200B">
        <w:rPr>
          <w:rFonts w:cstheme="minorHAnsi"/>
        </w:rPr>
        <w:t>inie</w:t>
      </w:r>
      <w:r w:rsidRPr="001D200B">
        <w:rPr>
          <w:rFonts w:cstheme="minorHAnsi"/>
        </w:rPr>
        <w:t xml:space="preserve"> Staszów.</w:t>
      </w:r>
      <w:r w:rsidR="00D0248D" w:rsidRPr="001D200B">
        <w:rPr>
          <w:rFonts w:cstheme="minorHAnsi"/>
        </w:rPr>
        <w:t xml:space="preserve"> </w:t>
      </w:r>
    </w:p>
    <w:p w:rsidR="00311766" w:rsidRPr="001D200B" w:rsidRDefault="00311766" w:rsidP="00311766">
      <w:r w:rsidRPr="001D200B">
        <w:rPr>
          <w:bCs/>
        </w:rPr>
        <w:t xml:space="preserve">Łączna długość rozdzielczej </w:t>
      </w:r>
      <w:r w:rsidRPr="001D200B">
        <w:t>sieci wodociągowej wynosi 114,9km (stan na koniec 2018 roku, dane GUS), z przyłączami prowadzącymi do budynków mieszkalnych i zbiorowego zamieszkania w ilości 2259 szt. Przeciętne zużycie wody w gospodarstwach domowych przyjmuje wartość około 26,4m</w:t>
      </w:r>
      <w:r w:rsidRPr="001D200B">
        <w:rPr>
          <w:vertAlign w:val="superscript"/>
        </w:rPr>
        <w:t>3</w:t>
      </w:r>
      <w:r w:rsidRPr="001D200B">
        <w:t>/mieszkańca.</w:t>
      </w:r>
    </w:p>
    <w:p w:rsidR="00311766" w:rsidRPr="001D200B" w:rsidRDefault="00311766" w:rsidP="00311766">
      <w:pPr>
        <w:pStyle w:val="Legenda"/>
        <w:rPr>
          <w:color w:val="auto"/>
        </w:rPr>
      </w:pPr>
      <w:bookmarkStart w:id="29" w:name="_Toc39476558"/>
      <w:r w:rsidRPr="001D200B">
        <w:rPr>
          <w:color w:val="auto"/>
        </w:rPr>
        <w:t xml:space="preserve">Tabela </w:t>
      </w:r>
      <w:r w:rsidR="005B7234" w:rsidRPr="001D200B">
        <w:rPr>
          <w:color w:val="auto"/>
        </w:rPr>
        <w:fldChar w:fldCharType="begin"/>
      </w:r>
      <w:r w:rsidR="005B7234" w:rsidRPr="001D200B">
        <w:rPr>
          <w:color w:val="auto"/>
        </w:rPr>
        <w:instrText xml:space="preserve"> SEQ Tabela \* ARABIC </w:instrText>
      </w:r>
      <w:r w:rsidR="005B7234" w:rsidRPr="001D200B">
        <w:rPr>
          <w:color w:val="auto"/>
        </w:rPr>
        <w:fldChar w:fldCharType="separate"/>
      </w:r>
      <w:r w:rsidR="00975320" w:rsidRPr="001D200B">
        <w:rPr>
          <w:noProof/>
          <w:color w:val="auto"/>
        </w:rPr>
        <w:t>6</w:t>
      </w:r>
      <w:r w:rsidR="005B7234" w:rsidRPr="001D200B">
        <w:rPr>
          <w:color w:val="auto"/>
        </w:rPr>
        <w:fldChar w:fldCharType="end"/>
      </w:r>
      <w:r w:rsidRPr="001D200B">
        <w:rPr>
          <w:color w:val="auto"/>
        </w:rPr>
        <w:t xml:space="preserve">. </w:t>
      </w:r>
      <w:r w:rsidRPr="001D200B">
        <w:rPr>
          <w:rFonts w:cstheme="minorHAnsi"/>
          <w:color w:val="auto"/>
        </w:rPr>
        <w:t>Sieć wodociągowa na terenie gminy Połaniec w 2018 roku</w:t>
      </w:r>
      <w:bookmarkEnd w:id="29"/>
    </w:p>
    <w:tbl>
      <w:tblPr>
        <w:tblStyle w:val="Tabela-Siatka"/>
        <w:tblW w:w="0" w:type="auto"/>
        <w:tblLook w:val="04A0"/>
      </w:tblPr>
      <w:tblGrid>
        <w:gridCol w:w="4928"/>
        <w:gridCol w:w="1417"/>
        <w:gridCol w:w="1417"/>
        <w:gridCol w:w="1418"/>
      </w:tblGrid>
      <w:tr w:rsidR="00311766" w:rsidRPr="001D200B" w:rsidTr="00311766">
        <w:trPr>
          <w:trHeight w:val="620"/>
        </w:trPr>
        <w:tc>
          <w:tcPr>
            <w:tcW w:w="4928" w:type="dxa"/>
            <w:shd w:val="clear" w:color="auto" w:fill="F2F2F2" w:themeFill="background1" w:themeFillShade="F2"/>
            <w:vAlign w:val="center"/>
          </w:tcPr>
          <w:p w:rsidR="00311766" w:rsidRPr="001D200B" w:rsidRDefault="00311766" w:rsidP="00B02F68">
            <w:pPr>
              <w:spacing w:before="0" w:after="0" w:line="240" w:lineRule="auto"/>
              <w:rPr>
                <w:b/>
              </w:rPr>
            </w:pPr>
            <w:r w:rsidRPr="001D200B">
              <w:rPr>
                <w:b/>
              </w:rPr>
              <w:t>Wyszczególnienie</w:t>
            </w:r>
          </w:p>
        </w:tc>
        <w:tc>
          <w:tcPr>
            <w:tcW w:w="1417" w:type="dxa"/>
            <w:shd w:val="clear" w:color="auto" w:fill="F2F2F2" w:themeFill="background1" w:themeFillShade="F2"/>
            <w:vAlign w:val="center"/>
          </w:tcPr>
          <w:p w:rsidR="00311766" w:rsidRPr="001D200B" w:rsidRDefault="00311766" w:rsidP="00311766">
            <w:pPr>
              <w:spacing w:before="0" w:after="0" w:line="240" w:lineRule="auto"/>
              <w:jc w:val="center"/>
              <w:rPr>
                <w:b/>
              </w:rPr>
            </w:pPr>
            <w:r w:rsidRPr="001D200B">
              <w:rPr>
                <w:b/>
              </w:rPr>
              <w:t>Miasto</w:t>
            </w:r>
          </w:p>
        </w:tc>
        <w:tc>
          <w:tcPr>
            <w:tcW w:w="1417" w:type="dxa"/>
            <w:shd w:val="clear" w:color="auto" w:fill="F2F2F2" w:themeFill="background1" w:themeFillShade="F2"/>
            <w:vAlign w:val="center"/>
          </w:tcPr>
          <w:p w:rsidR="00311766" w:rsidRPr="001D200B" w:rsidRDefault="00311766" w:rsidP="00311766">
            <w:pPr>
              <w:spacing w:before="0" w:after="0" w:line="240" w:lineRule="auto"/>
              <w:jc w:val="center"/>
              <w:rPr>
                <w:b/>
              </w:rPr>
            </w:pPr>
            <w:r w:rsidRPr="001D200B">
              <w:rPr>
                <w:b/>
              </w:rPr>
              <w:t>Obszary wiejskie</w:t>
            </w:r>
          </w:p>
        </w:tc>
        <w:tc>
          <w:tcPr>
            <w:tcW w:w="1418" w:type="dxa"/>
            <w:shd w:val="clear" w:color="auto" w:fill="F2F2F2" w:themeFill="background1" w:themeFillShade="F2"/>
            <w:vAlign w:val="center"/>
          </w:tcPr>
          <w:p w:rsidR="00311766" w:rsidRPr="001D200B" w:rsidRDefault="00311766" w:rsidP="00311766">
            <w:pPr>
              <w:spacing w:before="0" w:after="0" w:line="240" w:lineRule="auto"/>
              <w:jc w:val="center"/>
              <w:rPr>
                <w:b/>
              </w:rPr>
            </w:pPr>
            <w:r w:rsidRPr="001D200B">
              <w:rPr>
                <w:b/>
              </w:rPr>
              <w:t>Gmina</w:t>
            </w:r>
          </w:p>
          <w:p w:rsidR="00301EAD" w:rsidRPr="001D200B" w:rsidRDefault="00301EAD" w:rsidP="00311766">
            <w:pPr>
              <w:spacing w:before="0" w:after="0" w:line="240" w:lineRule="auto"/>
              <w:jc w:val="center"/>
              <w:rPr>
                <w:b/>
              </w:rPr>
            </w:pPr>
            <w:r w:rsidRPr="001D200B">
              <w:rPr>
                <w:b/>
              </w:rPr>
              <w:t>razem</w:t>
            </w:r>
          </w:p>
        </w:tc>
      </w:tr>
      <w:tr w:rsidR="00311766" w:rsidRPr="001D200B" w:rsidTr="00B02F68">
        <w:tc>
          <w:tcPr>
            <w:tcW w:w="4928" w:type="dxa"/>
            <w:shd w:val="clear" w:color="auto" w:fill="auto"/>
          </w:tcPr>
          <w:p w:rsidR="00311766" w:rsidRPr="001D200B" w:rsidRDefault="00311766" w:rsidP="00B02F68">
            <w:pPr>
              <w:spacing w:before="0" w:after="0" w:line="240" w:lineRule="auto"/>
            </w:pPr>
            <w:r w:rsidRPr="001D200B">
              <w:t>Długość sieci wodociągowej (w km)</w:t>
            </w:r>
          </w:p>
        </w:tc>
        <w:tc>
          <w:tcPr>
            <w:tcW w:w="1417" w:type="dxa"/>
            <w:shd w:val="clear" w:color="auto" w:fill="auto"/>
            <w:vAlign w:val="center"/>
          </w:tcPr>
          <w:p w:rsidR="00311766" w:rsidRPr="001D200B" w:rsidRDefault="00311766" w:rsidP="00B02F68">
            <w:pPr>
              <w:spacing w:before="0" w:after="0" w:line="240" w:lineRule="auto"/>
              <w:jc w:val="center"/>
            </w:pPr>
            <w:r w:rsidRPr="001D200B">
              <w:t>35,5</w:t>
            </w:r>
          </w:p>
        </w:tc>
        <w:tc>
          <w:tcPr>
            <w:tcW w:w="1417" w:type="dxa"/>
            <w:shd w:val="clear" w:color="auto" w:fill="auto"/>
            <w:vAlign w:val="center"/>
          </w:tcPr>
          <w:p w:rsidR="00311766" w:rsidRPr="001D200B" w:rsidRDefault="00311766" w:rsidP="00B02F68">
            <w:pPr>
              <w:spacing w:before="0" w:after="0" w:line="240" w:lineRule="auto"/>
              <w:jc w:val="center"/>
            </w:pPr>
            <w:r w:rsidRPr="001D200B">
              <w:t>79,4</w:t>
            </w:r>
          </w:p>
        </w:tc>
        <w:tc>
          <w:tcPr>
            <w:tcW w:w="1418" w:type="dxa"/>
            <w:shd w:val="clear" w:color="auto" w:fill="auto"/>
            <w:vAlign w:val="center"/>
          </w:tcPr>
          <w:p w:rsidR="00311766" w:rsidRPr="001D200B" w:rsidRDefault="00311766" w:rsidP="00B02F68">
            <w:pPr>
              <w:spacing w:before="0" w:after="0" w:line="240" w:lineRule="auto"/>
              <w:jc w:val="center"/>
            </w:pPr>
            <w:r w:rsidRPr="001D200B">
              <w:t>114,9</w:t>
            </w:r>
          </w:p>
        </w:tc>
      </w:tr>
      <w:tr w:rsidR="00311766" w:rsidRPr="001D200B" w:rsidTr="00B02F68">
        <w:tc>
          <w:tcPr>
            <w:tcW w:w="4928" w:type="dxa"/>
            <w:shd w:val="clear" w:color="auto" w:fill="auto"/>
          </w:tcPr>
          <w:p w:rsidR="00311766" w:rsidRPr="001D200B" w:rsidRDefault="00311766" w:rsidP="00B02F68">
            <w:pPr>
              <w:spacing w:before="0" w:after="0" w:line="240" w:lineRule="auto"/>
            </w:pPr>
            <w:r w:rsidRPr="001D200B">
              <w:t>Ilość przyłączy (szt.)</w:t>
            </w:r>
          </w:p>
        </w:tc>
        <w:tc>
          <w:tcPr>
            <w:tcW w:w="1417" w:type="dxa"/>
            <w:shd w:val="clear" w:color="auto" w:fill="auto"/>
            <w:vAlign w:val="center"/>
          </w:tcPr>
          <w:p w:rsidR="00311766" w:rsidRPr="001D200B" w:rsidRDefault="00311766" w:rsidP="00B02F68">
            <w:pPr>
              <w:spacing w:before="0" w:after="0" w:line="240" w:lineRule="auto"/>
              <w:jc w:val="center"/>
            </w:pPr>
            <w:r w:rsidRPr="001D200B">
              <w:t>1186</w:t>
            </w:r>
          </w:p>
        </w:tc>
        <w:tc>
          <w:tcPr>
            <w:tcW w:w="1417" w:type="dxa"/>
            <w:shd w:val="clear" w:color="auto" w:fill="auto"/>
            <w:vAlign w:val="center"/>
          </w:tcPr>
          <w:p w:rsidR="00311766" w:rsidRPr="001D200B" w:rsidRDefault="00311766" w:rsidP="00B02F68">
            <w:pPr>
              <w:spacing w:before="0" w:after="0" w:line="240" w:lineRule="auto"/>
              <w:jc w:val="center"/>
            </w:pPr>
            <w:r w:rsidRPr="001D200B">
              <w:t>1073</w:t>
            </w:r>
          </w:p>
        </w:tc>
        <w:tc>
          <w:tcPr>
            <w:tcW w:w="1418" w:type="dxa"/>
            <w:shd w:val="clear" w:color="auto" w:fill="auto"/>
            <w:vAlign w:val="center"/>
          </w:tcPr>
          <w:p w:rsidR="00311766" w:rsidRPr="001D200B" w:rsidRDefault="00311766" w:rsidP="00B02F68">
            <w:pPr>
              <w:spacing w:before="0" w:after="0" w:line="240" w:lineRule="auto"/>
              <w:jc w:val="center"/>
            </w:pPr>
            <w:r w:rsidRPr="001D200B">
              <w:t>2259</w:t>
            </w:r>
          </w:p>
        </w:tc>
      </w:tr>
      <w:tr w:rsidR="00311766" w:rsidRPr="001D200B" w:rsidTr="00B02F68">
        <w:tc>
          <w:tcPr>
            <w:tcW w:w="4928" w:type="dxa"/>
            <w:shd w:val="clear" w:color="auto" w:fill="auto"/>
          </w:tcPr>
          <w:p w:rsidR="00311766" w:rsidRPr="001D200B" w:rsidRDefault="00311766" w:rsidP="00B02F68">
            <w:pPr>
              <w:spacing w:before="0" w:after="0" w:line="240" w:lineRule="auto"/>
            </w:pPr>
            <w:r w:rsidRPr="001D200B">
              <w:t xml:space="preserve">Ludność korzystająca z instalacji w % (z ogółu) </w:t>
            </w:r>
          </w:p>
        </w:tc>
        <w:tc>
          <w:tcPr>
            <w:tcW w:w="1417" w:type="dxa"/>
            <w:shd w:val="clear" w:color="auto" w:fill="auto"/>
            <w:vAlign w:val="center"/>
          </w:tcPr>
          <w:p w:rsidR="00311766" w:rsidRPr="001D200B" w:rsidRDefault="00311766" w:rsidP="00B02F68">
            <w:pPr>
              <w:spacing w:before="0" w:after="0" w:line="240" w:lineRule="auto"/>
              <w:jc w:val="center"/>
            </w:pPr>
            <w:r w:rsidRPr="001D200B">
              <w:t>100%</w:t>
            </w:r>
          </w:p>
        </w:tc>
        <w:tc>
          <w:tcPr>
            <w:tcW w:w="1417" w:type="dxa"/>
            <w:shd w:val="clear" w:color="auto" w:fill="auto"/>
            <w:vAlign w:val="center"/>
          </w:tcPr>
          <w:p w:rsidR="00311766" w:rsidRPr="001D200B" w:rsidRDefault="00311766" w:rsidP="00B02F68">
            <w:pPr>
              <w:spacing w:before="0" w:after="0" w:line="240" w:lineRule="auto"/>
              <w:jc w:val="center"/>
            </w:pPr>
            <w:r w:rsidRPr="001D200B">
              <w:t>100%</w:t>
            </w:r>
          </w:p>
        </w:tc>
        <w:tc>
          <w:tcPr>
            <w:tcW w:w="1418" w:type="dxa"/>
            <w:shd w:val="clear" w:color="auto" w:fill="auto"/>
            <w:vAlign w:val="center"/>
          </w:tcPr>
          <w:p w:rsidR="00311766" w:rsidRPr="001D200B" w:rsidRDefault="00311766" w:rsidP="00B02F68">
            <w:pPr>
              <w:spacing w:before="0" w:after="0" w:line="240" w:lineRule="auto"/>
              <w:jc w:val="center"/>
            </w:pPr>
            <w:r w:rsidRPr="001D200B">
              <w:t>100%</w:t>
            </w:r>
          </w:p>
        </w:tc>
      </w:tr>
    </w:tbl>
    <w:p w:rsidR="00311766" w:rsidRPr="001D200B" w:rsidRDefault="00311766" w:rsidP="00311766">
      <w:pPr>
        <w:pStyle w:val="podtabelk"/>
      </w:pPr>
      <w:r w:rsidRPr="001D200B">
        <w:t xml:space="preserve">* źródło danych: www.stat.gov.pl </w:t>
      </w:r>
    </w:p>
    <w:p w:rsidR="009B7413" w:rsidRPr="001D200B" w:rsidRDefault="002A4407" w:rsidP="00916C39">
      <w:pPr>
        <w:spacing w:before="0" w:after="0" w:line="240" w:lineRule="auto"/>
      </w:pPr>
      <w:r w:rsidRPr="001D200B">
        <w:t xml:space="preserve">Według danych GUS (stan na koniec 2018r.), długość sieci kanalizacyjnej na terenie gminy Połaniec wynosi 129,4 km i obsługuje 2085 przyłączy prowadzących do budynków mieszkalnych i zbiorowego zamieszkania. W 2018r. z sieci kanalizacyjnej korzystało 11 118 osób, w tym na terenie miasta 7 411 osób. </w:t>
      </w:r>
      <w:r w:rsidR="009B7413" w:rsidRPr="001D200B">
        <w:br w:type="page"/>
      </w:r>
    </w:p>
    <w:p w:rsidR="00B02F68" w:rsidRPr="001D200B" w:rsidRDefault="00B02F68" w:rsidP="00B02F68">
      <w:pPr>
        <w:pStyle w:val="Legenda"/>
        <w:rPr>
          <w:rFonts w:cstheme="minorHAnsi"/>
          <w:color w:val="auto"/>
        </w:rPr>
      </w:pPr>
      <w:bookmarkStart w:id="30" w:name="_Toc39476559"/>
      <w:r w:rsidRPr="001D200B">
        <w:rPr>
          <w:color w:val="auto"/>
        </w:rPr>
        <w:lastRenderedPageBreak/>
        <w:t xml:space="preserve">Tabela </w:t>
      </w:r>
      <w:r w:rsidR="005B7234" w:rsidRPr="001D200B">
        <w:rPr>
          <w:color w:val="auto"/>
        </w:rPr>
        <w:fldChar w:fldCharType="begin"/>
      </w:r>
      <w:r w:rsidR="005B7234" w:rsidRPr="001D200B">
        <w:rPr>
          <w:color w:val="auto"/>
        </w:rPr>
        <w:instrText xml:space="preserve"> SEQ Tabela \* ARABIC </w:instrText>
      </w:r>
      <w:r w:rsidR="005B7234" w:rsidRPr="001D200B">
        <w:rPr>
          <w:color w:val="auto"/>
        </w:rPr>
        <w:fldChar w:fldCharType="separate"/>
      </w:r>
      <w:r w:rsidR="00975320" w:rsidRPr="001D200B">
        <w:rPr>
          <w:noProof/>
          <w:color w:val="auto"/>
        </w:rPr>
        <w:t>7</w:t>
      </w:r>
      <w:r w:rsidR="005B7234" w:rsidRPr="001D200B">
        <w:rPr>
          <w:color w:val="auto"/>
        </w:rPr>
        <w:fldChar w:fldCharType="end"/>
      </w:r>
      <w:r w:rsidRPr="001D200B">
        <w:rPr>
          <w:color w:val="auto"/>
        </w:rPr>
        <w:t xml:space="preserve">. </w:t>
      </w:r>
      <w:r w:rsidRPr="001D200B">
        <w:rPr>
          <w:rFonts w:cstheme="minorHAnsi"/>
          <w:color w:val="auto"/>
        </w:rPr>
        <w:t>Sieć kanalizacyjna na terenie gminy Połaniec w 2018 roku</w:t>
      </w:r>
      <w:bookmarkEnd w:id="30"/>
    </w:p>
    <w:tbl>
      <w:tblPr>
        <w:tblStyle w:val="Tabela-Siatka"/>
        <w:tblW w:w="0" w:type="auto"/>
        <w:tblLook w:val="04A0"/>
      </w:tblPr>
      <w:tblGrid>
        <w:gridCol w:w="4928"/>
        <w:gridCol w:w="1417"/>
        <w:gridCol w:w="1417"/>
        <w:gridCol w:w="1418"/>
      </w:tblGrid>
      <w:tr w:rsidR="00B02F68" w:rsidRPr="001D200B" w:rsidTr="00B02F68">
        <w:trPr>
          <w:trHeight w:val="620"/>
        </w:trPr>
        <w:tc>
          <w:tcPr>
            <w:tcW w:w="4928" w:type="dxa"/>
            <w:shd w:val="clear" w:color="auto" w:fill="F2F2F2" w:themeFill="background1" w:themeFillShade="F2"/>
            <w:vAlign w:val="center"/>
          </w:tcPr>
          <w:p w:rsidR="00B02F68" w:rsidRPr="001D200B" w:rsidRDefault="00B02F68" w:rsidP="00B02F68">
            <w:pPr>
              <w:spacing w:before="0" w:after="0" w:line="240" w:lineRule="auto"/>
              <w:rPr>
                <w:b/>
              </w:rPr>
            </w:pPr>
            <w:r w:rsidRPr="001D200B">
              <w:rPr>
                <w:b/>
              </w:rPr>
              <w:t>Wyszczególnienie</w:t>
            </w:r>
          </w:p>
        </w:tc>
        <w:tc>
          <w:tcPr>
            <w:tcW w:w="1417" w:type="dxa"/>
            <w:shd w:val="clear" w:color="auto" w:fill="F2F2F2" w:themeFill="background1" w:themeFillShade="F2"/>
            <w:vAlign w:val="center"/>
          </w:tcPr>
          <w:p w:rsidR="00B02F68" w:rsidRPr="001D200B" w:rsidRDefault="00B02F68" w:rsidP="00B02F68">
            <w:pPr>
              <w:spacing w:before="0" w:after="0" w:line="240" w:lineRule="auto"/>
              <w:jc w:val="center"/>
              <w:rPr>
                <w:b/>
              </w:rPr>
            </w:pPr>
            <w:r w:rsidRPr="001D200B">
              <w:rPr>
                <w:b/>
              </w:rPr>
              <w:t>Miasto</w:t>
            </w:r>
          </w:p>
        </w:tc>
        <w:tc>
          <w:tcPr>
            <w:tcW w:w="1417" w:type="dxa"/>
            <w:shd w:val="clear" w:color="auto" w:fill="F2F2F2" w:themeFill="background1" w:themeFillShade="F2"/>
            <w:vAlign w:val="center"/>
          </w:tcPr>
          <w:p w:rsidR="00B02F68" w:rsidRPr="001D200B" w:rsidRDefault="00B02F68" w:rsidP="00B02F68">
            <w:pPr>
              <w:spacing w:before="0" w:after="0" w:line="240" w:lineRule="auto"/>
              <w:jc w:val="center"/>
              <w:rPr>
                <w:b/>
              </w:rPr>
            </w:pPr>
            <w:r w:rsidRPr="001D200B">
              <w:rPr>
                <w:b/>
              </w:rPr>
              <w:t>Obszary wiejskie</w:t>
            </w:r>
          </w:p>
        </w:tc>
        <w:tc>
          <w:tcPr>
            <w:tcW w:w="1418" w:type="dxa"/>
            <w:shd w:val="clear" w:color="auto" w:fill="F2F2F2" w:themeFill="background1" w:themeFillShade="F2"/>
            <w:vAlign w:val="center"/>
          </w:tcPr>
          <w:p w:rsidR="00B02F68" w:rsidRPr="001D200B" w:rsidRDefault="00B02F68" w:rsidP="00B02F68">
            <w:pPr>
              <w:spacing w:before="0" w:after="0" w:line="240" w:lineRule="auto"/>
              <w:jc w:val="center"/>
              <w:rPr>
                <w:b/>
              </w:rPr>
            </w:pPr>
            <w:r w:rsidRPr="001D200B">
              <w:rPr>
                <w:b/>
              </w:rPr>
              <w:t>Gmina</w:t>
            </w:r>
            <w:r w:rsidR="00F61682" w:rsidRPr="001D200B">
              <w:rPr>
                <w:b/>
              </w:rPr>
              <w:t xml:space="preserve"> </w:t>
            </w:r>
          </w:p>
          <w:p w:rsidR="00F61682" w:rsidRPr="001D200B" w:rsidRDefault="00F61682" w:rsidP="00B02F68">
            <w:pPr>
              <w:spacing w:before="0" w:after="0" w:line="240" w:lineRule="auto"/>
              <w:jc w:val="center"/>
              <w:rPr>
                <w:b/>
              </w:rPr>
            </w:pPr>
            <w:r w:rsidRPr="001D200B">
              <w:rPr>
                <w:b/>
              </w:rPr>
              <w:t>razem</w:t>
            </w:r>
          </w:p>
        </w:tc>
      </w:tr>
      <w:tr w:rsidR="00B02F68" w:rsidRPr="001D200B" w:rsidTr="00B02F68">
        <w:tc>
          <w:tcPr>
            <w:tcW w:w="4928" w:type="dxa"/>
            <w:shd w:val="clear" w:color="auto" w:fill="auto"/>
          </w:tcPr>
          <w:p w:rsidR="00B02F68" w:rsidRPr="001D200B" w:rsidRDefault="00B02F68" w:rsidP="00B02F68">
            <w:pPr>
              <w:spacing w:before="0" w:after="0" w:line="240" w:lineRule="auto"/>
            </w:pPr>
            <w:r w:rsidRPr="001D200B">
              <w:t>Długość sieci kanalizacyjnej (w km)</w:t>
            </w:r>
          </w:p>
        </w:tc>
        <w:tc>
          <w:tcPr>
            <w:tcW w:w="1417" w:type="dxa"/>
            <w:shd w:val="clear" w:color="auto" w:fill="auto"/>
            <w:vAlign w:val="center"/>
          </w:tcPr>
          <w:p w:rsidR="00B02F68" w:rsidRPr="001D200B" w:rsidRDefault="00B02F68" w:rsidP="00B02F68">
            <w:pPr>
              <w:spacing w:before="0" w:after="0" w:line="240" w:lineRule="auto"/>
              <w:jc w:val="center"/>
            </w:pPr>
            <w:r w:rsidRPr="001D200B">
              <w:t>41,3</w:t>
            </w:r>
          </w:p>
        </w:tc>
        <w:tc>
          <w:tcPr>
            <w:tcW w:w="1417" w:type="dxa"/>
            <w:shd w:val="clear" w:color="auto" w:fill="auto"/>
            <w:vAlign w:val="center"/>
          </w:tcPr>
          <w:p w:rsidR="00B02F68" w:rsidRPr="001D200B" w:rsidRDefault="00B02F68" w:rsidP="00B02F68">
            <w:pPr>
              <w:spacing w:before="0" w:after="0" w:line="240" w:lineRule="auto"/>
              <w:jc w:val="center"/>
            </w:pPr>
            <w:r w:rsidRPr="001D200B">
              <w:t>88,1</w:t>
            </w:r>
          </w:p>
        </w:tc>
        <w:tc>
          <w:tcPr>
            <w:tcW w:w="1418" w:type="dxa"/>
            <w:shd w:val="clear" w:color="auto" w:fill="auto"/>
            <w:vAlign w:val="center"/>
          </w:tcPr>
          <w:p w:rsidR="00B02F68" w:rsidRPr="001D200B" w:rsidRDefault="00B02F68" w:rsidP="00B02F68">
            <w:pPr>
              <w:spacing w:before="0" w:after="0" w:line="240" w:lineRule="auto"/>
              <w:jc w:val="center"/>
            </w:pPr>
            <w:r w:rsidRPr="001D200B">
              <w:t>129,4</w:t>
            </w:r>
          </w:p>
        </w:tc>
      </w:tr>
      <w:tr w:rsidR="00B02F68" w:rsidRPr="001D200B" w:rsidTr="00B02F68">
        <w:tc>
          <w:tcPr>
            <w:tcW w:w="4928" w:type="dxa"/>
            <w:shd w:val="clear" w:color="auto" w:fill="auto"/>
          </w:tcPr>
          <w:p w:rsidR="00B02F68" w:rsidRPr="001D200B" w:rsidRDefault="00B02F68" w:rsidP="00B02F68">
            <w:pPr>
              <w:spacing w:before="0" w:after="0" w:line="240" w:lineRule="auto"/>
            </w:pPr>
            <w:r w:rsidRPr="001D200B">
              <w:t>Ilość przyłączy (szt.)</w:t>
            </w:r>
          </w:p>
        </w:tc>
        <w:tc>
          <w:tcPr>
            <w:tcW w:w="1417" w:type="dxa"/>
            <w:shd w:val="clear" w:color="auto" w:fill="auto"/>
            <w:vAlign w:val="center"/>
          </w:tcPr>
          <w:p w:rsidR="00B02F68" w:rsidRPr="001D200B" w:rsidRDefault="00B02F68" w:rsidP="00B02F68">
            <w:pPr>
              <w:spacing w:before="0" w:after="0" w:line="240" w:lineRule="auto"/>
              <w:jc w:val="center"/>
            </w:pPr>
            <w:r w:rsidRPr="001D200B">
              <w:t>1003</w:t>
            </w:r>
          </w:p>
        </w:tc>
        <w:tc>
          <w:tcPr>
            <w:tcW w:w="1417" w:type="dxa"/>
            <w:shd w:val="clear" w:color="auto" w:fill="auto"/>
            <w:vAlign w:val="center"/>
          </w:tcPr>
          <w:p w:rsidR="00B02F68" w:rsidRPr="001D200B" w:rsidRDefault="00B02F68" w:rsidP="00B02F68">
            <w:pPr>
              <w:spacing w:before="0" w:after="0" w:line="240" w:lineRule="auto"/>
              <w:jc w:val="center"/>
            </w:pPr>
            <w:r w:rsidRPr="001D200B">
              <w:t>1082</w:t>
            </w:r>
          </w:p>
        </w:tc>
        <w:tc>
          <w:tcPr>
            <w:tcW w:w="1418" w:type="dxa"/>
            <w:shd w:val="clear" w:color="auto" w:fill="auto"/>
            <w:vAlign w:val="center"/>
          </w:tcPr>
          <w:p w:rsidR="00B02F68" w:rsidRPr="001D200B" w:rsidRDefault="00B02F68" w:rsidP="00B02F68">
            <w:pPr>
              <w:spacing w:before="0" w:after="0" w:line="240" w:lineRule="auto"/>
              <w:jc w:val="center"/>
            </w:pPr>
            <w:r w:rsidRPr="001D200B">
              <w:t>2085</w:t>
            </w:r>
          </w:p>
        </w:tc>
      </w:tr>
      <w:tr w:rsidR="00B02F68" w:rsidRPr="001D200B" w:rsidTr="00B02F68">
        <w:tc>
          <w:tcPr>
            <w:tcW w:w="4928" w:type="dxa"/>
            <w:shd w:val="clear" w:color="auto" w:fill="auto"/>
          </w:tcPr>
          <w:p w:rsidR="00B02F68" w:rsidRPr="001D200B" w:rsidRDefault="00B02F68" w:rsidP="00B02F68">
            <w:pPr>
              <w:spacing w:before="0" w:after="0" w:line="240" w:lineRule="auto"/>
            </w:pPr>
            <w:r w:rsidRPr="001D200B">
              <w:t xml:space="preserve">Ludność korzystająca z instalacji w % (z ogółu) </w:t>
            </w:r>
          </w:p>
        </w:tc>
        <w:tc>
          <w:tcPr>
            <w:tcW w:w="1417" w:type="dxa"/>
            <w:shd w:val="clear" w:color="auto" w:fill="auto"/>
            <w:vAlign w:val="center"/>
          </w:tcPr>
          <w:p w:rsidR="00B02F68" w:rsidRPr="001D200B" w:rsidRDefault="00B02F68" w:rsidP="00B02F68">
            <w:pPr>
              <w:spacing w:before="0" w:after="0" w:line="240" w:lineRule="auto"/>
              <w:jc w:val="center"/>
            </w:pPr>
            <w:r w:rsidRPr="001D200B">
              <w:t>91,3%</w:t>
            </w:r>
          </w:p>
        </w:tc>
        <w:tc>
          <w:tcPr>
            <w:tcW w:w="1417" w:type="dxa"/>
            <w:shd w:val="clear" w:color="auto" w:fill="auto"/>
            <w:vAlign w:val="center"/>
          </w:tcPr>
          <w:p w:rsidR="00B02F68" w:rsidRPr="001D200B" w:rsidRDefault="00B02F68" w:rsidP="00B02F68">
            <w:pPr>
              <w:spacing w:before="0" w:after="0" w:line="240" w:lineRule="auto"/>
              <w:jc w:val="center"/>
            </w:pPr>
            <w:r w:rsidRPr="001D200B">
              <w:t>100%</w:t>
            </w:r>
          </w:p>
        </w:tc>
        <w:tc>
          <w:tcPr>
            <w:tcW w:w="1418" w:type="dxa"/>
            <w:shd w:val="clear" w:color="auto" w:fill="auto"/>
            <w:vAlign w:val="center"/>
          </w:tcPr>
          <w:p w:rsidR="00B02F68" w:rsidRPr="001D200B" w:rsidRDefault="00B02F68" w:rsidP="00B02F68">
            <w:pPr>
              <w:spacing w:before="0" w:after="0" w:line="240" w:lineRule="auto"/>
              <w:jc w:val="center"/>
            </w:pPr>
            <w:r w:rsidRPr="001D200B">
              <w:t>94%</w:t>
            </w:r>
          </w:p>
        </w:tc>
      </w:tr>
    </w:tbl>
    <w:p w:rsidR="00B02F68" w:rsidRPr="001D200B" w:rsidRDefault="00B02F68" w:rsidP="00B02F68">
      <w:pPr>
        <w:pStyle w:val="podtabelk"/>
      </w:pPr>
      <w:r w:rsidRPr="001D200B">
        <w:t xml:space="preserve">* źródło danych: www.stat.gov.pl </w:t>
      </w:r>
    </w:p>
    <w:p w:rsidR="009A753C" w:rsidRPr="001D200B" w:rsidRDefault="009A753C" w:rsidP="009A753C">
      <w:r w:rsidRPr="001D200B">
        <w:t>Na terenie gminy w niewielkim zakresie funkcjonują przydomowe oczyszczalnie ścieków, obecnie wykonano 50szt. tego typu obiektów (stan na koniec 2018r., GUS). Liczba zbiorników bezodpływowych kształtuje się na poziomie 44 szt. (stan na koniec 2018r., GUS).</w:t>
      </w:r>
    </w:p>
    <w:p w:rsidR="00BF32EF" w:rsidRPr="001D200B" w:rsidRDefault="00E50156" w:rsidP="00BF32EF">
      <w:pPr>
        <w:rPr>
          <w:rFonts w:cstheme="minorHAnsi"/>
        </w:rPr>
      </w:pPr>
      <w:r w:rsidRPr="001D200B">
        <w:t>Odpady komunalne z</w:t>
      </w:r>
      <w:r w:rsidR="00D27A5A" w:rsidRPr="001D200B">
        <w:t xml:space="preserve"> </w:t>
      </w:r>
      <w:r w:rsidRPr="001D200B">
        <w:t xml:space="preserve">opisywanego terenu przewożone są do Regionalnego Zakładu Zagospodarowania Odpadów </w:t>
      </w:r>
      <w:r w:rsidR="00DF3468" w:rsidRPr="001D200B">
        <w:t xml:space="preserve">w </w:t>
      </w:r>
      <w:r w:rsidRPr="001D200B">
        <w:t>Rzęd</w:t>
      </w:r>
      <w:r w:rsidR="00DF3468" w:rsidRPr="001D200B">
        <w:t>owie, gmina Tuczępy</w:t>
      </w:r>
      <w:r w:rsidRPr="001D200B">
        <w:t>.</w:t>
      </w:r>
      <w:r w:rsidR="00DF3468" w:rsidRPr="001D200B">
        <w:t xml:space="preserve"> Zlokalizowane na terenie gminy Połaniec, w </w:t>
      </w:r>
      <w:r w:rsidR="00DF3468" w:rsidRPr="001D200B">
        <w:rPr>
          <w:rFonts w:cstheme="minorHAnsi"/>
        </w:rPr>
        <w:t>miejscowości Luszyca gminne składowisko odpadów innych niż niebezpieczne i</w:t>
      </w:r>
      <w:r w:rsidR="00931EF9" w:rsidRPr="001D200B">
        <w:rPr>
          <w:rFonts w:cstheme="minorHAnsi"/>
        </w:rPr>
        <w:t> </w:t>
      </w:r>
      <w:r w:rsidR="00DF3468" w:rsidRPr="001D200B">
        <w:rPr>
          <w:rFonts w:cstheme="minorHAnsi"/>
        </w:rPr>
        <w:t xml:space="preserve">obojętne przewidziano do rekultywacji. </w:t>
      </w:r>
      <w:r w:rsidR="00BF32EF" w:rsidRPr="001D200B">
        <w:rPr>
          <w:rFonts w:cstheme="minorHAnsi"/>
        </w:rPr>
        <w:t>Na terenie gmin</w:t>
      </w:r>
      <w:r w:rsidR="00D27A5A" w:rsidRPr="001D200B">
        <w:rPr>
          <w:rFonts w:cstheme="minorHAnsi"/>
        </w:rPr>
        <w:t>y</w:t>
      </w:r>
      <w:r w:rsidR="00BF32EF" w:rsidRPr="001D200B">
        <w:rPr>
          <w:rFonts w:cstheme="minorHAnsi"/>
        </w:rPr>
        <w:t xml:space="preserve"> Połaniec zlokalizowane są dwa składowiska odpadów pochodzących z sektora gospodarczego eksploatowane przez Elektrownię Połaniec</w:t>
      </w:r>
      <w:r w:rsidR="00D27A5A" w:rsidRPr="001D200B">
        <w:rPr>
          <w:rFonts w:cstheme="minorHAnsi"/>
        </w:rPr>
        <w:t xml:space="preserve"> </w:t>
      </w:r>
      <w:r w:rsidR="00BF32EF" w:rsidRPr="001D200B">
        <w:rPr>
          <w:rFonts w:cstheme="minorHAnsi"/>
        </w:rPr>
        <w:t>- składowisko popiołu i żużla „Pióry” i składowisko produktów odsiarczania spalin „Tursko”.</w:t>
      </w:r>
    </w:p>
    <w:p w:rsidR="00FC37A0" w:rsidRPr="001D200B" w:rsidRDefault="00DF3468" w:rsidP="00DF3468">
      <w:pPr>
        <w:pStyle w:val="Legenda"/>
        <w:rPr>
          <w:rFonts w:cstheme="minorHAnsi"/>
          <w:color w:val="auto"/>
          <w:highlight w:val="yellow"/>
        </w:rPr>
      </w:pPr>
      <w:bookmarkStart w:id="31" w:name="_Toc39476560"/>
      <w:r w:rsidRPr="001D200B">
        <w:rPr>
          <w:color w:val="auto"/>
        </w:rPr>
        <w:t xml:space="preserve">Tabela </w:t>
      </w:r>
      <w:r w:rsidR="005B7234" w:rsidRPr="001D200B">
        <w:rPr>
          <w:color w:val="auto"/>
        </w:rPr>
        <w:fldChar w:fldCharType="begin"/>
      </w:r>
      <w:r w:rsidR="005B7234" w:rsidRPr="001D200B">
        <w:rPr>
          <w:color w:val="auto"/>
        </w:rPr>
        <w:instrText xml:space="preserve"> SEQ Tabela \* ARABIC </w:instrText>
      </w:r>
      <w:r w:rsidR="005B7234" w:rsidRPr="001D200B">
        <w:rPr>
          <w:color w:val="auto"/>
        </w:rPr>
        <w:fldChar w:fldCharType="separate"/>
      </w:r>
      <w:r w:rsidR="00975320" w:rsidRPr="001D200B">
        <w:rPr>
          <w:noProof/>
          <w:color w:val="auto"/>
        </w:rPr>
        <w:t>8</w:t>
      </w:r>
      <w:r w:rsidR="005B7234" w:rsidRPr="001D200B">
        <w:rPr>
          <w:color w:val="auto"/>
        </w:rPr>
        <w:fldChar w:fldCharType="end"/>
      </w:r>
      <w:r w:rsidRPr="001D200B">
        <w:rPr>
          <w:color w:val="auto"/>
        </w:rPr>
        <w:t>. Charakterystyka gospodarki odpadami – w zakresie zebranych odpadów komunalnych w 2018 roku</w:t>
      </w:r>
      <w:bookmarkEnd w:id="3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8"/>
        <w:gridCol w:w="1216"/>
        <w:gridCol w:w="1024"/>
      </w:tblGrid>
      <w:tr w:rsidR="00DF3468" w:rsidRPr="001D200B" w:rsidTr="002D7E82">
        <w:tc>
          <w:tcPr>
            <w:tcW w:w="7018" w:type="dxa"/>
            <w:shd w:val="clear" w:color="auto" w:fill="F2F2F2" w:themeFill="background1" w:themeFillShade="F2"/>
          </w:tcPr>
          <w:p w:rsidR="00DF3468" w:rsidRPr="001D200B" w:rsidRDefault="00DF3468" w:rsidP="00DF3468">
            <w:pPr>
              <w:spacing w:before="0" w:after="0" w:line="240" w:lineRule="auto"/>
              <w:rPr>
                <w:b/>
              </w:rPr>
            </w:pPr>
            <w:r w:rsidRPr="001D200B">
              <w:rPr>
                <w:b/>
              </w:rPr>
              <w:t>Wyszczególnienie</w:t>
            </w:r>
          </w:p>
        </w:tc>
        <w:tc>
          <w:tcPr>
            <w:tcW w:w="1216" w:type="dxa"/>
            <w:shd w:val="clear" w:color="auto" w:fill="F2F2F2" w:themeFill="background1" w:themeFillShade="F2"/>
          </w:tcPr>
          <w:p w:rsidR="00DF3468" w:rsidRPr="001D200B" w:rsidRDefault="00DF3468" w:rsidP="0011400E">
            <w:pPr>
              <w:spacing w:before="0" w:after="0" w:line="240" w:lineRule="auto"/>
              <w:jc w:val="center"/>
              <w:rPr>
                <w:b/>
              </w:rPr>
            </w:pPr>
            <w:r w:rsidRPr="001D200B">
              <w:rPr>
                <w:b/>
              </w:rPr>
              <w:t>Jednostka</w:t>
            </w:r>
          </w:p>
        </w:tc>
        <w:tc>
          <w:tcPr>
            <w:tcW w:w="1024" w:type="dxa"/>
            <w:shd w:val="clear" w:color="auto" w:fill="F2F2F2" w:themeFill="background1" w:themeFillShade="F2"/>
          </w:tcPr>
          <w:p w:rsidR="00DF3468" w:rsidRPr="001D200B" w:rsidRDefault="00DF3468" w:rsidP="0011400E">
            <w:pPr>
              <w:spacing w:before="0" w:after="0" w:line="240" w:lineRule="auto"/>
              <w:jc w:val="center"/>
              <w:rPr>
                <w:b/>
              </w:rPr>
            </w:pPr>
            <w:r w:rsidRPr="001D200B">
              <w:rPr>
                <w:b/>
              </w:rPr>
              <w:t>Ilość</w:t>
            </w:r>
          </w:p>
        </w:tc>
      </w:tr>
      <w:tr w:rsidR="00DF3468" w:rsidRPr="001D200B" w:rsidTr="00BF32EF">
        <w:tc>
          <w:tcPr>
            <w:tcW w:w="7018" w:type="dxa"/>
          </w:tcPr>
          <w:p w:rsidR="00DF3468" w:rsidRPr="001D200B" w:rsidRDefault="00DF3468" w:rsidP="00DF3468">
            <w:pPr>
              <w:spacing w:before="0" w:after="0" w:line="240" w:lineRule="auto"/>
            </w:pPr>
            <w:r w:rsidRPr="001D200B">
              <w:t>Odpady komunalne zebrane ogółem</w:t>
            </w:r>
          </w:p>
        </w:tc>
        <w:tc>
          <w:tcPr>
            <w:tcW w:w="1216" w:type="dxa"/>
            <w:vAlign w:val="center"/>
          </w:tcPr>
          <w:p w:rsidR="00DF3468" w:rsidRPr="001D200B" w:rsidRDefault="00DF3468" w:rsidP="00DF3468">
            <w:pPr>
              <w:spacing w:before="0" w:after="0" w:line="240" w:lineRule="auto"/>
              <w:jc w:val="center"/>
              <w:rPr>
                <w:sz w:val="22"/>
                <w:szCs w:val="22"/>
              </w:rPr>
            </w:pPr>
            <w:r w:rsidRPr="001D200B">
              <w:rPr>
                <w:sz w:val="22"/>
                <w:szCs w:val="22"/>
              </w:rPr>
              <w:t>Mg</w:t>
            </w:r>
          </w:p>
        </w:tc>
        <w:tc>
          <w:tcPr>
            <w:tcW w:w="1024" w:type="dxa"/>
            <w:vAlign w:val="center"/>
          </w:tcPr>
          <w:p w:rsidR="00DF3468" w:rsidRPr="001D200B" w:rsidRDefault="00DF3468" w:rsidP="00DF3468">
            <w:pPr>
              <w:spacing w:before="0" w:after="0" w:line="240" w:lineRule="auto"/>
              <w:jc w:val="center"/>
              <w:rPr>
                <w:sz w:val="22"/>
                <w:szCs w:val="22"/>
              </w:rPr>
            </w:pPr>
            <w:r w:rsidRPr="001D200B">
              <w:rPr>
                <w:sz w:val="22"/>
                <w:szCs w:val="22"/>
              </w:rPr>
              <w:t>2891,78</w:t>
            </w:r>
          </w:p>
        </w:tc>
      </w:tr>
      <w:tr w:rsidR="00DF3468" w:rsidRPr="001D200B" w:rsidTr="00BF32EF">
        <w:tc>
          <w:tcPr>
            <w:tcW w:w="7018" w:type="dxa"/>
          </w:tcPr>
          <w:p w:rsidR="00DF3468" w:rsidRPr="001D200B" w:rsidRDefault="00DF3468" w:rsidP="00DF3468">
            <w:pPr>
              <w:spacing w:before="0" w:after="0" w:line="240" w:lineRule="auto"/>
            </w:pPr>
            <w:r w:rsidRPr="001D200B">
              <w:t xml:space="preserve">Odpady komunalne zebrane z gospodarstw domowych </w:t>
            </w:r>
          </w:p>
        </w:tc>
        <w:tc>
          <w:tcPr>
            <w:tcW w:w="1216" w:type="dxa"/>
            <w:vAlign w:val="center"/>
          </w:tcPr>
          <w:p w:rsidR="00DF3468" w:rsidRPr="001D200B" w:rsidRDefault="00DF3468" w:rsidP="00DF3468">
            <w:pPr>
              <w:spacing w:before="0" w:after="0" w:line="240" w:lineRule="auto"/>
              <w:jc w:val="center"/>
              <w:rPr>
                <w:sz w:val="22"/>
                <w:szCs w:val="22"/>
              </w:rPr>
            </w:pPr>
            <w:r w:rsidRPr="001D200B">
              <w:rPr>
                <w:sz w:val="22"/>
                <w:szCs w:val="22"/>
              </w:rPr>
              <w:t>Mg</w:t>
            </w:r>
          </w:p>
        </w:tc>
        <w:tc>
          <w:tcPr>
            <w:tcW w:w="1024" w:type="dxa"/>
            <w:vAlign w:val="center"/>
          </w:tcPr>
          <w:p w:rsidR="00DF3468" w:rsidRPr="001D200B" w:rsidRDefault="00931EF9" w:rsidP="00DF3468">
            <w:pPr>
              <w:spacing w:before="0" w:after="0" w:line="240" w:lineRule="auto"/>
              <w:jc w:val="center"/>
              <w:rPr>
                <w:sz w:val="22"/>
                <w:szCs w:val="22"/>
              </w:rPr>
            </w:pPr>
            <w:r w:rsidRPr="001D200B">
              <w:rPr>
                <w:sz w:val="22"/>
                <w:szCs w:val="22"/>
              </w:rPr>
              <w:t>2071,97</w:t>
            </w:r>
          </w:p>
        </w:tc>
      </w:tr>
      <w:tr w:rsidR="00DF3468" w:rsidRPr="001D200B" w:rsidTr="00BF32EF">
        <w:tc>
          <w:tcPr>
            <w:tcW w:w="7018" w:type="dxa"/>
          </w:tcPr>
          <w:p w:rsidR="00DF3468" w:rsidRPr="001D200B" w:rsidRDefault="00DF3468" w:rsidP="00DF3468">
            <w:pPr>
              <w:spacing w:before="0" w:after="0" w:line="240" w:lineRule="auto"/>
            </w:pPr>
            <w:r w:rsidRPr="001D200B">
              <w:t>Zmieszane odpady komunalne ogółem</w:t>
            </w:r>
          </w:p>
        </w:tc>
        <w:tc>
          <w:tcPr>
            <w:tcW w:w="1216" w:type="dxa"/>
            <w:vAlign w:val="center"/>
          </w:tcPr>
          <w:p w:rsidR="00DF3468" w:rsidRPr="001D200B" w:rsidRDefault="00DF3468" w:rsidP="00DF3468">
            <w:pPr>
              <w:spacing w:before="0" w:after="0" w:line="240" w:lineRule="auto"/>
              <w:jc w:val="center"/>
              <w:rPr>
                <w:sz w:val="22"/>
                <w:szCs w:val="22"/>
              </w:rPr>
            </w:pPr>
            <w:r w:rsidRPr="001D200B">
              <w:rPr>
                <w:sz w:val="22"/>
                <w:szCs w:val="22"/>
              </w:rPr>
              <w:t>Mg</w:t>
            </w:r>
          </w:p>
        </w:tc>
        <w:tc>
          <w:tcPr>
            <w:tcW w:w="1024" w:type="dxa"/>
            <w:vAlign w:val="center"/>
          </w:tcPr>
          <w:p w:rsidR="00DF3468" w:rsidRPr="001D200B" w:rsidRDefault="00931EF9" w:rsidP="00DF3468">
            <w:pPr>
              <w:spacing w:before="0" w:after="0" w:line="240" w:lineRule="auto"/>
              <w:jc w:val="center"/>
              <w:rPr>
                <w:sz w:val="22"/>
                <w:szCs w:val="22"/>
              </w:rPr>
            </w:pPr>
            <w:r w:rsidRPr="001D200B">
              <w:rPr>
                <w:sz w:val="22"/>
                <w:szCs w:val="22"/>
              </w:rPr>
              <w:t>2557,66</w:t>
            </w:r>
          </w:p>
        </w:tc>
      </w:tr>
      <w:tr w:rsidR="00DF3468" w:rsidRPr="001D200B" w:rsidTr="00BF32EF">
        <w:tc>
          <w:tcPr>
            <w:tcW w:w="7018" w:type="dxa"/>
          </w:tcPr>
          <w:p w:rsidR="00DF3468" w:rsidRPr="001D200B" w:rsidRDefault="00DF3468" w:rsidP="00DF3468">
            <w:pPr>
              <w:spacing w:before="0" w:after="0" w:line="240" w:lineRule="auto"/>
            </w:pPr>
            <w:r w:rsidRPr="001D200B">
              <w:t xml:space="preserve">Zmieszane odpady komunalne zebrane z gospodarstw domowych </w:t>
            </w:r>
          </w:p>
        </w:tc>
        <w:tc>
          <w:tcPr>
            <w:tcW w:w="1216" w:type="dxa"/>
            <w:vAlign w:val="center"/>
          </w:tcPr>
          <w:p w:rsidR="00DF3468" w:rsidRPr="001D200B" w:rsidRDefault="00DF3468" w:rsidP="00DF3468">
            <w:pPr>
              <w:spacing w:before="0" w:after="0" w:line="240" w:lineRule="auto"/>
              <w:jc w:val="center"/>
              <w:rPr>
                <w:sz w:val="22"/>
                <w:szCs w:val="22"/>
              </w:rPr>
            </w:pPr>
            <w:r w:rsidRPr="001D200B">
              <w:rPr>
                <w:sz w:val="22"/>
                <w:szCs w:val="22"/>
              </w:rPr>
              <w:t>Mg</w:t>
            </w:r>
          </w:p>
        </w:tc>
        <w:tc>
          <w:tcPr>
            <w:tcW w:w="1024" w:type="dxa"/>
            <w:vAlign w:val="center"/>
          </w:tcPr>
          <w:p w:rsidR="00DF3468" w:rsidRPr="001D200B" w:rsidRDefault="00931EF9" w:rsidP="00DF3468">
            <w:pPr>
              <w:spacing w:before="0" w:after="0" w:line="240" w:lineRule="auto"/>
              <w:jc w:val="center"/>
              <w:rPr>
                <w:sz w:val="22"/>
                <w:szCs w:val="22"/>
              </w:rPr>
            </w:pPr>
            <w:r w:rsidRPr="001D200B">
              <w:rPr>
                <w:sz w:val="22"/>
                <w:szCs w:val="22"/>
              </w:rPr>
              <w:t>1759,72</w:t>
            </w:r>
          </w:p>
        </w:tc>
      </w:tr>
      <w:tr w:rsidR="00DF3468" w:rsidRPr="001D200B" w:rsidTr="00BF32EF">
        <w:tc>
          <w:tcPr>
            <w:tcW w:w="7018" w:type="dxa"/>
          </w:tcPr>
          <w:p w:rsidR="00DF3468" w:rsidRPr="001D200B" w:rsidRDefault="00DF3468" w:rsidP="00DF3468">
            <w:pPr>
              <w:spacing w:before="0" w:after="0" w:line="240" w:lineRule="auto"/>
            </w:pPr>
            <w:r w:rsidRPr="001D200B">
              <w:t xml:space="preserve">Odpady zmieszane z gosp. domowych na 1 mieszkańca </w:t>
            </w:r>
          </w:p>
        </w:tc>
        <w:tc>
          <w:tcPr>
            <w:tcW w:w="1216" w:type="dxa"/>
            <w:vAlign w:val="center"/>
          </w:tcPr>
          <w:p w:rsidR="00DF3468" w:rsidRPr="001D200B" w:rsidRDefault="00DF3468" w:rsidP="00DF3468">
            <w:pPr>
              <w:spacing w:before="0" w:after="0" w:line="240" w:lineRule="auto"/>
              <w:jc w:val="center"/>
              <w:rPr>
                <w:sz w:val="22"/>
                <w:szCs w:val="22"/>
              </w:rPr>
            </w:pPr>
            <w:r w:rsidRPr="001D200B">
              <w:rPr>
                <w:sz w:val="22"/>
                <w:szCs w:val="22"/>
              </w:rPr>
              <w:t>kg</w:t>
            </w:r>
          </w:p>
        </w:tc>
        <w:tc>
          <w:tcPr>
            <w:tcW w:w="1024" w:type="dxa"/>
            <w:vAlign w:val="center"/>
          </w:tcPr>
          <w:p w:rsidR="00DF3468" w:rsidRPr="001D200B" w:rsidRDefault="00931EF9" w:rsidP="00DF3468">
            <w:pPr>
              <w:spacing w:before="0" w:after="0" w:line="240" w:lineRule="auto"/>
              <w:jc w:val="center"/>
              <w:rPr>
                <w:sz w:val="22"/>
                <w:szCs w:val="22"/>
              </w:rPr>
            </w:pPr>
            <w:r w:rsidRPr="001D200B">
              <w:rPr>
                <w:sz w:val="22"/>
                <w:szCs w:val="22"/>
              </w:rPr>
              <w:t>148,1</w:t>
            </w:r>
          </w:p>
        </w:tc>
      </w:tr>
      <w:tr w:rsidR="00DF3468" w:rsidRPr="001D200B" w:rsidTr="00BF32EF">
        <w:tc>
          <w:tcPr>
            <w:tcW w:w="7018" w:type="dxa"/>
          </w:tcPr>
          <w:p w:rsidR="00DF3468" w:rsidRPr="001D200B" w:rsidRDefault="00DF3468" w:rsidP="00DF3468">
            <w:pPr>
              <w:spacing w:before="0" w:after="0" w:line="240" w:lineRule="auto"/>
            </w:pPr>
            <w:r w:rsidRPr="001D200B">
              <w:t xml:space="preserve">Liczba przedsiębiorstw odbierających odpady </w:t>
            </w:r>
          </w:p>
        </w:tc>
        <w:tc>
          <w:tcPr>
            <w:tcW w:w="1216" w:type="dxa"/>
            <w:vAlign w:val="center"/>
          </w:tcPr>
          <w:p w:rsidR="00DF3468" w:rsidRPr="001D200B" w:rsidRDefault="00DF3468" w:rsidP="00DF3468">
            <w:pPr>
              <w:spacing w:before="0" w:after="0" w:line="240" w:lineRule="auto"/>
              <w:jc w:val="center"/>
              <w:rPr>
                <w:sz w:val="22"/>
                <w:szCs w:val="22"/>
              </w:rPr>
            </w:pPr>
            <w:r w:rsidRPr="001D200B">
              <w:rPr>
                <w:sz w:val="22"/>
                <w:szCs w:val="22"/>
              </w:rPr>
              <w:t>szt.</w:t>
            </w:r>
          </w:p>
        </w:tc>
        <w:tc>
          <w:tcPr>
            <w:tcW w:w="1024" w:type="dxa"/>
            <w:vAlign w:val="center"/>
          </w:tcPr>
          <w:p w:rsidR="00DF3468" w:rsidRPr="001D200B" w:rsidRDefault="00931EF9" w:rsidP="00DF3468">
            <w:pPr>
              <w:spacing w:before="0" w:after="0" w:line="240" w:lineRule="auto"/>
              <w:jc w:val="center"/>
              <w:rPr>
                <w:sz w:val="22"/>
                <w:szCs w:val="22"/>
              </w:rPr>
            </w:pPr>
            <w:r w:rsidRPr="001D200B">
              <w:rPr>
                <w:sz w:val="22"/>
                <w:szCs w:val="22"/>
              </w:rPr>
              <w:t>3</w:t>
            </w:r>
          </w:p>
        </w:tc>
      </w:tr>
    </w:tbl>
    <w:p w:rsidR="00BF32EF" w:rsidRPr="001D200B" w:rsidRDefault="00BF32EF" w:rsidP="00BF32EF">
      <w:pPr>
        <w:pStyle w:val="podtabelk"/>
        <w:rPr>
          <w:rFonts w:asciiTheme="minorHAnsi" w:hAnsiTheme="minorHAnsi" w:cstheme="minorHAnsi"/>
          <w:sz w:val="20"/>
        </w:rPr>
      </w:pPr>
      <w:r w:rsidRPr="001D200B">
        <w:rPr>
          <w:rFonts w:asciiTheme="minorHAnsi" w:hAnsiTheme="minorHAnsi" w:cstheme="minorHAnsi"/>
          <w:sz w:val="20"/>
        </w:rPr>
        <w:t xml:space="preserve">Źródło: Dane GUS, </w:t>
      </w:r>
      <w:hyperlink r:id="rId45" w:history="1">
        <w:r w:rsidRPr="001D200B">
          <w:rPr>
            <w:rFonts w:asciiTheme="minorHAnsi" w:hAnsiTheme="minorHAnsi" w:cstheme="minorHAnsi"/>
            <w:sz w:val="20"/>
          </w:rPr>
          <w:t>www.stat.gov.pl</w:t>
        </w:r>
      </w:hyperlink>
    </w:p>
    <w:p w:rsidR="00BF32EF" w:rsidRPr="001D200B" w:rsidRDefault="00BF32EF" w:rsidP="00BF32EF">
      <w:r w:rsidRPr="001D200B">
        <w:t>Opis stanu zaopatrzenia w ciepło zamieszczono w rozdziale III niniejszego</w:t>
      </w:r>
      <w:r w:rsidRPr="001D200B">
        <w:rPr>
          <w:sz w:val="26"/>
        </w:rPr>
        <w:t xml:space="preserve"> </w:t>
      </w:r>
      <w:r w:rsidRPr="001D200B">
        <w:t>opracowania.</w:t>
      </w:r>
    </w:p>
    <w:p w:rsidR="00BF32EF" w:rsidRPr="001D200B" w:rsidRDefault="00BF32EF" w:rsidP="00BF32EF">
      <w:r w:rsidRPr="001D200B">
        <w:t>Opis systemu elektroenergetycznego zamieszczono w rozdziale IV niniejszego opracowania.</w:t>
      </w:r>
    </w:p>
    <w:p w:rsidR="00BF32EF" w:rsidRPr="001D200B" w:rsidRDefault="00BF32EF" w:rsidP="00BF32EF">
      <w:r w:rsidRPr="001D200B">
        <w:t xml:space="preserve">Opis systemu zasilania w gaz ziemny zamieszczono w rozdziale V opracowania.  </w:t>
      </w:r>
    </w:p>
    <w:p w:rsidR="00684D97" w:rsidRPr="001D200B" w:rsidRDefault="00684D97" w:rsidP="00684D97">
      <w:pPr>
        <w:pStyle w:val="Nagwek2"/>
        <w:rPr>
          <w:rFonts w:cstheme="minorHAnsi"/>
        </w:rPr>
      </w:pPr>
      <w:bookmarkStart w:id="32" w:name="_Toc31972818"/>
      <w:r w:rsidRPr="001D200B">
        <w:rPr>
          <w:rFonts w:cstheme="minorHAnsi"/>
        </w:rPr>
        <w:t>5. Sfera gospodarcza</w:t>
      </w:r>
      <w:bookmarkEnd w:id="32"/>
    </w:p>
    <w:p w:rsidR="00D27A9A" w:rsidRPr="001D200B" w:rsidRDefault="00263FD9" w:rsidP="00D27A9A">
      <w:pPr>
        <w:rPr>
          <w:rFonts w:eastAsia="TimesNewRomanPSMT" w:cstheme="minorHAnsi"/>
        </w:rPr>
      </w:pPr>
      <w:r w:rsidRPr="001D200B">
        <w:rPr>
          <w:rFonts w:cstheme="minorHAnsi"/>
        </w:rPr>
        <w:t>W</w:t>
      </w:r>
      <w:r w:rsidR="001F7559" w:rsidRPr="001D200B">
        <w:rPr>
          <w:rFonts w:cstheme="minorHAnsi"/>
        </w:rPr>
        <w:t xml:space="preserve"> rozwoju gospodarczym gminy Połaniec </w:t>
      </w:r>
      <w:r w:rsidRPr="001D200B">
        <w:rPr>
          <w:rFonts w:cstheme="minorHAnsi"/>
        </w:rPr>
        <w:t xml:space="preserve">wyróżnia się przede wszystkim </w:t>
      </w:r>
      <w:r w:rsidR="001F7559" w:rsidRPr="001D200B">
        <w:rPr>
          <w:rFonts w:cstheme="minorHAnsi"/>
        </w:rPr>
        <w:t>przemysł branży energetycznej oraz działalność rolnicz</w:t>
      </w:r>
      <w:r w:rsidR="009D5655" w:rsidRPr="001D200B">
        <w:rPr>
          <w:rFonts w:cstheme="minorHAnsi"/>
        </w:rPr>
        <w:t>ą</w:t>
      </w:r>
      <w:r w:rsidR="001F7559" w:rsidRPr="001D200B">
        <w:rPr>
          <w:rFonts w:cstheme="minorHAnsi"/>
        </w:rPr>
        <w:t xml:space="preserve">. </w:t>
      </w:r>
      <w:r w:rsidRPr="001D200B">
        <w:rPr>
          <w:rFonts w:eastAsia="TimesNewRomanPSMT" w:cstheme="minorHAnsi"/>
        </w:rPr>
        <w:t>Połaniec jest miejscem ściśle związanym z energetyk</w:t>
      </w:r>
      <w:r w:rsidR="00392600" w:rsidRPr="001D200B">
        <w:rPr>
          <w:rFonts w:eastAsia="TimesNewRomanPSMT" w:cstheme="minorHAnsi"/>
        </w:rPr>
        <w:t>ą</w:t>
      </w:r>
      <w:r w:rsidRPr="001D200B">
        <w:rPr>
          <w:rFonts w:eastAsia="TimesNewRomanPSMT" w:cstheme="minorHAnsi"/>
        </w:rPr>
        <w:t xml:space="preserve"> zawodową.</w:t>
      </w:r>
      <w:r w:rsidRPr="001D200B">
        <w:rPr>
          <w:rFonts w:cstheme="minorHAnsi"/>
        </w:rPr>
        <w:t xml:space="preserve"> </w:t>
      </w:r>
      <w:r w:rsidR="00A665BE" w:rsidRPr="001D200B">
        <w:rPr>
          <w:rFonts w:cstheme="minorHAnsi"/>
        </w:rPr>
        <w:t xml:space="preserve">Największym pracodawcą jest Elektrownia Połaniec, której działalność wpływa na strukturę gospodarczą gminy </w:t>
      </w:r>
      <w:r w:rsidR="0089458F" w:rsidRPr="001D200B">
        <w:rPr>
          <w:rFonts w:cstheme="minorHAnsi"/>
        </w:rPr>
        <w:t>oraz kształtuj</w:t>
      </w:r>
      <w:r w:rsidR="009D5655" w:rsidRPr="001D200B">
        <w:rPr>
          <w:rFonts w:cstheme="minorHAnsi"/>
        </w:rPr>
        <w:t>e</w:t>
      </w:r>
      <w:r w:rsidR="0089458F" w:rsidRPr="001D200B">
        <w:rPr>
          <w:rFonts w:cstheme="minorHAnsi"/>
        </w:rPr>
        <w:t xml:space="preserve"> lokalny rynek pracy </w:t>
      </w:r>
      <w:r w:rsidR="0016754A" w:rsidRPr="001D200B">
        <w:rPr>
          <w:rFonts w:cstheme="minorHAnsi"/>
        </w:rPr>
        <w:t>–</w:t>
      </w:r>
      <w:r w:rsidR="00A665BE" w:rsidRPr="001D200B">
        <w:rPr>
          <w:rFonts w:cstheme="minorHAnsi"/>
        </w:rPr>
        <w:t xml:space="preserve"> </w:t>
      </w:r>
      <w:r w:rsidR="0016754A" w:rsidRPr="001D200B">
        <w:rPr>
          <w:rFonts w:cstheme="minorHAnsi"/>
        </w:rPr>
        <w:lastRenderedPageBreak/>
        <w:t>w otoczeniu Elektrowni działają firmy usługowe energetyki, prowadzące działalno</w:t>
      </w:r>
      <w:r w:rsidRPr="001D200B">
        <w:rPr>
          <w:rFonts w:cstheme="minorHAnsi"/>
        </w:rPr>
        <w:t xml:space="preserve">ść nie tylko na terenie Połańca. </w:t>
      </w:r>
      <w:r w:rsidR="00D27A9A" w:rsidRPr="001D200B">
        <w:rPr>
          <w:rFonts w:eastAsia="TimesNewRomanPSMT" w:cstheme="minorHAnsi"/>
        </w:rPr>
        <w:t>Gmina Połaniec objęta jest Specjalną Strefą Ekonomiczną</w:t>
      </w:r>
      <w:r w:rsidR="00D27A9A" w:rsidRPr="001D200B">
        <w:rPr>
          <w:rFonts w:cstheme="minorHAnsi"/>
          <w:szCs w:val="24"/>
        </w:rPr>
        <w:t xml:space="preserve"> (</w:t>
      </w:r>
      <w:r w:rsidR="00D27A9A" w:rsidRPr="001D200B">
        <w:rPr>
          <w:rFonts w:eastAsia="TimesNewRomanPSMT" w:cstheme="minorHAnsi"/>
        </w:rPr>
        <w:t xml:space="preserve">podstrefa Strefy Staszowskiej, wchodzącej w skład Tarnobrzeskiej Specjalnej Strefy Ekonomicznej </w:t>
      </w:r>
      <w:r w:rsidR="00BE06EB" w:rsidRPr="001D200B">
        <w:rPr>
          <w:rFonts w:eastAsia="TimesNewRomanPSMT" w:cstheme="minorHAnsi"/>
        </w:rPr>
        <w:t>„Euro – Park Wisłosan”</w:t>
      </w:r>
      <w:r w:rsidR="00D27A9A" w:rsidRPr="001D200B">
        <w:rPr>
          <w:rFonts w:eastAsia="TimesNewRomanPSMT" w:cstheme="minorHAnsi"/>
        </w:rPr>
        <w:t>).</w:t>
      </w:r>
    </w:p>
    <w:p w:rsidR="005F3868" w:rsidRPr="001D200B" w:rsidRDefault="00B1425F" w:rsidP="005F3868">
      <w:pPr>
        <w:rPr>
          <w:rFonts w:cstheme="minorHAnsi"/>
        </w:rPr>
      </w:pPr>
      <w:r w:rsidRPr="001D200B">
        <w:rPr>
          <w:rFonts w:cstheme="minorHAnsi"/>
        </w:rPr>
        <w:t>W</w:t>
      </w:r>
      <w:r w:rsidR="004017AB" w:rsidRPr="001D200B">
        <w:rPr>
          <w:rFonts w:cstheme="minorHAnsi"/>
        </w:rPr>
        <w:t xml:space="preserve"> </w:t>
      </w:r>
      <w:r w:rsidRPr="001D200B">
        <w:rPr>
          <w:rFonts w:cstheme="minorHAnsi"/>
        </w:rPr>
        <w:t>20</w:t>
      </w:r>
      <w:r w:rsidR="00E12EB7" w:rsidRPr="001D200B">
        <w:rPr>
          <w:rFonts w:cstheme="minorHAnsi"/>
        </w:rPr>
        <w:t>1</w:t>
      </w:r>
      <w:r w:rsidR="00BF32EF" w:rsidRPr="001D200B">
        <w:rPr>
          <w:rFonts w:cstheme="minorHAnsi"/>
        </w:rPr>
        <w:t>8</w:t>
      </w:r>
      <w:r w:rsidRPr="001D200B">
        <w:rPr>
          <w:rFonts w:cstheme="minorHAnsi"/>
        </w:rPr>
        <w:t xml:space="preserve"> roku na terenie </w:t>
      </w:r>
      <w:r w:rsidR="00CE2619" w:rsidRPr="001D200B">
        <w:rPr>
          <w:rFonts w:cstheme="minorHAnsi"/>
        </w:rPr>
        <w:t xml:space="preserve">gminy Połaniec </w:t>
      </w:r>
      <w:r w:rsidR="00BF32EF" w:rsidRPr="001D200B">
        <w:rPr>
          <w:rFonts w:cstheme="minorHAnsi"/>
        </w:rPr>
        <w:t xml:space="preserve">(według GUS) </w:t>
      </w:r>
      <w:r w:rsidRPr="001D200B">
        <w:rPr>
          <w:rFonts w:cstheme="minorHAnsi"/>
        </w:rPr>
        <w:t xml:space="preserve">działało </w:t>
      </w:r>
      <w:r w:rsidR="00263FD9" w:rsidRPr="001D200B">
        <w:rPr>
          <w:rFonts w:cstheme="minorHAnsi"/>
        </w:rPr>
        <w:t>795</w:t>
      </w:r>
      <w:r w:rsidRPr="001D200B">
        <w:rPr>
          <w:rFonts w:cstheme="minorHAnsi"/>
        </w:rPr>
        <w:t xml:space="preserve"> podmiotów gospodarczych (bez prowadzących indywidualne gospodarstwa rolne), z czego około 9</w:t>
      </w:r>
      <w:r w:rsidR="00CE2619" w:rsidRPr="001D200B">
        <w:rPr>
          <w:rFonts w:cstheme="minorHAnsi"/>
        </w:rPr>
        <w:t>7</w:t>
      </w:r>
      <w:r w:rsidRPr="001D200B">
        <w:rPr>
          <w:rFonts w:cstheme="minorHAnsi"/>
        </w:rPr>
        <w:t xml:space="preserve">% </w:t>
      </w:r>
      <w:r w:rsidR="00FE6518" w:rsidRPr="001D200B">
        <w:rPr>
          <w:rFonts w:cstheme="minorHAnsi"/>
        </w:rPr>
        <w:t xml:space="preserve">z </w:t>
      </w:r>
      <w:r w:rsidRPr="001D200B">
        <w:rPr>
          <w:rFonts w:cstheme="minorHAnsi"/>
        </w:rPr>
        <w:t>sektor</w:t>
      </w:r>
      <w:r w:rsidR="00FE6518" w:rsidRPr="001D200B">
        <w:rPr>
          <w:rFonts w:cstheme="minorHAnsi"/>
        </w:rPr>
        <w:t>a</w:t>
      </w:r>
      <w:r w:rsidRPr="001D200B">
        <w:rPr>
          <w:rFonts w:cstheme="minorHAnsi"/>
        </w:rPr>
        <w:t xml:space="preserve"> </w:t>
      </w:r>
      <w:r w:rsidR="00643853" w:rsidRPr="001D200B">
        <w:rPr>
          <w:rFonts w:cstheme="minorHAnsi"/>
        </w:rPr>
        <w:t>prywatnego</w:t>
      </w:r>
      <w:r w:rsidR="00E12EB7" w:rsidRPr="001D200B">
        <w:rPr>
          <w:rFonts w:cstheme="minorHAnsi"/>
        </w:rPr>
        <w:t xml:space="preserve">. </w:t>
      </w:r>
      <w:r w:rsidR="009F2091" w:rsidRPr="001D200B">
        <w:rPr>
          <w:rFonts w:cstheme="minorHAnsi"/>
          <w:szCs w:val="24"/>
        </w:rPr>
        <w:t xml:space="preserve">Profil prowadzonej działalności jest zróżnicowany. Przeważa działalność w zakresie handlu i napraw – </w:t>
      </w:r>
      <w:r w:rsidR="0080407A" w:rsidRPr="001D200B">
        <w:rPr>
          <w:rFonts w:cstheme="minorHAnsi"/>
          <w:szCs w:val="24"/>
        </w:rPr>
        <w:t>26</w:t>
      </w:r>
      <w:r w:rsidR="009F2091" w:rsidRPr="001D200B">
        <w:rPr>
          <w:rFonts w:cstheme="minorHAnsi"/>
          <w:szCs w:val="24"/>
        </w:rPr>
        <w:t xml:space="preserve">%, </w:t>
      </w:r>
      <w:r w:rsidR="00792A6F" w:rsidRPr="001D200B">
        <w:rPr>
          <w:rFonts w:cstheme="minorHAnsi"/>
        </w:rPr>
        <w:t xml:space="preserve">znaczną grupę stanowią </w:t>
      </w:r>
      <w:r w:rsidR="0080407A" w:rsidRPr="001D200B">
        <w:rPr>
          <w:rFonts w:cstheme="minorHAnsi"/>
        </w:rPr>
        <w:t>przedsiębiorstwa budowlane</w:t>
      </w:r>
      <w:r w:rsidR="00792A6F" w:rsidRPr="001D200B">
        <w:rPr>
          <w:rFonts w:cstheme="minorHAnsi"/>
        </w:rPr>
        <w:t xml:space="preserve"> oraz przetwórstwo przemysłowe.</w:t>
      </w:r>
      <w:r w:rsidR="005F3868" w:rsidRPr="001D200B">
        <w:rPr>
          <w:rFonts w:cstheme="minorHAnsi"/>
        </w:rPr>
        <w:t xml:space="preserve"> Liczba podmiotów gospodarczych sektora prywatnego świadczy o aktywności ekonomicznej mieszkańców gminy. Na jeden zarejestrowany podmiot gospodarczy w 201</w:t>
      </w:r>
      <w:r w:rsidR="0080407A" w:rsidRPr="001D200B">
        <w:rPr>
          <w:rFonts w:cstheme="minorHAnsi"/>
        </w:rPr>
        <w:t>8</w:t>
      </w:r>
      <w:r w:rsidR="005F3868" w:rsidRPr="001D200B">
        <w:rPr>
          <w:rFonts w:cstheme="minorHAnsi"/>
        </w:rPr>
        <w:t xml:space="preserve"> roku przypadało ponad 1</w:t>
      </w:r>
      <w:r w:rsidR="001D23CD" w:rsidRPr="001D200B">
        <w:rPr>
          <w:rFonts w:cstheme="minorHAnsi"/>
        </w:rPr>
        <w:t>4</w:t>
      </w:r>
      <w:r w:rsidR="005F3868" w:rsidRPr="001D200B">
        <w:rPr>
          <w:rFonts w:cstheme="minorHAnsi"/>
        </w:rPr>
        <w:t xml:space="preserve"> mieszkańców, w tym ponad 9 mieszkańców w wieku produkcyjnym. Zestawienie podmiotów gospodarczych działających w 201</w:t>
      </w:r>
      <w:r w:rsidR="001D23CD" w:rsidRPr="001D200B">
        <w:rPr>
          <w:rFonts w:cstheme="minorHAnsi"/>
        </w:rPr>
        <w:t>8</w:t>
      </w:r>
      <w:r w:rsidR="005F3868" w:rsidRPr="001D200B">
        <w:rPr>
          <w:rFonts w:cstheme="minorHAnsi"/>
        </w:rPr>
        <w:t>r., według wielkości, tj. liczby zatrudnionych osób:</w:t>
      </w:r>
    </w:p>
    <w:p w:rsidR="005F3868" w:rsidRPr="001D200B" w:rsidRDefault="005F3868" w:rsidP="002B56A1">
      <w:pPr>
        <w:numPr>
          <w:ilvl w:val="0"/>
          <w:numId w:val="6"/>
        </w:numPr>
        <w:rPr>
          <w:rFonts w:cstheme="minorHAnsi"/>
        </w:rPr>
      </w:pPr>
      <w:r w:rsidRPr="001D200B">
        <w:rPr>
          <w:rFonts w:cstheme="minorHAnsi"/>
        </w:rPr>
        <w:t xml:space="preserve">do 9 osób – </w:t>
      </w:r>
      <w:r w:rsidR="002D7E82" w:rsidRPr="001D200B">
        <w:rPr>
          <w:rFonts w:cstheme="minorHAnsi"/>
        </w:rPr>
        <w:t xml:space="preserve">742 </w:t>
      </w:r>
      <w:r w:rsidRPr="001D200B">
        <w:rPr>
          <w:rFonts w:cstheme="minorHAnsi"/>
        </w:rPr>
        <w:t>jednostki gospodarcze (około 9</w:t>
      </w:r>
      <w:r w:rsidR="001D23CD" w:rsidRPr="001D200B">
        <w:rPr>
          <w:rFonts w:cstheme="minorHAnsi"/>
        </w:rPr>
        <w:t>3</w:t>
      </w:r>
      <w:r w:rsidRPr="001D200B">
        <w:rPr>
          <w:rFonts w:cstheme="minorHAnsi"/>
        </w:rPr>
        <w:t>% ogółu)</w:t>
      </w:r>
    </w:p>
    <w:p w:rsidR="005F3868" w:rsidRPr="001D200B" w:rsidRDefault="005F3868" w:rsidP="002B56A1">
      <w:pPr>
        <w:numPr>
          <w:ilvl w:val="0"/>
          <w:numId w:val="6"/>
        </w:numPr>
        <w:rPr>
          <w:rFonts w:cstheme="minorHAnsi"/>
        </w:rPr>
      </w:pPr>
      <w:r w:rsidRPr="001D200B">
        <w:rPr>
          <w:rFonts w:cstheme="minorHAnsi"/>
        </w:rPr>
        <w:t>od 10 do 49 osób – 3</w:t>
      </w:r>
      <w:r w:rsidR="001D23CD" w:rsidRPr="001D200B">
        <w:rPr>
          <w:rFonts w:cstheme="minorHAnsi"/>
        </w:rPr>
        <w:t>7</w:t>
      </w:r>
      <w:r w:rsidRPr="001D200B">
        <w:rPr>
          <w:rFonts w:cstheme="minorHAnsi"/>
        </w:rPr>
        <w:t xml:space="preserve"> jednostek gospodarczy</w:t>
      </w:r>
      <w:r w:rsidR="00B47787" w:rsidRPr="001D200B">
        <w:rPr>
          <w:rFonts w:cstheme="minorHAnsi"/>
        </w:rPr>
        <w:t>ch</w:t>
      </w:r>
    </w:p>
    <w:p w:rsidR="005F3868" w:rsidRPr="001D200B" w:rsidRDefault="005F3868" w:rsidP="002B56A1">
      <w:pPr>
        <w:numPr>
          <w:ilvl w:val="0"/>
          <w:numId w:val="6"/>
        </w:numPr>
        <w:rPr>
          <w:rFonts w:cstheme="minorHAnsi"/>
        </w:rPr>
      </w:pPr>
      <w:r w:rsidRPr="001D200B">
        <w:rPr>
          <w:rFonts w:cstheme="minorHAnsi"/>
        </w:rPr>
        <w:t>od 50 do 249 osób – 1</w:t>
      </w:r>
      <w:r w:rsidR="001D23CD" w:rsidRPr="001D200B">
        <w:rPr>
          <w:rFonts w:cstheme="minorHAnsi"/>
        </w:rPr>
        <w:t>4</w:t>
      </w:r>
      <w:r w:rsidRPr="001D200B">
        <w:rPr>
          <w:rFonts w:cstheme="minorHAnsi"/>
        </w:rPr>
        <w:t xml:space="preserve"> jednostek gospodarczych</w:t>
      </w:r>
    </w:p>
    <w:p w:rsidR="005F3868" w:rsidRPr="001D200B" w:rsidRDefault="005F3868" w:rsidP="002B56A1">
      <w:pPr>
        <w:numPr>
          <w:ilvl w:val="0"/>
          <w:numId w:val="6"/>
        </w:numPr>
        <w:rPr>
          <w:rFonts w:cstheme="minorHAnsi"/>
        </w:rPr>
      </w:pPr>
      <w:r w:rsidRPr="001D200B">
        <w:rPr>
          <w:rFonts w:cstheme="minorHAnsi"/>
        </w:rPr>
        <w:t>powyżej 250 osób – 2 jednostki gospodarcze</w:t>
      </w:r>
    </w:p>
    <w:p w:rsidR="002D7E82" w:rsidRPr="001D200B" w:rsidRDefault="002D7E82" w:rsidP="002D7E82">
      <w:pPr>
        <w:pStyle w:val="Legenda"/>
        <w:rPr>
          <w:rFonts w:cstheme="minorHAnsi"/>
          <w:color w:val="auto"/>
          <w:highlight w:val="yellow"/>
        </w:rPr>
      </w:pPr>
      <w:bookmarkStart w:id="33" w:name="_Toc39476561"/>
      <w:r w:rsidRPr="001D200B">
        <w:rPr>
          <w:color w:val="auto"/>
        </w:rPr>
        <w:t xml:space="preserve">Tabela </w:t>
      </w:r>
      <w:r w:rsidR="005B7234" w:rsidRPr="001D200B">
        <w:rPr>
          <w:color w:val="auto"/>
        </w:rPr>
        <w:fldChar w:fldCharType="begin"/>
      </w:r>
      <w:r w:rsidR="005B7234" w:rsidRPr="001D200B">
        <w:rPr>
          <w:color w:val="auto"/>
        </w:rPr>
        <w:instrText xml:space="preserve"> SEQ Tabela \* ARABIC </w:instrText>
      </w:r>
      <w:r w:rsidR="005B7234" w:rsidRPr="001D200B">
        <w:rPr>
          <w:color w:val="auto"/>
        </w:rPr>
        <w:fldChar w:fldCharType="separate"/>
      </w:r>
      <w:r w:rsidR="00975320" w:rsidRPr="001D200B">
        <w:rPr>
          <w:noProof/>
          <w:color w:val="auto"/>
        </w:rPr>
        <w:t>9</w:t>
      </w:r>
      <w:r w:rsidR="005B7234" w:rsidRPr="001D200B">
        <w:rPr>
          <w:color w:val="auto"/>
        </w:rPr>
        <w:fldChar w:fldCharType="end"/>
      </w:r>
      <w:r w:rsidRPr="001D200B">
        <w:rPr>
          <w:color w:val="auto"/>
        </w:rPr>
        <w:t>. Liczba podmiotów gospodarczych według sekcji Polskiej Klasyfikacji Gospodarczej (PKD 2007) w 2018r. (klasyfikacja dla 792 podmiotów)</w:t>
      </w:r>
      <w:bookmarkEnd w:id="33"/>
    </w:p>
    <w:tbl>
      <w:tblPr>
        <w:tblW w:w="9214" w:type="dxa"/>
        <w:tblInd w:w="70" w:type="dxa"/>
        <w:tblLayout w:type="fixed"/>
        <w:tblCellMar>
          <w:left w:w="70" w:type="dxa"/>
          <w:right w:w="70" w:type="dxa"/>
        </w:tblCellMar>
        <w:tblLook w:val="0000"/>
      </w:tblPr>
      <w:tblGrid>
        <w:gridCol w:w="7230"/>
        <w:gridCol w:w="1984"/>
      </w:tblGrid>
      <w:tr w:rsidR="002D7E82" w:rsidRPr="001D200B" w:rsidTr="00833E8B">
        <w:trPr>
          <w:cantSplit/>
          <w:trHeight w:val="423"/>
        </w:trPr>
        <w:tc>
          <w:tcPr>
            <w:tcW w:w="7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D7E82" w:rsidRPr="001D200B" w:rsidRDefault="002D7E82" w:rsidP="00833E8B">
            <w:pPr>
              <w:spacing w:before="0" w:after="0" w:line="240" w:lineRule="auto"/>
              <w:jc w:val="center"/>
              <w:rPr>
                <w:rFonts w:cstheme="minorHAnsi"/>
                <w:b/>
              </w:rPr>
            </w:pPr>
            <w:r w:rsidRPr="001D200B">
              <w:rPr>
                <w:rFonts w:cstheme="minorHAnsi"/>
                <w:b/>
              </w:rPr>
              <w:t>Sektor gospodarki</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D7E82" w:rsidRPr="001D200B" w:rsidRDefault="002D7E82" w:rsidP="00833E8B">
            <w:pPr>
              <w:spacing w:before="0" w:after="0" w:line="240" w:lineRule="auto"/>
              <w:rPr>
                <w:rFonts w:cstheme="minorHAnsi"/>
                <w:b/>
              </w:rPr>
            </w:pPr>
            <w:r w:rsidRPr="001D200B">
              <w:rPr>
                <w:rFonts w:cstheme="minorHAnsi"/>
                <w:b/>
              </w:rPr>
              <w:t>Liczba podmiotów</w:t>
            </w:r>
          </w:p>
          <w:p w:rsidR="002D7E82" w:rsidRPr="001D200B" w:rsidRDefault="002D7E82" w:rsidP="00833E8B">
            <w:pPr>
              <w:spacing w:before="0" w:after="0" w:line="240" w:lineRule="auto"/>
              <w:rPr>
                <w:rFonts w:cstheme="minorHAnsi"/>
                <w:b/>
              </w:rPr>
            </w:pPr>
            <w:r w:rsidRPr="001D200B">
              <w:rPr>
                <w:rFonts w:cstheme="minorHAnsi"/>
                <w:b/>
              </w:rPr>
              <w:t xml:space="preserve"> gospodarczych</w:t>
            </w:r>
          </w:p>
        </w:tc>
      </w:tr>
      <w:tr w:rsidR="002D7E82" w:rsidRPr="001D200B" w:rsidTr="00833E8B">
        <w:trPr>
          <w:trHeight w:val="286"/>
        </w:trPr>
        <w:tc>
          <w:tcPr>
            <w:tcW w:w="7230" w:type="dxa"/>
            <w:tcBorders>
              <w:top w:val="nil"/>
              <w:left w:val="single" w:sz="4" w:space="0" w:color="auto"/>
              <w:bottom w:val="single" w:sz="4" w:space="0" w:color="auto"/>
              <w:right w:val="single" w:sz="4" w:space="0" w:color="auto"/>
            </w:tcBorders>
            <w:shd w:val="clear" w:color="auto" w:fill="auto"/>
          </w:tcPr>
          <w:p w:rsidR="002D7E82" w:rsidRPr="001D200B" w:rsidRDefault="002D7E82" w:rsidP="00833E8B">
            <w:pPr>
              <w:spacing w:before="0" w:after="0" w:line="240" w:lineRule="auto"/>
              <w:rPr>
                <w:rFonts w:cstheme="minorHAnsi"/>
              </w:rPr>
            </w:pPr>
            <w:r w:rsidRPr="001D200B">
              <w:rPr>
                <w:rFonts w:cstheme="minorHAnsi"/>
              </w:rPr>
              <w:t>Rolnictwo, leśnictwo, łowiectwo i rybactwo</w:t>
            </w:r>
          </w:p>
        </w:tc>
        <w:tc>
          <w:tcPr>
            <w:tcW w:w="1984" w:type="dxa"/>
            <w:tcBorders>
              <w:top w:val="single" w:sz="4" w:space="0" w:color="auto"/>
              <w:left w:val="nil"/>
              <w:bottom w:val="single" w:sz="4" w:space="0" w:color="auto"/>
              <w:right w:val="single" w:sz="4" w:space="0" w:color="auto"/>
            </w:tcBorders>
            <w:shd w:val="clear" w:color="auto" w:fill="auto"/>
            <w:vAlign w:val="center"/>
          </w:tcPr>
          <w:p w:rsidR="002D7E82" w:rsidRPr="001D200B" w:rsidRDefault="002D7E82" w:rsidP="00833E8B">
            <w:pPr>
              <w:spacing w:before="0" w:after="0" w:line="240" w:lineRule="auto"/>
              <w:jc w:val="center"/>
              <w:rPr>
                <w:rFonts w:cstheme="minorHAnsi"/>
              </w:rPr>
            </w:pPr>
            <w:r w:rsidRPr="001D200B">
              <w:rPr>
                <w:rFonts w:cstheme="minorHAnsi"/>
              </w:rPr>
              <w:t>4</w:t>
            </w:r>
          </w:p>
        </w:tc>
      </w:tr>
      <w:tr w:rsidR="002D7E82" w:rsidRPr="001D200B" w:rsidTr="00833E8B">
        <w:trPr>
          <w:trHeight w:val="194"/>
        </w:trPr>
        <w:tc>
          <w:tcPr>
            <w:tcW w:w="7230" w:type="dxa"/>
            <w:tcBorders>
              <w:top w:val="nil"/>
              <w:left w:val="single" w:sz="4" w:space="0" w:color="auto"/>
              <w:bottom w:val="single" w:sz="4" w:space="0" w:color="auto"/>
              <w:right w:val="single" w:sz="4" w:space="0" w:color="auto"/>
            </w:tcBorders>
            <w:shd w:val="clear" w:color="auto" w:fill="auto"/>
          </w:tcPr>
          <w:p w:rsidR="002D7E82" w:rsidRPr="001D200B" w:rsidRDefault="002D7E82" w:rsidP="00833E8B">
            <w:pPr>
              <w:spacing w:before="0" w:after="0" w:line="240" w:lineRule="auto"/>
              <w:rPr>
                <w:rFonts w:cstheme="minorHAnsi"/>
              </w:rPr>
            </w:pPr>
            <w:r w:rsidRPr="001D200B">
              <w:rPr>
                <w:rFonts w:cstheme="minorHAnsi"/>
              </w:rPr>
              <w:t>Górnictwo i wydobycie</w:t>
            </w:r>
          </w:p>
        </w:tc>
        <w:tc>
          <w:tcPr>
            <w:tcW w:w="1984" w:type="dxa"/>
            <w:tcBorders>
              <w:top w:val="single" w:sz="4" w:space="0" w:color="auto"/>
              <w:left w:val="nil"/>
              <w:bottom w:val="single" w:sz="4" w:space="0" w:color="auto"/>
              <w:right w:val="single" w:sz="4" w:space="0" w:color="auto"/>
            </w:tcBorders>
            <w:shd w:val="clear" w:color="auto" w:fill="auto"/>
            <w:vAlign w:val="center"/>
          </w:tcPr>
          <w:p w:rsidR="002D7E82" w:rsidRPr="001D200B" w:rsidRDefault="002D7E82" w:rsidP="00833E8B">
            <w:pPr>
              <w:spacing w:before="0" w:after="0" w:line="240" w:lineRule="auto"/>
              <w:jc w:val="center"/>
              <w:rPr>
                <w:rFonts w:cstheme="minorHAnsi"/>
              </w:rPr>
            </w:pPr>
            <w:r w:rsidRPr="001D200B">
              <w:rPr>
                <w:rFonts w:cstheme="minorHAnsi"/>
              </w:rPr>
              <w:t>4</w:t>
            </w:r>
          </w:p>
        </w:tc>
      </w:tr>
      <w:tr w:rsidR="002D7E82" w:rsidRPr="001D200B" w:rsidTr="00833E8B">
        <w:trPr>
          <w:trHeight w:val="194"/>
        </w:trPr>
        <w:tc>
          <w:tcPr>
            <w:tcW w:w="7230" w:type="dxa"/>
            <w:tcBorders>
              <w:top w:val="nil"/>
              <w:left w:val="single" w:sz="4" w:space="0" w:color="auto"/>
              <w:bottom w:val="single" w:sz="4" w:space="0" w:color="auto"/>
              <w:right w:val="single" w:sz="4" w:space="0" w:color="auto"/>
            </w:tcBorders>
            <w:shd w:val="clear" w:color="auto" w:fill="auto"/>
          </w:tcPr>
          <w:p w:rsidR="002D7E82" w:rsidRPr="001D200B" w:rsidRDefault="002D7E82" w:rsidP="00833E8B">
            <w:pPr>
              <w:spacing w:before="0" w:after="0" w:line="240" w:lineRule="auto"/>
              <w:rPr>
                <w:rFonts w:cstheme="minorHAnsi"/>
              </w:rPr>
            </w:pPr>
            <w:r w:rsidRPr="001D200B">
              <w:rPr>
                <w:rFonts w:cstheme="minorHAnsi"/>
              </w:rPr>
              <w:t>Przetwórstwo przemysłowe</w:t>
            </w:r>
          </w:p>
        </w:tc>
        <w:tc>
          <w:tcPr>
            <w:tcW w:w="1984" w:type="dxa"/>
            <w:tcBorders>
              <w:top w:val="single" w:sz="4" w:space="0" w:color="auto"/>
              <w:left w:val="nil"/>
              <w:bottom w:val="single" w:sz="4" w:space="0" w:color="auto"/>
              <w:right w:val="single" w:sz="4" w:space="0" w:color="auto"/>
            </w:tcBorders>
            <w:shd w:val="clear" w:color="auto" w:fill="auto"/>
            <w:vAlign w:val="center"/>
          </w:tcPr>
          <w:p w:rsidR="002D7E82" w:rsidRPr="001D200B" w:rsidRDefault="002D7E82" w:rsidP="00833E8B">
            <w:pPr>
              <w:spacing w:before="0" w:after="0" w:line="240" w:lineRule="auto"/>
              <w:jc w:val="center"/>
              <w:rPr>
                <w:rFonts w:cstheme="minorHAnsi"/>
              </w:rPr>
            </w:pPr>
            <w:r w:rsidRPr="001D200B">
              <w:rPr>
                <w:rFonts w:cstheme="minorHAnsi"/>
              </w:rPr>
              <w:t>82</w:t>
            </w:r>
          </w:p>
        </w:tc>
      </w:tr>
      <w:tr w:rsidR="002D7E82" w:rsidRPr="001D200B" w:rsidTr="00833E8B">
        <w:trPr>
          <w:trHeight w:val="410"/>
        </w:trPr>
        <w:tc>
          <w:tcPr>
            <w:tcW w:w="7230" w:type="dxa"/>
            <w:tcBorders>
              <w:top w:val="nil"/>
              <w:left w:val="single" w:sz="4" w:space="0" w:color="auto"/>
              <w:bottom w:val="single" w:sz="4" w:space="0" w:color="auto"/>
              <w:right w:val="single" w:sz="4" w:space="0" w:color="auto"/>
            </w:tcBorders>
          </w:tcPr>
          <w:p w:rsidR="002D7E82" w:rsidRPr="001D200B" w:rsidRDefault="002D7E82" w:rsidP="00833E8B">
            <w:pPr>
              <w:spacing w:before="0" w:after="0" w:line="240" w:lineRule="auto"/>
              <w:rPr>
                <w:rFonts w:cstheme="minorHAnsi"/>
              </w:rPr>
            </w:pPr>
            <w:r w:rsidRPr="001D200B">
              <w:rPr>
                <w:rFonts w:cstheme="minorHAnsi"/>
              </w:rPr>
              <w:t>Wytwarzanie i zaopatrzenie w energię elektryczną, gaz, parę wodną, gorącą wodę i powietrze do układów klimatyzacyjnych</w:t>
            </w:r>
          </w:p>
        </w:tc>
        <w:tc>
          <w:tcPr>
            <w:tcW w:w="1984" w:type="dxa"/>
            <w:tcBorders>
              <w:top w:val="single" w:sz="4" w:space="0" w:color="auto"/>
              <w:left w:val="nil"/>
              <w:bottom w:val="single" w:sz="4" w:space="0" w:color="auto"/>
              <w:right w:val="single" w:sz="4" w:space="0" w:color="auto"/>
            </w:tcBorders>
            <w:vAlign w:val="center"/>
          </w:tcPr>
          <w:p w:rsidR="002D7E82" w:rsidRPr="001D200B" w:rsidRDefault="002D7E82" w:rsidP="00833E8B">
            <w:pPr>
              <w:spacing w:before="0" w:after="0" w:line="240" w:lineRule="auto"/>
              <w:jc w:val="center"/>
              <w:rPr>
                <w:rFonts w:cstheme="minorHAnsi"/>
              </w:rPr>
            </w:pPr>
            <w:r w:rsidRPr="001D200B">
              <w:rPr>
                <w:rFonts w:cstheme="minorHAnsi"/>
              </w:rPr>
              <w:t>3</w:t>
            </w:r>
          </w:p>
        </w:tc>
      </w:tr>
      <w:tr w:rsidR="002D7E82" w:rsidRPr="001D200B" w:rsidTr="00833E8B">
        <w:trPr>
          <w:trHeight w:val="410"/>
        </w:trPr>
        <w:tc>
          <w:tcPr>
            <w:tcW w:w="7230" w:type="dxa"/>
            <w:tcBorders>
              <w:top w:val="nil"/>
              <w:left w:val="single" w:sz="4" w:space="0" w:color="auto"/>
              <w:bottom w:val="single" w:sz="4" w:space="0" w:color="auto"/>
              <w:right w:val="single" w:sz="4" w:space="0" w:color="auto"/>
            </w:tcBorders>
          </w:tcPr>
          <w:p w:rsidR="002D7E82" w:rsidRPr="001D200B" w:rsidRDefault="002D7E82" w:rsidP="00833E8B">
            <w:pPr>
              <w:spacing w:before="0" w:after="0" w:line="240" w:lineRule="auto"/>
              <w:rPr>
                <w:rFonts w:cstheme="minorHAnsi"/>
              </w:rPr>
            </w:pPr>
            <w:r w:rsidRPr="001D200B">
              <w:rPr>
                <w:rFonts w:cstheme="minorHAnsi"/>
              </w:rPr>
              <w:t>Dostawa wody, gospodarowanie ściekami i odpadami oraz działalność związana z rekultywacją</w:t>
            </w:r>
          </w:p>
        </w:tc>
        <w:tc>
          <w:tcPr>
            <w:tcW w:w="1984" w:type="dxa"/>
            <w:tcBorders>
              <w:top w:val="single" w:sz="4" w:space="0" w:color="auto"/>
              <w:left w:val="nil"/>
              <w:bottom w:val="single" w:sz="4" w:space="0" w:color="auto"/>
              <w:right w:val="single" w:sz="4" w:space="0" w:color="auto"/>
            </w:tcBorders>
            <w:vAlign w:val="center"/>
          </w:tcPr>
          <w:p w:rsidR="002D7E82" w:rsidRPr="001D200B" w:rsidRDefault="002D7E82" w:rsidP="00833E8B">
            <w:pPr>
              <w:spacing w:before="0" w:after="0" w:line="240" w:lineRule="auto"/>
              <w:jc w:val="center"/>
              <w:rPr>
                <w:rFonts w:cstheme="minorHAnsi"/>
              </w:rPr>
            </w:pPr>
            <w:r w:rsidRPr="001D200B">
              <w:rPr>
                <w:rFonts w:cstheme="minorHAnsi"/>
              </w:rPr>
              <w:t>6</w:t>
            </w:r>
          </w:p>
        </w:tc>
      </w:tr>
      <w:tr w:rsidR="002D7E82" w:rsidRPr="001D200B" w:rsidTr="00833E8B">
        <w:trPr>
          <w:trHeight w:val="204"/>
        </w:trPr>
        <w:tc>
          <w:tcPr>
            <w:tcW w:w="7230" w:type="dxa"/>
            <w:tcBorders>
              <w:top w:val="nil"/>
              <w:left w:val="single" w:sz="4" w:space="0" w:color="auto"/>
              <w:bottom w:val="single" w:sz="4" w:space="0" w:color="auto"/>
              <w:right w:val="single" w:sz="4" w:space="0" w:color="auto"/>
            </w:tcBorders>
          </w:tcPr>
          <w:p w:rsidR="002D7E82" w:rsidRPr="001D200B" w:rsidRDefault="002D7E82" w:rsidP="00833E8B">
            <w:pPr>
              <w:spacing w:before="0" w:after="0" w:line="240" w:lineRule="auto"/>
              <w:rPr>
                <w:rFonts w:cstheme="minorHAnsi"/>
              </w:rPr>
            </w:pPr>
            <w:r w:rsidRPr="001D200B">
              <w:rPr>
                <w:rFonts w:cstheme="minorHAnsi"/>
              </w:rPr>
              <w:t>Budownictwo</w:t>
            </w:r>
          </w:p>
        </w:tc>
        <w:tc>
          <w:tcPr>
            <w:tcW w:w="1984" w:type="dxa"/>
            <w:tcBorders>
              <w:top w:val="nil"/>
              <w:left w:val="nil"/>
              <w:bottom w:val="single" w:sz="4" w:space="0" w:color="auto"/>
              <w:right w:val="single" w:sz="4" w:space="0" w:color="auto"/>
            </w:tcBorders>
            <w:vAlign w:val="center"/>
          </w:tcPr>
          <w:p w:rsidR="002D7E82" w:rsidRPr="001D200B" w:rsidRDefault="002D7E82" w:rsidP="00833E8B">
            <w:pPr>
              <w:spacing w:before="0" w:after="0" w:line="240" w:lineRule="auto"/>
              <w:jc w:val="center"/>
              <w:rPr>
                <w:rFonts w:cstheme="minorHAnsi"/>
              </w:rPr>
            </w:pPr>
            <w:r w:rsidRPr="001D200B">
              <w:rPr>
                <w:rFonts w:cstheme="minorHAnsi"/>
              </w:rPr>
              <w:t>148</w:t>
            </w:r>
          </w:p>
        </w:tc>
      </w:tr>
      <w:tr w:rsidR="002D7E82" w:rsidRPr="001D200B" w:rsidTr="00833E8B">
        <w:trPr>
          <w:trHeight w:val="340"/>
        </w:trPr>
        <w:tc>
          <w:tcPr>
            <w:tcW w:w="7230" w:type="dxa"/>
            <w:tcBorders>
              <w:top w:val="nil"/>
              <w:left w:val="single" w:sz="4" w:space="0" w:color="auto"/>
              <w:bottom w:val="single" w:sz="4" w:space="0" w:color="auto"/>
              <w:right w:val="single" w:sz="4" w:space="0" w:color="auto"/>
            </w:tcBorders>
          </w:tcPr>
          <w:p w:rsidR="002D7E82" w:rsidRPr="001D200B" w:rsidRDefault="002D7E82" w:rsidP="00833E8B">
            <w:pPr>
              <w:spacing w:before="0" w:after="0" w:line="240" w:lineRule="auto"/>
              <w:rPr>
                <w:rFonts w:cstheme="minorHAnsi"/>
              </w:rPr>
            </w:pPr>
            <w:r w:rsidRPr="001D200B">
              <w:rPr>
                <w:rFonts w:cstheme="minorHAnsi"/>
              </w:rPr>
              <w:t>Handel hurtowy i detaliczny; naprawa pojazdów samochodowych, włączając motocykle</w:t>
            </w:r>
          </w:p>
        </w:tc>
        <w:tc>
          <w:tcPr>
            <w:tcW w:w="1984" w:type="dxa"/>
            <w:tcBorders>
              <w:top w:val="nil"/>
              <w:left w:val="nil"/>
              <w:bottom w:val="single" w:sz="4" w:space="0" w:color="auto"/>
              <w:right w:val="single" w:sz="4" w:space="0" w:color="auto"/>
            </w:tcBorders>
            <w:vAlign w:val="center"/>
          </w:tcPr>
          <w:p w:rsidR="002D7E82" w:rsidRPr="001D200B" w:rsidRDefault="002D7E82" w:rsidP="00833E8B">
            <w:pPr>
              <w:spacing w:before="0" w:after="0" w:line="240" w:lineRule="auto"/>
              <w:jc w:val="center"/>
              <w:rPr>
                <w:rFonts w:cstheme="minorHAnsi"/>
              </w:rPr>
            </w:pPr>
            <w:r w:rsidRPr="001D200B">
              <w:rPr>
                <w:rFonts w:cstheme="minorHAnsi"/>
              </w:rPr>
              <w:t>207</w:t>
            </w:r>
          </w:p>
        </w:tc>
      </w:tr>
      <w:tr w:rsidR="002D7E82" w:rsidRPr="001D200B" w:rsidTr="00833E8B">
        <w:trPr>
          <w:trHeight w:val="217"/>
        </w:trPr>
        <w:tc>
          <w:tcPr>
            <w:tcW w:w="7230" w:type="dxa"/>
            <w:tcBorders>
              <w:top w:val="nil"/>
              <w:left w:val="single" w:sz="4" w:space="0" w:color="auto"/>
              <w:bottom w:val="single" w:sz="4" w:space="0" w:color="auto"/>
              <w:right w:val="single" w:sz="4" w:space="0" w:color="auto"/>
            </w:tcBorders>
          </w:tcPr>
          <w:p w:rsidR="002D7E82" w:rsidRPr="001D200B" w:rsidRDefault="002D7E82" w:rsidP="00833E8B">
            <w:pPr>
              <w:spacing w:before="0" w:after="0" w:line="240" w:lineRule="auto"/>
              <w:rPr>
                <w:rFonts w:cstheme="minorHAnsi"/>
              </w:rPr>
            </w:pPr>
            <w:r w:rsidRPr="001D200B">
              <w:rPr>
                <w:rFonts w:cstheme="minorHAnsi"/>
              </w:rPr>
              <w:t>Transport i gospodarka magazynowa</w:t>
            </w:r>
          </w:p>
        </w:tc>
        <w:tc>
          <w:tcPr>
            <w:tcW w:w="1984" w:type="dxa"/>
            <w:tcBorders>
              <w:top w:val="nil"/>
              <w:left w:val="nil"/>
              <w:bottom w:val="single" w:sz="4" w:space="0" w:color="auto"/>
              <w:right w:val="single" w:sz="4" w:space="0" w:color="auto"/>
            </w:tcBorders>
            <w:vAlign w:val="center"/>
          </w:tcPr>
          <w:p w:rsidR="002D7E82" w:rsidRPr="001D200B" w:rsidRDefault="002D7E82" w:rsidP="00833E8B">
            <w:pPr>
              <w:spacing w:before="0" w:after="0" w:line="240" w:lineRule="auto"/>
              <w:jc w:val="center"/>
              <w:rPr>
                <w:rFonts w:cstheme="minorHAnsi"/>
              </w:rPr>
            </w:pPr>
            <w:r w:rsidRPr="001D200B">
              <w:rPr>
                <w:rFonts w:cstheme="minorHAnsi"/>
              </w:rPr>
              <w:t>54</w:t>
            </w:r>
          </w:p>
        </w:tc>
      </w:tr>
      <w:tr w:rsidR="002D7E82" w:rsidRPr="001D200B" w:rsidTr="00833E8B">
        <w:trPr>
          <w:trHeight w:val="214"/>
        </w:trPr>
        <w:tc>
          <w:tcPr>
            <w:tcW w:w="7230" w:type="dxa"/>
            <w:tcBorders>
              <w:top w:val="nil"/>
              <w:left w:val="single" w:sz="4" w:space="0" w:color="auto"/>
              <w:bottom w:val="single" w:sz="4" w:space="0" w:color="auto"/>
              <w:right w:val="single" w:sz="4" w:space="0" w:color="auto"/>
            </w:tcBorders>
          </w:tcPr>
          <w:p w:rsidR="002D7E82" w:rsidRPr="001D200B" w:rsidRDefault="002D7E82" w:rsidP="00833E8B">
            <w:pPr>
              <w:spacing w:before="0" w:after="0" w:line="240" w:lineRule="auto"/>
              <w:rPr>
                <w:rFonts w:cstheme="minorHAnsi"/>
              </w:rPr>
            </w:pPr>
            <w:r w:rsidRPr="001D200B">
              <w:rPr>
                <w:rFonts w:cstheme="minorHAnsi"/>
              </w:rPr>
              <w:t>Działalność związana z zakwaterowaniem i usługami gastronomicznymi</w:t>
            </w:r>
          </w:p>
        </w:tc>
        <w:tc>
          <w:tcPr>
            <w:tcW w:w="1984" w:type="dxa"/>
            <w:tcBorders>
              <w:top w:val="nil"/>
              <w:left w:val="nil"/>
              <w:bottom w:val="single" w:sz="4" w:space="0" w:color="auto"/>
              <w:right w:val="single" w:sz="4" w:space="0" w:color="auto"/>
            </w:tcBorders>
            <w:vAlign w:val="center"/>
          </w:tcPr>
          <w:p w:rsidR="002D7E82" w:rsidRPr="001D200B" w:rsidRDefault="002D7E82" w:rsidP="00833E8B">
            <w:pPr>
              <w:spacing w:before="0" w:after="0" w:line="240" w:lineRule="auto"/>
              <w:jc w:val="center"/>
              <w:rPr>
                <w:rFonts w:cstheme="minorHAnsi"/>
              </w:rPr>
            </w:pPr>
            <w:r w:rsidRPr="001D200B">
              <w:rPr>
                <w:rFonts w:cstheme="minorHAnsi"/>
              </w:rPr>
              <w:t>31</w:t>
            </w:r>
          </w:p>
        </w:tc>
      </w:tr>
      <w:tr w:rsidR="002D7E82" w:rsidRPr="001D200B" w:rsidTr="00833E8B">
        <w:trPr>
          <w:trHeight w:val="214"/>
        </w:trPr>
        <w:tc>
          <w:tcPr>
            <w:tcW w:w="7230" w:type="dxa"/>
            <w:tcBorders>
              <w:top w:val="nil"/>
              <w:left w:val="single" w:sz="4" w:space="0" w:color="auto"/>
              <w:bottom w:val="single" w:sz="4" w:space="0" w:color="auto"/>
              <w:right w:val="single" w:sz="4" w:space="0" w:color="auto"/>
            </w:tcBorders>
          </w:tcPr>
          <w:p w:rsidR="002D7E82" w:rsidRPr="001D200B" w:rsidRDefault="002D7E82" w:rsidP="00833E8B">
            <w:pPr>
              <w:spacing w:before="0" w:after="0" w:line="240" w:lineRule="auto"/>
              <w:rPr>
                <w:rFonts w:cstheme="minorHAnsi"/>
              </w:rPr>
            </w:pPr>
            <w:r w:rsidRPr="001D200B">
              <w:rPr>
                <w:rFonts w:cstheme="minorHAnsi"/>
              </w:rPr>
              <w:t>Informacja i komunikacja</w:t>
            </w:r>
          </w:p>
        </w:tc>
        <w:tc>
          <w:tcPr>
            <w:tcW w:w="1984" w:type="dxa"/>
            <w:tcBorders>
              <w:top w:val="nil"/>
              <w:left w:val="nil"/>
              <w:bottom w:val="single" w:sz="4" w:space="0" w:color="auto"/>
              <w:right w:val="single" w:sz="4" w:space="0" w:color="auto"/>
            </w:tcBorders>
            <w:vAlign w:val="center"/>
          </w:tcPr>
          <w:p w:rsidR="002D7E82" w:rsidRPr="001D200B" w:rsidRDefault="002D7E82" w:rsidP="00833E8B">
            <w:pPr>
              <w:spacing w:before="0" w:after="0" w:line="240" w:lineRule="auto"/>
              <w:jc w:val="center"/>
              <w:rPr>
                <w:rFonts w:cstheme="minorHAnsi"/>
              </w:rPr>
            </w:pPr>
            <w:r w:rsidRPr="001D200B">
              <w:rPr>
                <w:rFonts w:cstheme="minorHAnsi"/>
              </w:rPr>
              <w:t>20</w:t>
            </w:r>
          </w:p>
        </w:tc>
      </w:tr>
      <w:tr w:rsidR="002D7E82" w:rsidRPr="001D200B" w:rsidTr="00833E8B">
        <w:trPr>
          <w:trHeight w:val="205"/>
        </w:trPr>
        <w:tc>
          <w:tcPr>
            <w:tcW w:w="7230" w:type="dxa"/>
            <w:tcBorders>
              <w:top w:val="nil"/>
              <w:left w:val="single" w:sz="4" w:space="0" w:color="auto"/>
              <w:bottom w:val="single" w:sz="4" w:space="0" w:color="auto"/>
              <w:right w:val="single" w:sz="4" w:space="0" w:color="auto"/>
            </w:tcBorders>
          </w:tcPr>
          <w:p w:rsidR="002D7E82" w:rsidRPr="001D200B" w:rsidRDefault="002D7E82" w:rsidP="00833E8B">
            <w:pPr>
              <w:spacing w:before="0" w:after="0" w:line="240" w:lineRule="auto"/>
              <w:rPr>
                <w:rFonts w:cstheme="minorHAnsi"/>
              </w:rPr>
            </w:pPr>
            <w:r w:rsidRPr="001D200B">
              <w:rPr>
                <w:rFonts w:cstheme="minorHAnsi"/>
              </w:rPr>
              <w:t>Działalność finansowa i ubezpieczeniowa</w:t>
            </w:r>
          </w:p>
        </w:tc>
        <w:tc>
          <w:tcPr>
            <w:tcW w:w="1984" w:type="dxa"/>
            <w:tcBorders>
              <w:top w:val="nil"/>
              <w:left w:val="nil"/>
              <w:bottom w:val="single" w:sz="4" w:space="0" w:color="auto"/>
              <w:right w:val="single" w:sz="4" w:space="0" w:color="auto"/>
            </w:tcBorders>
            <w:vAlign w:val="center"/>
          </w:tcPr>
          <w:p w:rsidR="002D7E82" w:rsidRPr="001D200B" w:rsidRDefault="002D7E82" w:rsidP="00833E8B">
            <w:pPr>
              <w:spacing w:before="0" w:after="0" w:line="240" w:lineRule="auto"/>
              <w:jc w:val="center"/>
              <w:rPr>
                <w:rFonts w:cstheme="minorHAnsi"/>
              </w:rPr>
            </w:pPr>
            <w:r w:rsidRPr="001D200B">
              <w:rPr>
                <w:rFonts w:cstheme="minorHAnsi"/>
              </w:rPr>
              <w:t>18</w:t>
            </w:r>
          </w:p>
        </w:tc>
      </w:tr>
      <w:tr w:rsidR="002D7E82" w:rsidRPr="001D200B" w:rsidTr="00833E8B">
        <w:trPr>
          <w:trHeight w:val="216"/>
        </w:trPr>
        <w:tc>
          <w:tcPr>
            <w:tcW w:w="7230" w:type="dxa"/>
            <w:tcBorders>
              <w:top w:val="nil"/>
              <w:left w:val="single" w:sz="4" w:space="0" w:color="auto"/>
              <w:bottom w:val="single" w:sz="4" w:space="0" w:color="auto"/>
              <w:right w:val="single" w:sz="4" w:space="0" w:color="auto"/>
            </w:tcBorders>
          </w:tcPr>
          <w:p w:rsidR="002D7E82" w:rsidRPr="001D200B" w:rsidRDefault="002D7E82" w:rsidP="00833E8B">
            <w:pPr>
              <w:spacing w:before="0" w:after="0" w:line="240" w:lineRule="auto"/>
              <w:rPr>
                <w:rFonts w:cstheme="minorHAnsi"/>
              </w:rPr>
            </w:pPr>
            <w:r w:rsidRPr="001D200B">
              <w:rPr>
                <w:rFonts w:cstheme="minorHAnsi"/>
              </w:rPr>
              <w:t xml:space="preserve">Działalność związana z obsługa rynku nieruchomości </w:t>
            </w:r>
          </w:p>
        </w:tc>
        <w:tc>
          <w:tcPr>
            <w:tcW w:w="1984" w:type="dxa"/>
            <w:tcBorders>
              <w:top w:val="nil"/>
              <w:left w:val="nil"/>
              <w:bottom w:val="single" w:sz="4" w:space="0" w:color="auto"/>
              <w:right w:val="single" w:sz="4" w:space="0" w:color="auto"/>
            </w:tcBorders>
            <w:vAlign w:val="center"/>
          </w:tcPr>
          <w:p w:rsidR="002D7E82" w:rsidRPr="001D200B" w:rsidRDefault="002D7E82" w:rsidP="00833E8B">
            <w:pPr>
              <w:spacing w:before="0" w:after="0" w:line="240" w:lineRule="auto"/>
              <w:jc w:val="center"/>
              <w:rPr>
                <w:rFonts w:cstheme="minorHAnsi"/>
              </w:rPr>
            </w:pPr>
            <w:r w:rsidRPr="001D200B">
              <w:rPr>
                <w:rFonts w:cstheme="minorHAnsi"/>
              </w:rPr>
              <w:t>7</w:t>
            </w:r>
          </w:p>
        </w:tc>
      </w:tr>
      <w:tr w:rsidR="002D7E82" w:rsidRPr="001D200B" w:rsidTr="00833E8B">
        <w:trPr>
          <w:trHeight w:val="216"/>
        </w:trPr>
        <w:tc>
          <w:tcPr>
            <w:tcW w:w="7230" w:type="dxa"/>
            <w:tcBorders>
              <w:top w:val="nil"/>
              <w:left w:val="single" w:sz="4" w:space="0" w:color="auto"/>
              <w:bottom w:val="single" w:sz="4" w:space="0" w:color="auto"/>
              <w:right w:val="single" w:sz="4" w:space="0" w:color="auto"/>
            </w:tcBorders>
          </w:tcPr>
          <w:p w:rsidR="002D7E82" w:rsidRPr="001D200B" w:rsidRDefault="002D7E82" w:rsidP="00833E8B">
            <w:pPr>
              <w:spacing w:before="0" w:after="0" w:line="240" w:lineRule="auto"/>
              <w:rPr>
                <w:rFonts w:cstheme="minorHAnsi"/>
              </w:rPr>
            </w:pPr>
            <w:r w:rsidRPr="001D200B">
              <w:rPr>
                <w:rFonts w:cstheme="minorHAnsi"/>
              </w:rPr>
              <w:t>Działalność profesjonalna, naukowa i techniczna</w:t>
            </w:r>
          </w:p>
        </w:tc>
        <w:tc>
          <w:tcPr>
            <w:tcW w:w="1984" w:type="dxa"/>
            <w:tcBorders>
              <w:top w:val="nil"/>
              <w:left w:val="nil"/>
              <w:bottom w:val="single" w:sz="4" w:space="0" w:color="auto"/>
              <w:right w:val="single" w:sz="4" w:space="0" w:color="auto"/>
            </w:tcBorders>
            <w:vAlign w:val="center"/>
          </w:tcPr>
          <w:p w:rsidR="002D7E82" w:rsidRPr="001D200B" w:rsidRDefault="002D7E82" w:rsidP="00833E8B">
            <w:pPr>
              <w:spacing w:before="0" w:after="0" w:line="240" w:lineRule="auto"/>
              <w:jc w:val="center"/>
              <w:rPr>
                <w:rFonts w:cstheme="minorHAnsi"/>
              </w:rPr>
            </w:pPr>
            <w:r w:rsidRPr="001D200B">
              <w:rPr>
                <w:rFonts w:cstheme="minorHAnsi"/>
              </w:rPr>
              <w:t>49</w:t>
            </w:r>
          </w:p>
        </w:tc>
      </w:tr>
      <w:tr w:rsidR="002D7E82" w:rsidRPr="001D200B" w:rsidTr="00833E8B">
        <w:trPr>
          <w:trHeight w:val="303"/>
        </w:trPr>
        <w:tc>
          <w:tcPr>
            <w:tcW w:w="7230" w:type="dxa"/>
            <w:tcBorders>
              <w:top w:val="nil"/>
              <w:left w:val="single" w:sz="4" w:space="0" w:color="auto"/>
              <w:bottom w:val="single" w:sz="4" w:space="0" w:color="auto"/>
              <w:right w:val="single" w:sz="4" w:space="0" w:color="auto"/>
            </w:tcBorders>
          </w:tcPr>
          <w:p w:rsidR="002D7E82" w:rsidRPr="001D200B" w:rsidRDefault="002D7E82" w:rsidP="00833E8B">
            <w:pPr>
              <w:spacing w:before="0" w:after="0" w:line="240" w:lineRule="auto"/>
              <w:rPr>
                <w:rFonts w:cstheme="minorHAnsi"/>
              </w:rPr>
            </w:pPr>
            <w:r w:rsidRPr="001D200B">
              <w:rPr>
                <w:rFonts w:cstheme="minorHAnsi"/>
              </w:rPr>
              <w:t xml:space="preserve">Działalność w zakresie usług administrowania </w:t>
            </w:r>
          </w:p>
        </w:tc>
        <w:tc>
          <w:tcPr>
            <w:tcW w:w="1984" w:type="dxa"/>
            <w:tcBorders>
              <w:top w:val="nil"/>
              <w:left w:val="nil"/>
              <w:bottom w:val="single" w:sz="4" w:space="0" w:color="auto"/>
              <w:right w:val="single" w:sz="4" w:space="0" w:color="auto"/>
            </w:tcBorders>
            <w:vAlign w:val="center"/>
          </w:tcPr>
          <w:p w:rsidR="002D7E82" w:rsidRPr="001D200B" w:rsidRDefault="002D7E82" w:rsidP="00833E8B">
            <w:pPr>
              <w:spacing w:before="0" w:after="0" w:line="240" w:lineRule="auto"/>
              <w:jc w:val="center"/>
              <w:rPr>
                <w:rFonts w:cstheme="minorHAnsi"/>
              </w:rPr>
            </w:pPr>
            <w:r w:rsidRPr="001D200B">
              <w:rPr>
                <w:rFonts w:cstheme="minorHAnsi"/>
              </w:rPr>
              <w:t>17</w:t>
            </w:r>
          </w:p>
        </w:tc>
      </w:tr>
      <w:tr w:rsidR="002D7E82" w:rsidRPr="001D200B" w:rsidTr="00833E8B">
        <w:trPr>
          <w:trHeight w:val="340"/>
        </w:trPr>
        <w:tc>
          <w:tcPr>
            <w:tcW w:w="7230" w:type="dxa"/>
            <w:tcBorders>
              <w:top w:val="nil"/>
              <w:left w:val="single" w:sz="4" w:space="0" w:color="auto"/>
              <w:bottom w:val="single" w:sz="4" w:space="0" w:color="auto"/>
              <w:right w:val="single" w:sz="4" w:space="0" w:color="auto"/>
            </w:tcBorders>
          </w:tcPr>
          <w:p w:rsidR="002D7E82" w:rsidRPr="001D200B" w:rsidRDefault="002D7E82" w:rsidP="00833E8B">
            <w:pPr>
              <w:spacing w:before="0" w:after="0" w:line="240" w:lineRule="auto"/>
              <w:rPr>
                <w:rFonts w:cstheme="minorHAnsi"/>
              </w:rPr>
            </w:pPr>
            <w:r w:rsidRPr="001D200B">
              <w:rPr>
                <w:rFonts w:cstheme="minorHAnsi"/>
              </w:rPr>
              <w:t xml:space="preserve">Administracja publiczna i obrona narodowa; obowiązkowe </w:t>
            </w:r>
            <w:r w:rsidRPr="001D200B">
              <w:rPr>
                <w:rFonts w:cstheme="minorHAnsi"/>
              </w:rPr>
              <w:lastRenderedPageBreak/>
              <w:t>ubezpieczenia społeczne</w:t>
            </w:r>
          </w:p>
        </w:tc>
        <w:tc>
          <w:tcPr>
            <w:tcW w:w="1984" w:type="dxa"/>
            <w:tcBorders>
              <w:top w:val="nil"/>
              <w:left w:val="nil"/>
              <w:bottom w:val="single" w:sz="4" w:space="0" w:color="auto"/>
              <w:right w:val="single" w:sz="4" w:space="0" w:color="auto"/>
            </w:tcBorders>
            <w:vAlign w:val="center"/>
          </w:tcPr>
          <w:p w:rsidR="002D7E82" w:rsidRPr="001D200B" w:rsidRDefault="002D7E82" w:rsidP="00833E8B">
            <w:pPr>
              <w:spacing w:before="0" w:after="0" w:line="240" w:lineRule="auto"/>
              <w:jc w:val="center"/>
              <w:rPr>
                <w:rFonts w:cstheme="minorHAnsi"/>
              </w:rPr>
            </w:pPr>
            <w:r w:rsidRPr="001D200B">
              <w:rPr>
                <w:rFonts w:cstheme="minorHAnsi"/>
              </w:rPr>
              <w:lastRenderedPageBreak/>
              <w:t>11</w:t>
            </w:r>
          </w:p>
        </w:tc>
      </w:tr>
      <w:tr w:rsidR="002D7E82" w:rsidRPr="001D200B" w:rsidTr="00833E8B">
        <w:trPr>
          <w:trHeight w:val="223"/>
        </w:trPr>
        <w:tc>
          <w:tcPr>
            <w:tcW w:w="7230" w:type="dxa"/>
            <w:tcBorders>
              <w:top w:val="nil"/>
              <w:left w:val="single" w:sz="4" w:space="0" w:color="auto"/>
              <w:bottom w:val="single" w:sz="4" w:space="0" w:color="auto"/>
              <w:right w:val="single" w:sz="4" w:space="0" w:color="auto"/>
            </w:tcBorders>
          </w:tcPr>
          <w:p w:rsidR="002D7E82" w:rsidRPr="001D200B" w:rsidRDefault="002D7E82" w:rsidP="00833E8B">
            <w:pPr>
              <w:spacing w:before="0" w:after="0" w:line="240" w:lineRule="auto"/>
              <w:rPr>
                <w:rFonts w:cstheme="minorHAnsi"/>
              </w:rPr>
            </w:pPr>
            <w:r w:rsidRPr="001D200B">
              <w:rPr>
                <w:rFonts w:cstheme="minorHAnsi"/>
              </w:rPr>
              <w:lastRenderedPageBreak/>
              <w:t>Edukacja</w:t>
            </w:r>
          </w:p>
        </w:tc>
        <w:tc>
          <w:tcPr>
            <w:tcW w:w="1984" w:type="dxa"/>
            <w:tcBorders>
              <w:top w:val="nil"/>
              <w:left w:val="nil"/>
              <w:bottom w:val="single" w:sz="4" w:space="0" w:color="auto"/>
              <w:right w:val="single" w:sz="4" w:space="0" w:color="auto"/>
            </w:tcBorders>
            <w:vAlign w:val="center"/>
          </w:tcPr>
          <w:p w:rsidR="002D7E82" w:rsidRPr="001D200B" w:rsidRDefault="002D7E82" w:rsidP="00833E8B">
            <w:pPr>
              <w:spacing w:before="0" w:after="0" w:line="240" w:lineRule="auto"/>
              <w:jc w:val="center"/>
              <w:rPr>
                <w:rFonts w:cstheme="minorHAnsi"/>
              </w:rPr>
            </w:pPr>
            <w:r w:rsidRPr="001D200B">
              <w:rPr>
                <w:rFonts w:cstheme="minorHAnsi"/>
              </w:rPr>
              <w:t>22</w:t>
            </w:r>
          </w:p>
        </w:tc>
      </w:tr>
      <w:tr w:rsidR="002D7E82" w:rsidRPr="001D200B" w:rsidTr="00833E8B">
        <w:trPr>
          <w:trHeight w:val="212"/>
        </w:trPr>
        <w:tc>
          <w:tcPr>
            <w:tcW w:w="7230" w:type="dxa"/>
            <w:tcBorders>
              <w:top w:val="nil"/>
              <w:left w:val="single" w:sz="4" w:space="0" w:color="auto"/>
              <w:bottom w:val="single" w:sz="4" w:space="0" w:color="auto"/>
              <w:right w:val="single" w:sz="4" w:space="0" w:color="auto"/>
            </w:tcBorders>
          </w:tcPr>
          <w:p w:rsidR="002D7E82" w:rsidRPr="001D200B" w:rsidRDefault="002D7E82" w:rsidP="00833E8B">
            <w:pPr>
              <w:spacing w:before="0" w:after="0" w:line="240" w:lineRule="auto"/>
              <w:rPr>
                <w:rFonts w:cstheme="minorHAnsi"/>
              </w:rPr>
            </w:pPr>
            <w:r w:rsidRPr="001D200B">
              <w:rPr>
                <w:rFonts w:cstheme="minorHAnsi"/>
              </w:rPr>
              <w:t>Opieka zdrowotna i pomoc społeczna</w:t>
            </w:r>
          </w:p>
        </w:tc>
        <w:tc>
          <w:tcPr>
            <w:tcW w:w="1984" w:type="dxa"/>
            <w:tcBorders>
              <w:top w:val="nil"/>
              <w:left w:val="nil"/>
              <w:bottom w:val="single" w:sz="4" w:space="0" w:color="auto"/>
              <w:right w:val="single" w:sz="4" w:space="0" w:color="auto"/>
            </w:tcBorders>
            <w:vAlign w:val="center"/>
          </w:tcPr>
          <w:p w:rsidR="002D7E82" w:rsidRPr="001D200B" w:rsidRDefault="002D7E82" w:rsidP="00833E8B">
            <w:pPr>
              <w:spacing w:before="0" w:after="0" w:line="240" w:lineRule="auto"/>
              <w:jc w:val="center"/>
              <w:rPr>
                <w:rFonts w:cstheme="minorHAnsi"/>
              </w:rPr>
            </w:pPr>
            <w:r w:rsidRPr="001D200B">
              <w:rPr>
                <w:rFonts w:cstheme="minorHAnsi"/>
              </w:rPr>
              <w:t>38</w:t>
            </w:r>
          </w:p>
        </w:tc>
      </w:tr>
      <w:tr w:rsidR="002D7E82" w:rsidRPr="001D200B" w:rsidTr="00833E8B">
        <w:trPr>
          <w:trHeight w:val="203"/>
        </w:trPr>
        <w:tc>
          <w:tcPr>
            <w:tcW w:w="7230" w:type="dxa"/>
            <w:tcBorders>
              <w:top w:val="nil"/>
              <w:left w:val="single" w:sz="4" w:space="0" w:color="auto"/>
              <w:bottom w:val="single" w:sz="4" w:space="0" w:color="auto"/>
              <w:right w:val="single" w:sz="4" w:space="0" w:color="auto"/>
            </w:tcBorders>
          </w:tcPr>
          <w:p w:rsidR="002D7E82" w:rsidRPr="001D200B" w:rsidRDefault="002D7E82" w:rsidP="00833E8B">
            <w:pPr>
              <w:spacing w:before="0" w:after="0" w:line="240" w:lineRule="auto"/>
              <w:rPr>
                <w:rFonts w:cstheme="minorHAnsi"/>
              </w:rPr>
            </w:pPr>
            <w:r w:rsidRPr="001D200B">
              <w:rPr>
                <w:rFonts w:cstheme="minorHAnsi"/>
              </w:rPr>
              <w:t>Działalność związana z kulturą, rozrywką i rekreacją</w:t>
            </w:r>
          </w:p>
        </w:tc>
        <w:tc>
          <w:tcPr>
            <w:tcW w:w="1984" w:type="dxa"/>
            <w:tcBorders>
              <w:top w:val="nil"/>
              <w:left w:val="nil"/>
              <w:bottom w:val="single" w:sz="4" w:space="0" w:color="auto"/>
              <w:right w:val="single" w:sz="4" w:space="0" w:color="auto"/>
            </w:tcBorders>
            <w:vAlign w:val="center"/>
          </w:tcPr>
          <w:p w:rsidR="002D7E82" w:rsidRPr="001D200B" w:rsidRDefault="002D7E82" w:rsidP="00833E8B">
            <w:pPr>
              <w:spacing w:before="0" w:after="0" w:line="240" w:lineRule="auto"/>
              <w:jc w:val="center"/>
              <w:rPr>
                <w:rFonts w:cstheme="minorHAnsi"/>
              </w:rPr>
            </w:pPr>
            <w:r w:rsidRPr="001D200B">
              <w:rPr>
                <w:rFonts w:cstheme="minorHAnsi"/>
              </w:rPr>
              <w:t>17</w:t>
            </w:r>
          </w:p>
        </w:tc>
      </w:tr>
      <w:tr w:rsidR="002D7E82" w:rsidRPr="001D200B" w:rsidTr="00833E8B">
        <w:trPr>
          <w:trHeight w:val="206"/>
        </w:trPr>
        <w:tc>
          <w:tcPr>
            <w:tcW w:w="7230" w:type="dxa"/>
            <w:tcBorders>
              <w:top w:val="nil"/>
              <w:left w:val="single" w:sz="4" w:space="0" w:color="auto"/>
              <w:bottom w:val="single" w:sz="4" w:space="0" w:color="auto"/>
              <w:right w:val="single" w:sz="4" w:space="0" w:color="auto"/>
            </w:tcBorders>
          </w:tcPr>
          <w:p w:rsidR="002D7E82" w:rsidRPr="001D200B" w:rsidRDefault="002D7E82" w:rsidP="00833E8B">
            <w:pPr>
              <w:spacing w:before="0" w:after="0" w:line="240" w:lineRule="auto"/>
              <w:rPr>
                <w:rFonts w:cstheme="minorHAnsi"/>
              </w:rPr>
            </w:pPr>
            <w:r w:rsidRPr="001D200B">
              <w:rPr>
                <w:rFonts w:cstheme="minorHAnsi"/>
              </w:rPr>
              <w:t>Pozostała działalność usługowa, gospodarstwa domowe zatrudniające pracowników, gospodarstwa domowe produkujące wyroby i świadczące usługi na własne potrzeby</w:t>
            </w:r>
          </w:p>
        </w:tc>
        <w:tc>
          <w:tcPr>
            <w:tcW w:w="1984" w:type="dxa"/>
            <w:tcBorders>
              <w:top w:val="nil"/>
              <w:left w:val="nil"/>
              <w:bottom w:val="single" w:sz="4" w:space="0" w:color="auto"/>
              <w:right w:val="single" w:sz="4" w:space="0" w:color="auto"/>
            </w:tcBorders>
            <w:vAlign w:val="center"/>
          </w:tcPr>
          <w:p w:rsidR="002D7E82" w:rsidRPr="001D200B" w:rsidRDefault="002D7E82" w:rsidP="00833E8B">
            <w:pPr>
              <w:spacing w:before="0" w:after="0" w:line="240" w:lineRule="auto"/>
              <w:jc w:val="center"/>
              <w:rPr>
                <w:rFonts w:cstheme="minorHAnsi"/>
              </w:rPr>
            </w:pPr>
            <w:r w:rsidRPr="001D200B">
              <w:rPr>
                <w:rFonts w:cstheme="minorHAnsi"/>
              </w:rPr>
              <w:t>54</w:t>
            </w:r>
          </w:p>
        </w:tc>
      </w:tr>
    </w:tbl>
    <w:p w:rsidR="002D7E82" w:rsidRPr="001D200B" w:rsidRDefault="002D7E82" w:rsidP="002D7E82">
      <w:pPr>
        <w:pStyle w:val="podtabelk"/>
        <w:rPr>
          <w:rFonts w:eastAsia="Calibri"/>
        </w:rPr>
      </w:pPr>
      <w:r w:rsidRPr="001D200B">
        <w:rPr>
          <w:rStyle w:val="txt"/>
        </w:rPr>
        <w:t>*</w:t>
      </w:r>
      <w:r w:rsidRPr="001D200B">
        <w:t xml:space="preserve"> źródło danych GUS:</w:t>
      </w:r>
      <w:r w:rsidRPr="001D200B">
        <w:rPr>
          <w:rStyle w:val="txt"/>
        </w:rPr>
        <w:t xml:space="preserve"> www.stat.gov.pl </w:t>
      </w:r>
    </w:p>
    <w:p w:rsidR="00D27A9A" w:rsidRPr="001D200B" w:rsidRDefault="0016754A" w:rsidP="0016754A">
      <w:pPr>
        <w:rPr>
          <w:rFonts w:eastAsia="TimesNewRomanPSMT" w:cstheme="minorHAnsi"/>
        </w:rPr>
      </w:pPr>
      <w:r w:rsidRPr="001D200B">
        <w:rPr>
          <w:rFonts w:cstheme="minorHAnsi"/>
          <w:szCs w:val="24"/>
        </w:rPr>
        <w:t xml:space="preserve">Rolnictwo stanowi drugoplanowy sektor lokalnej gospodarki, dający zatrudnienie mniejszej części mieszkańców. </w:t>
      </w:r>
      <w:r w:rsidR="00D27A9A" w:rsidRPr="001D200B">
        <w:rPr>
          <w:rFonts w:eastAsia="TimesNewRomanPSMT" w:cstheme="minorHAnsi"/>
        </w:rPr>
        <w:t>Na obszarze gminy znajduj</w:t>
      </w:r>
      <w:r w:rsidR="00A16D40" w:rsidRPr="001D200B">
        <w:rPr>
          <w:rFonts w:eastAsia="TimesNewRomanPSMT" w:cstheme="minorHAnsi"/>
        </w:rPr>
        <w:t>ą</w:t>
      </w:r>
      <w:r w:rsidR="00D27A9A" w:rsidRPr="001D200B">
        <w:rPr>
          <w:rFonts w:eastAsia="TimesNewRomanPSMT" w:cstheme="minorHAnsi"/>
        </w:rPr>
        <w:t xml:space="preserve"> się </w:t>
      </w:r>
      <w:r w:rsidR="00A16D40" w:rsidRPr="001D200B">
        <w:rPr>
          <w:rFonts w:eastAsia="TimesNewRomanPSMT" w:cstheme="minorHAnsi"/>
        </w:rPr>
        <w:t>1042</w:t>
      </w:r>
      <w:r w:rsidR="00D27A9A" w:rsidRPr="001D200B">
        <w:rPr>
          <w:rFonts w:eastAsia="TimesNewRomanPSMT" w:cstheme="minorHAnsi"/>
        </w:rPr>
        <w:t xml:space="preserve"> gospodarstw</w:t>
      </w:r>
      <w:r w:rsidR="00A16D40" w:rsidRPr="001D200B">
        <w:rPr>
          <w:rFonts w:eastAsia="TimesNewRomanPSMT" w:cstheme="minorHAnsi"/>
        </w:rPr>
        <w:t>a</w:t>
      </w:r>
      <w:r w:rsidR="00D27A9A" w:rsidRPr="001D200B">
        <w:rPr>
          <w:rFonts w:eastAsia="TimesNewRomanPSMT" w:cstheme="minorHAnsi"/>
        </w:rPr>
        <w:t xml:space="preserve"> roln</w:t>
      </w:r>
      <w:r w:rsidR="00A16D40" w:rsidRPr="001D200B">
        <w:rPr>
          <w:rFonts w:eastAsia="TimesNewRomanPSMT" w:cstheme="minorHAnsi"/>
        </w:rPr>
        <w:t>e</w:t>
      </w:r>
      <w:r w:rsidR="00D27A9A" w:rsidRPr="001D200B">
        <w:rPr>
          <w:rFonts w:eastAsia="TimesNewRomanPSMT" w:cstheme="minorHAnsi"/>
        </w:rPr>
        <w:t xml:space="preserve"> (dane pochodzą z Powszechnego Spisu Rolnego z 20</w:t>
      </w:r>
      <w:r w:rsidR="00A16D40" w:rsidRPr="001D200B">
        <w:rPr>
          <w:rFonts w:eastAsia="TimesNewRomanPSMT" w:cstheme="minorHAnsi"/>
        </w:rPr>
        <w:t>10</w:t>
      </w:r>
      <w:r w:rsidR="00D27A9A" w:rsidRPr="001D200B">
        <w:rPr>
          <w:rFonts w:eastAsia="TimesNewRomanPSMT" w:cstheme="minorHAnsi"/>
        </w:rPr>
        <w:t xml:space="preserve"> roku). Są to wyłącznie gospodarstwa indywidualne. Podstawową cechą tej gałęzi gospodarki jest niekorzystną strukturą agrarną, przejawiającą się dużym rozdrobnieniem i niską przeciętną powierzchnią jednego gospodarstwa rolnego - najliczniej reprezentowane są gospodarstwa małe o powierzchni do 5 ha, których udział w</w:t>
      </w:r>
      <w:r w:rsidR="00975355" w:rsidRPr="001D200B">
        <w:rPr>
          <w:rFonts w:eastAsia="TimesNewRomanPSMT" w:cstheme="minorHAnsi"/>
        </w:rPr>
        <w:t xml:space="preserve"> </w:t>
      </w:r>
      <w:r w:rsidR="00D27A9A" w:rsidRPr="001D200B">
        <w:rPr>
          <w:rFonts w:eastAsia="TimesNewRomanPSMT" w:cstheme="minorHAnsi"/>
        </w:rPr>
        <w:t xml:space="preserve">ogólnej liczbie gospodarstw stanowi </w:t>
      </w:r>
      <w:r w:rsidR="00975355" w:rsidRPr="001D200B">
        <w:rPr>
          <w:rFonts w:eastAsia="TimesNewRomanPSMT" w:cstheme="minorHAnsi"/>
        </w:rPr>
        <w:t xml:space="preserve">ponad </w:t>
      </w:r>
      <w:r w:rsidR="00D27A9A" w:rsidRPr="001D200B">
        <w:rPr>
          <w:rFonts w:eastAsia="TimesNewRomanPSMT" w:cstheme="minorHAnsi"/>
        </w:rPr>
        <w:t>8</w:t>
      </w:r>
      <w:r w:rsidR="00A16D40" w:rsidRPr="001D200B">
        <w:rPr>
          <w:rFonts w:eastAsia="TimesNewRomanPSMT" w:cstheme="minorHAnsi"/>
        </w:rPr>
        <w:t>8</w:t>
      </w:r>
      <w:r w:rsidR="00D27A9A" w:rsidRPr="001D200B">
        <w:rPr>
          <w:rFonts w:eastAsia="TimesNewRomanPSMT" w:cstheme="minorHAnsi"/>
        </w:rPr>
        <w:t xml:space="preserve">%. </w:t>
      </w:r>
      <w:r w:rsidR="00975355" w:rsidRPr="001D200B">
        <w:rPr>
          <w:rFonts w:eastAsia="TimesNewRomanPSMT" w:cstheme="minorHAnsi"/>
        </w:rPr>
        <w:t xml:space="preserve">Głównym kierunkiem produkcji rolnej są uprawy </w:t>
      </w:r>
      <w:r w:rsidRPr="001D200B">
        <w:rPr>
          <w:rFonts w:cstheme="minorHAnsi"/>
          <w:szCs w:val="24"/>
        </w:rPr>
        <w:t>zboża, ziemniaków oraz rośliny pastewnych</w:t>
      </w:r>
      <w:r w:rsidR="00D27A9A" w:rsidRPr="001D200B">
        <w:rPr>
          <w:rFonts w:eastAsia="TimesNewRomanPSMT" w:cstheme="minorHAnsi"/>
        </w:rPr>
        <w:t>. Podstawowymi gałęziami produkcji zwierzęcej, ze względu na duże połacie łąk i</w:t>
      </w:r>
      <w:r w:rsidRPr="001D200B">
        <w:rPr>
          <w:rFonts w:eastAsia="TimesNewRomanPSMT" w:cstheme="minorHAnsi"/>
        </w:rPr>
        <w:t> </w:t>
      </w:r>
      <w:r w:rsidR="00D27A9A" w:rsidRPr="001D200B">
        <w:rPr>
          <w:rFonts w:eastAsia="TimesNewRomanPSMT" w:cstheme="minorHAnsi"/>
        </w:rPr>
        <w:t>pastwisk, jest chów bydła i trzody chlewnej.</w:t>
      </w:r>
      <w:r w:rsidR="00975355" w:rsidRPr="001D200B">
        <w:rPr>
          <w:rFonts w:eastAsia="TimesNewRomanPSMT" w:cstheme="minorHAnsi"/>
        </w:rPr>
        <w:t xml:space="preserve"> Na </w:t>
      </w:r>
      <w:smartTag w:uri="urn:schemas-microsoft-com:office:smarttags" w:element="metricconverter">
        <w:smartTagPr>
          <w:attr w:name="ProductID" w:val="100 ha"/>
        </w:smartTagPr>
        <w:r w:rsidR="00975355" w:rsidRPr="001D200B">
          <w:rPr>
            <w:rFonts w:eastAsia="TimesNewRomanPSMT" w:cstheme="minorHAnsi"/>
          </w:rPr>
          <w:t>100 ha</w:t>
        </w:r>
      </w:smartTag>
      <w:r w:rsidR="00975355" w:rsidRPr="001D200B">
        <w:rPr>
          <w:rFonts w:eastAsia="TimesNewRomanPSMT" w:cstheme="minorHAnsi"/>
        </w:rPr>
        <w:t xml:space="preserve"> użytków rolnych przypada 35 sztuk dużych zwierząt gospodarskich. Na terenie gminy brakuje zakładów przetwórstwa rolnego.</w:t>
      </w:r>
    </w:p>
    <w:p w:rsidR="00B83162" w:rsidRPr="001D200B" w:rsidRDefault="00B83162" w:rsidP="008A366D">
      <w:pPr>
        <w:rPr>
          <w:rFonts w:eastAsia="TimesNewRomanPSMT" w:cstheme="minorHAnsi"/>
          <w:highlight w:val="yellow"/>
        </w:rPr>
      </w:pPr>
    </w:p>
    <w:p w:rsidR="00885DBC" w:rsidRPr="001D200B" w:rsidRDefault="00885DBC" w:rsidP="00931F90">
      <w:pPr>
        <w:shd w:val="clear" w:color="auto" w:fill="D9D9D9" w:themeFill="background1" w:themeFillShade="D9"/>
        <w:rPr>
          <w:rFonts w:eastAsia="TimesNewRomanPSMT"/>
        </w:rPr>
      </w:pPr>
      <w:r w:rsidRPr="001D200B">
        <w:rPr>
          <w:b/>
        </w:rPr>
        <w:t>Atrakcyjność inwestycyjna gminy</w:t>
      </w:r>
    </w:p>
    <w:p w:rsidR="00885DBC" w:rsidRPr="001D200B" w:rsidRDefault="00885DBC" w:rsidP="00885DBC">
      <w:pPr>
        <w:rPr>
          <w:rFonts w:eastAsia="TimesNewRomanPSMT"/>
        </w:rPr>
      </w:pPr>
      <w:r w:rsidRPr="001D200B">
        <w:rPr>
          <w:rFonts w:eastAsia="TimesNewRomanPSMT"/>
        </w:rPr>
        <w:t>Na terenie gminy wydzielono następujące obszary inwestycyjne:</w:t>
      </w:r>
    </w:p>
    <w:p w:rsidR="00885DBC" w:rsidRPr="001D200B" w:rsidRDefault="00885DBC" w:rsidP="00885DBC">
      <w:pPr>
        <w:rPr>
          <w:rFonts w:eastAsia="TimesNewRomanPSMT"/>
        </w:rPr>
      </w:pPr>
      <w:r w:rsidRPr="001D200B">
        <w:rPr>
          <w:rFonts w:eastAsia="TimesNewRomanPSMT"/>
          <w:b/>
          <w:u w:val="single"/>
        </w:rPr>
        <w:t>Obszar A</w:t>
      </w:r>
      <w:r w:rsidRPr="001D200B">
        <w:rPr>
          <w:rFonts w:eastAsia="TimesNewRomanPSMT"/>
        </w:rPr>
        <w:t xml:space="preserve"> – o powierzchni ok. 2,2ha, zlokalizowany przy ul. Krakowskiej w Połańcu bezpośrednio przy drodze krajowej nr 79 relacji Sandomierz - Kraków. Teren z przeznaczeniem pod usługi oraz handel detaliczny, w pełni uzbrojony – obecnie funkcjonuje tu nowoczesny plac targowy. </w:t>
      </w:r>
    </w:p>
    <w:p w:rsidR="00885DBC" w:rsidRPr="001D200B" w:rsidRDefault="00885DBC" w:rsidP="00885DBC">
      <w:pPr>
        <w:rPr>
          <w:rFonts w:eastAsia="TimesNewRomanPSMT"/>
        </w:rPr>
      </w:pPr>
      <w:r w:rsidRPr="001D200B">
        <w:rPr>
          <w:rFonts w:eastAsia="TimesNewRomanPSMT"/>
          <w:b/>
          <w:u w:val="single"/>
        </w:rPr>
        <w:t>Obszar B</w:t>
      </w:r>
      <w:r w:rsidRPr="001D200B">
        <w:rPr>
          <w:rFonts w:eastAsia="TimesNewRomanPSMT"/>
        </w:rPr>
        <w:t xml:space="preserve"> – o powierzchni ok. 8 ha, położony przy drodze wojewódzkiej nr 764 Kielce – Połaniec i przy ul. Wyzwolenia w Połańcu. Teren w pełni uzbrojony w niezbędną infrastrukturę techniczną, z przeznaczeniem pod działalność gospodarczą typu: wytwórczość, usługi, obiekty handlowe, składy, magazyny, działalność hurtowa, warsztatowa oraz dystrybucję towarów. Obszar inwestycyjny przewidziany do rozszerzenia o kolejne grunty (tzw. B1 i B2 o powierzchni ok. 6ha). </w:t>
      </w:r>
    </w:p>
    <w:p w:rsidR="00885DBC" w:rsidRPr="001D200B" w:rsidRDefault="00885DBC" w:rsidP="00885DBC">
      <w:pPr>
        <w:rPr>
          <w:rFonts w:eastAsia="TimesNewRomanPSMT"/>
        </w:rPr>
      </w:pPr>
      <w:r w:rsidRPr="001D200B">
        <w:rPr>
          <w:rFonts w:eastAsia="TimesNewRomanPSMT"/>
          <w:b/>
          <w:u w:val="single"/>
        </w:rPr>
        <w:t>Obszar C</w:t>
      </w:r>
      <w:r w:rsidRPr="001D200B">
        <w:rPr>
          <w:rFonts w:eastAsia="TimesNewRomanPSMT"/>
        </w:rPr>
        <w:t xml:space="preserve"> - o powierzchni ok. 50ha, położony w północno – wschodniej części gminy Połaniec, poza obszarem miasta, na terenie sołectwa Brzozowa, przy drodze krajowej nr 79 relacji Kraków – Sandomierz. Teren kompleksowo uzbrojony z przeznaczeniem pod obiekty produkcyjne, składy i magazyny z możliwością usytuowania usług, w tym budynków biurowych. Planowane jest rozszerzenie strefy inwestycyjnej C o nowe tereny. </w:t>
      </w:r>
    </w:p>
    <w:p w:rsidR="00885DBC" w:rsidRPr="001D200B" w:rsidRDefault="00885DBC" w:rsidP="00885DBC">
      <w:r w:rsidRPr="001D200B">
        <w:rPr>
          <w:rFonts w:eastAsia="TimesNewRomanPSMT"/>
        </w:rPr>
        <w:lastRenderedPageBreak/>
        <w:t xml:space="preserve">W ramach strefy inwestycyjnej C wydzielono tereny, które objęte są Specjalną Strefą Ekonomiczną „Starachowice”. </w:t>
      </w:r>
      <w:r w:rsidRPr="001D200B">
        <w:t>Specjalne strefy ekonomiczne z założenia stanowić mają skuteczny instrument przyciągania inwestycji. SSE „Starachowice” zajmuje łącznie powierzchnię 707,9814 ha (dane:</w:t>
      </w:r>
      <w:hyperlink r:id="rId46" w:history="1">
        <w:r w:rsidRPr="001D200B">
          <w:rPr>
            <w:u w:val="single"/>
          </w:rPr>
          <w:t xml:space="preserve"> http://www.sse.com.pl/o-nas/</w:t>
        </w:r>
      </w:hyperlink>
      <w:r w:rsidRPr="001D200B">
        <w:t xml:space="preserve">) z czego w podstrefie Połaniec jest to obszar o powierzchni 39,423ha (jako część obszaru inwestycyjnego C). </w:t>
      </w:r>
    </w:p>
    <w:p w:rsidR="00885DBC" w:rsidRPr="001D200B" w:rsidRDefault="00885DBC" w:rsidP="00885DBC">
      <w:pPr>
        <w:rPr>
          <w:rFonts w:eastAsia="TimesNewRomanPSMT"/>
        </w:rPr>
      </w:pPr>
      <w:r w:rsidRPr="001D200B">
        <w:rPr>
          <w:rFonts w:eastAsia="TimesNewRomanPSMT"/>
          <w:b/>
          <w:u w:val="single"/>
        </w:rPr>
        <w:t xml:space="preserve">Obszar D </w:t>
      </w:r>
      <w:r w:rsidRPr="001D200B">
        <w:rPr>
          <w:rFonts w:eastAsia="TimesNewRomanPSMT"/>
        </w:rPr>
        <w:t>– o powierzchni ok. 43 ha, w miejscowości Brzozowa w pobliżu drogi wojewódzkiej nr 764 Kielce - Połaniec. Teren przewidziany pod zabudowę usługową, obiekty produkcyjne, składy i magazyny (ok. 38 ha), tereny rolne, teren sportu i rekreacji, tereny zabudowy zagrodowej (ok. 5 ha).</w:t>
      </w:r>
    </w:p>
    <w:p w:rsidR="00885DBC" w:rsidRPr="001D200B" w:rsidRDefault="00885DBC" w:rsidP="00885DBC">
      <w:pPr>
        <w:rPr>
          <w:rFonts w:eastAsia="TimesNewRomanPSMT"/>
        </w:rPr>
      </w:pPr>
      <w:r w:rsidRPr="001D200B">
        <w:rPr>
          <w:rFonts w:eastAsia="TimesNewRomanPSMT"/>
          <w:b/>
          <w:u w:val="single"/>
        </w:rPr>
        <w:t>Obszar E</w:t>
      </w:r>
      <w:r w:rsidRPr="001D200B">
        <w:rPr>
          <w:rFonts w:eastAsia="TimesNewRomanPSMT"/>
        </w:rPr>
        <w:t xml:space="preserve"> – o powierzchni około ok. 30 ha, w miejscowości Rudniki, w pobliżu drogi wojewódzkiej nr 764 Kielce - Połaniec. Terenu przeznaczony pod zabudowę przemysłową w tym, związaną z urządzeniami do wytwarzania energii z odnawialnych źródeł energii o mocy przekraczającej 100kW wraz ze strefą ochronną przewidzianą dla urządzeń wykorzystujących energię słoneczną.</w:t>
      </w:r>
    </w:p>
    <w:p w:rsidR="00885DBC" w:rsidRPr="001D200B" w:rsidRDefault="00885DBC" w:rsidP="00885DBC">
      <w:pPr>
        <w:rPr>
          <w:rFonts w:eastAsia="TimesNewRomanPSMT"/>
        </w:rPr>
      </w:pPr>
      <w:r w:rsidRPr="001D200B">
        <w:rPr>
          <w:rFonts w:eastAsia="TimesNewRomanPSMT"/>
        </w:rPr>
        <w:t xml:space="preserve">Zgodnie z zapisami Studium Uwarunkowań i Kierunków Zagospodarowania Przestrzennego Gminy Połaniec (Uchwała Rady Miejskiej w Połańcu Nr XXXI/199/2016 z dnia 27 października 2016 roku) na terenie gminy znajdują się obszary działalności gospodarczej, produkcyjnej i usługowej o łącznej powierzchni ok. 570 ha. </w:t>
      </w:r>
    </w:p>
    <w:p w:rsidR="00885DBC" w:rsidRPr="001D200B" w:rsidRDefault="00885DBC" w:rsidP="00885DBC">
      <w:pPr>
        <w:rPr>
          <w:rFonts w:eastAsia="TimesNewRomanPSMT"/>
        </w:rPr>
      </w:pPr>
    </w:p>
    <w:p w:rsidR="00885DBC" w:rsidRPr="001D200B" w:rsidRDefault="00885DBC" w:rsidP="008A366D">
      <w:pPr>
        <w:rPr>
          <w:rFonts w:eastAsia="TimesNewRomanPSMT" w:cstheme="minorHAnsi"/>
          <w:highlight w:val="yellow"/>
        </w:rPr>
      </w:pPr>
    </w:p>
    <w:p w:rsidR="00885DBC" w:rsidRPr="001D200B" w:rsidRDefault="00885DBC" w:rsidP="008A366D">
      <w:pPr>
        <w:rPr>
          <w:rFonts w:eastAsia="TimesNewRomanPSMT" w:cstheme="minorHAnsi"/>
          <w:highlight w:val="yellow"/>
        </w:rPr>
      </w:pPr>
    </w:p>
    <w:p w:rsidR="00885DBC" w:rsidRPr="001D200B" w:rsidRDefault="00885DBC" w:rsidP="008A366D">
      <w:pPr>
        <w:rPr>
          <w:rFonts w:eastAsia="TimesNewRomanPSMT" w:cstheme="minorHAnsi"/>
          <w:highlight w:val="yellow"/>
        </w:rPr>
      </w:pPr>
    </w:p>
    <w:p w:rsidR="00885DBC" w:rsidRPr="001D200B" w:rsidRDefault="00885DBC" w:rsidP="008A366D">
      <w:pPr>
        <w:rPr>
          <w:rFonts w:eastAsia="TimesNewRomanPSMT" w:cstheme="minorHAnsi"/>
          <w:highlight w:val="yellow"/>
        </w:rPr>
      </w:pPr>
    </w:p>
    <w:p w:rsidR="00885DBC" w:rsidRPr="001D200B" w:rsidRDefault="00885DBC" w:rsidP="008A366D">
      <w:pPr>
        <w:rPr>
          <w:rFonts w:eastAsia="TimesNewRomanPSMT" w:cstheme="minorHAnsi"/>
          <w:highlight w:val="yellow"/>
        </w:rPr>
      </w:pPr>
    </w:p>
    <w:p w:rsidR="00885DBC" w:rsidRPr="001D200B" w:rsidRDefault="00885DBC" w:rsidP="008A366D">
      <w:pPr>
        <w:rPr>
          <w:rFonts w:eastAsia="TimesNewRomanPSMT" w:cstheme="minorHAnsi"/>
          <w:highlight w:val="yellow"/>
        </w:rPr>
      </w:pPr>
    </w:p>
    <w:p w:rsidR="007128D1" w:rsidRPr="001D200B" w:rsidRDefault="007128D1" w:rsidP="00F477F4">
      <w:pPr>
        <w:rPr>
          <w:rFonts w:cstheme="minorHAnsi"/>
          <w:highlight w:val="yellow"/>
        </w:rPr>
      </w:pPr>
    </w:p>
    <w:p w:rsidR="007128D1" w:rsidRPr="001D200B" w:rsidRDefault="007128D1" w:rsidP="00F477F4">
      <w:pPr>
        <w:rPr>
          <w:rFonts w:cstheme="minorHAnsi"/>
          <w:highlight w:val="yellow"/>
        </w:rPr>
        <w:sectPr w:rsidR="007128D1" w:rsidRPr="001D200B" w:rsidSect="0098674C">
          <w:pgSz w:w="11906" w:h="16838"/>
          <w:pgMar w:top="1418" w:right="1418" w:bottom="1418" w:left="1418" w:header="709" w:footer="709" w:gutter="0"/>
          <w:cols w:space="708"/>
          <w:docGrid w:linePitch="360"/>
        </w:sectPr>
      </w:pPr>
    </w:p>
    <w:p w:rsidR="00D56EBC" w:rsidRPr="001D200B" w:rsidRDefault="00D56EBC" w:rsidP="00D56EBC">
      <w:pPr>
        <w:pStyle w:val="Nagwek1"/>
        <w:rPr>
          <w:rFonts w:cstheme="minorHAnsi"/>
        </w:rPr>
      </w:pPr>
      <w:bookmarkStart w:id="34" w:name="_Toc31972819"/>
      <w:bookmarkStart w:id="35" w:name="_Toc206822222"/>
      <w:r w:rsidRPr="001D200B">
        <w:rPr>
          <w:rFonts w:cstheme="minorHAnsi"/>
        </w:rPr>
        <w:lastRenderedPageBreak/>
        <w:t>III. Zaopatrzenie w energię cieplną</w:t>
      </w:r>
      <w:bookmarkEnd w:id="34"/>
    </w:p>
    <w:p w:rsidR="00354E4E" w:rsidRPr="001D200B" w:rsidRDefault="00354E4E" w:rsidP="00354E4E">
      <w:pPr>
        <w:rPr>
          <w:rFonts w:cstheme="minorHAnsi"/>
        </w:rPr>
      </w:pPr>
      <w:r w:rsidRPr="001D200B">
        <w:rPr>
          <w:rFonts w:cstheme="minorHAnsi"/>
        </w:rPr>
        <w:t xml:space="preserve">Zaopatrzenie w ciepło na terenie </w:t>
      </w:r>
      <w:r w:rsidR="00F013EE" w:rsidRPr="001D200B">
        <w:rPr>
          <w:rFonts w:cstheme="minorHAnsi"/>
        </w:rPr>
        <w:t xml:space="preserve">gminy Połaniec </w:t>
      </w:r>
      <w:r w:rsidRPr="001D200B">
        <w:rPr>
          <w:rFonts w:cstheme="minorHAnsi"/>
        </w:rPr>
        <w:t>realizowane jest za pomocą:</w:t>
      </w:r>
    </w:p>
    <w:p w:rsidR="00354E4E" w:rsidRPr="001D200B" w:rsidRDefault="00014181" w:rsidP="00916C39">
      <w:pPr>
        <w:pStyle w:val="Punktatory1"/>
      </w:pPr>
      <w:r w:rsidRPr="001D200B">
        <w:t>systemu ciepłowniczego – wytwórcą ciepł</w:t>
      </w:r>
      <w:r w:rsidR="001A76F9" w:rsidRPr="001D200B">
        <w:t>a</w:t>
      </w:r>
      <w:r w:rsidRPr="001D200B">
        <w:t xml:space="preserve"> jest Elektrownia Enea Połaniec S.A., natomiast dystrybucją ciepła zajmuje się jednostka gospodarcza użyteczności P</w:t>
      </w:r>
      <w:r w:rsidR="006A5497" w:rsidRPr="001D200B">
        <w:t xml:space="preserve">rzedsiębiorstwo </w:t>
      </w:r>
      <w:r w:rsidRPr="001D200B">
        <w:t>G</w:t>
      </w:r>
      <w:r w:rsidR="006A5497" w:rsidRPr="001D200B">
        <w:t xml:space="preserve">ospodarki </w:t>
      </w:r>
      <w:r w:rsidRPr="001D200B">
        <w:t>K</w:t>
      </w:r>
      <w:r w:rsidR="006A5497" w:rsidRPr="001D200B">
        <w:t xml:space="preserve">omunalnej </w:t>
      </w:r>
      <w:r w:rsidRPr="001D200B">
        <w:t>w Połańcu sp. z o.o.</w:t>
      </w:r>
      <w:r w:rsidR="00640A4B" w:rsidRPr="001D200B">
        <w:t>;</w:t>
      </w:r>
    </w:p>
    <w:p w:rsidR="005E12D1" w:rsidRPr="001D200B" w:rsidRDefault="00885DBC" w:rsidP="00916C39">
      <w:pPr>
        <w:pStyle w:val="Punktatory1"/>
      </w:pPr>
      <w:r w:rsidRPr="001D200B">
        <w:t>kotłowni, będących własnością zakładów przemysłowych/produkcyjnych, placówek użyteczności publicznej, obiektów handlu/usług, które służą do zaspokojenia własnego zapotrzebowania na ciepło, w tym ciepłą wodę użytkową (c.w.u.). Kotłownie te to źródła ciepła o mocy znacznie poniżej 5MW, zlokalizowane w różnych częściach gminy</w:t>
      </w:r>
      <w:r w:rsidR="00014181" w:rsidRPr="001D200B">
        <w:t>;</w:t>
      </w:r>
    </w:p>
    <w:p w:rsidR="005E12D1" w:rsidRPr="001D200B" w:rsidRDefault="005E12D1" w:rsidP="00916C39">
      <w:pPr>
        <w:pStyle w:val="Punktatory1"/>
      </w:pPr>
      <w:r w:rsidRPr="001D200B">
        <w:t>rozproszonych indywidualnych źródeł ciepła małych mocy postaci wbudowanych kotłowni centralnego ogrzewania, rzadziej pieców w pomieszczeniach lub kominków. Źródła te zaspokajają wyłącznie potrzeby własne zasilanego budynku</w:t>
      </w:r>
      <w:r w:rsidR="00014181" w:rsidRPr="001D200B">
        <w:t>.</w:t>
      </w:r>
    </w:p>
    <w:p w:rsidR="00640A4B" w:rsidRPr="001D200B" w:rsidRDefault="00640A4B" w:rsidP="00640A4B">
      <w:r w:rsidRPr="001D200B">
        <w:t>Energia cieplna wykorzystywana jest na różne cele (do ogrzewania pomieszczeń i przygotowania ciepłej wody użytkowej w budownictwie mieszkaniowym; do przygotowania posiłków w gospodarstwach domowych; na potrzeby zakładów przemysłowych (ogrzewanie, c.w.u., technologia); do ogrzewania pomieszczeń i przygotowania c.w.u. i na potrzeby technologiczne (w kuchniach) w szkołach i innych obiektach usługowych i użyteczności publicznej), jednak z wyraźną dominacją potrzeb grzewczych budynków.</w:t>
      </w:r>
    </w:p>
    <w:p w:rsidR="00D26CE2" w:rsidRPr="001D200B" w:rsidRDefault="003B3A99" w:rsidP="00D26CE2">
      <w:pPr>
        <w:rPr>
          <w:rFonts w:cstheme="minorHAnsi"/>
        </w:rPr>
      </w:pPr>
      <w:r w:rsidRPr="001D200B">
        <w:rPr>
          <w:rFonts w:cstheme="minorHAnsi"/>
        </w:rPr>
        <w:t xml:space="preserve">Charakterystyka </w:t>
      </w:r>
      <w:r w:rsidR="00D26CE2" w:rsidRPr="001D200B">
        <w:rPr>
          <w:rFonts w:cstheme="minorHAnsi"/>
        </w:rPr>
        <w:t xml:space="preserve">systemu ciepłowniczego w gminie Połaniec </w:t>
      </w:r>
      <w:r w:rsidRPr="001D200B">
        <w:rPr>
          <w:rFonts w:cstheme="minorHAnsi"/>
        </w:rPr>
        <w:t>oparta została na danych</w:t>
      </w:r>
      <w:r w:rsidR="00D26CE2" w:rsidRPr="001D200B">
        <w:rPr>
          <w:rFonts w:cstheme="minorHAnsi"/>
        </w:rPr>
        <w:t xml:space="preserve"> pozyskanych od wytwórcy ciepła, tj. </w:t>
      </w:r>
      <w:r w:rsidR="001A76F9" w:rsidRPr="001D200B">
        <w:rPr>
          <w:rFonts w:cstheme="minorHAnsi"/>
        </w:rPr>
        <w:t>E</w:t>
      </w:r>
      <w:r w:rsidR="00D26CE2" w:rsidRPr="001D200B">
        <w:rPr>
          <w:rFonts w:cstheme="minorHAnsi"/>
        </w:rPr>
        <w:t xml:space="preserve">lektrowni </w:t>
      </w:r>
      <w:r w:rsidR="001A76F9" w:rsidRPr="001D200B">
        <w:rPr>
          <w:rFonts w:cstheme="minorHAnsi"/>
        </w:rPr>
        <w:t xml:space="preserve">Enea </w:t>
      </w:r>
      <w:r w:rsidR="00D26CE2" w:rsidRPr="001D200B">
        <w:rPr>
          <w:rFonts w:cstheme="minorHAnsi"/>
        </w:rPr>
        <w:t xml:space="preserve">Połaniec </w:t>
      </w:r>
      <w:r w:rsidR="001A76F9" w:rsidRPr="001D200B">
        <w:rPr>
          <w:rFonts w:cstheme="minorHAnsi"/>
        </w:rPr>
        <w:t xml:space="preserve">S.A. </w:t>
      </w:r>
      <w:r w:rsidR="00D26CE2" w:rsidRPr="001D200B">
        <w:rPr>
          <w:rFonts w:cstheme="minorHAnsi"/>
        </w:rPr>
        <w:t xml:space="preserve">oraz od przedsiębiorstwa </w:t>
      </w:r>
      <w:r w:rsidR="001A76F9" w:rsidRPr="001D200B">
        <w:rPr>
          <w:rFonts w:cstheme="minorHAnsi"/>
        </w:rPr>
        <w:t>PGK w Połańcu sp.</w:t>
      </w:r>
      <w:r w:rsidR="00A660FA" w:rsidRPr="001D200B">
        <w:rPr>
          <w:rFonts w:cstheme="minorHAnsi"/>
        </w:rPr>
        <w:t xml:space="preserve"> z o.o. </w:t>
      </w:r>
      <w:r w:rsidR="00D26CE2" w:rsidRPr="001D200B">
        <w:rPr>
          <w:rFonts w:cstheme="minorHAnsi"/>
        </w:rPr>
        <w:t>zajmującego się przesyłem i</w:t>
      </w:r>
      <w:r w:rsidR="000A2F6D" w:rsidRPr="001D200B">
        <w:rPr>
          <w:rFonts w:cstheme="minorHAnsi"/>
        </w:rPr>
        <w:t> </w:t>
      </w:r>
      <w:r w:rsidR="00D26CE2" w:rsidRPr="001D200B">
        <w:rPr>
          <w:rFonts w:cstheme="minorHAnsi"/>
        </w:rPr>
        <w:t>dystrybucją ciepła sieciowego w</w:t>
      </w:r>
      <w:r w:rsidR="001A76F9" w:rsidRPr="001D200B">
        <w:rPr>
          <w:rFonts w:cstheme="minorHAnsi"/>
        </w:rPr>
        <w:t> </w:t>
      </w:r>
      <w:r w:rsidR="00D26CE2" w:rsidRPr="001D200B">
        <w:rPr>
          <w:rFonts w:cstheme="minorHAnsi"/>
        </w:rPr>
        <w:t xml:space="preserve">granicach administracyjnych gminy Połaniec. </w:t>
      </w:r>
    </w:p>
    <w:p w:rsidR="0063351C" w:rsidRPr="001D200B" w:rsidRDefault="00D26CE2" w:rsidP="0063351C">
      <w:pPr>
        <w:rPr>
          <w:rFonts w:cstheme="minorHAnsi"/>
        </w:rPr>
      </w:pPr>
      <w:r w:rsidRPr="001D200B">
        <w:rPr>
          <w:rFonts w:cstheme="minorHAnsi"/>
        </w:rPr>
        <w:t>T</w:t>
      </w:r>
      <w:r w:rsidR="0063351C" w:rsidRPr="001D200B">
        <w:rPr>
          <w:rFonts w:cstheme="minorHAnsi"/>
        </w:rPr>
        <w:t>eren</w:t>
      </w:r>
      <w:r w:rsidRPr="001D200B">
        <w:rPr>
          <w:rFonts w:cstheme="minorHAnsi"/>
        </w:rPr>
        <w:t xml:space="preserve">y znajdujące się poza zasięgiem sieci ciepłowniczej </w:t>
      </w:r>
      <w:r w:rsidR="0063351C" w:rsidRPr="001D200B">
        <w:rPr>
          <w:rFonts w:cstheme="minorHAnsi"/>
        </w:rPr>
        <w:t xml:space="preserve">wyposażone </w:t>
      </w:r>
      <w:r w:rsidRPr="001D200B">
        <w:rPr>
          <w:rFonts w:cstheme="minorHAnsi"/>
        </w:rPr>
        <w:t xml:space="preserve">są </w:t>
      </w:r>
      <w:r w:rsidR="0063351C" w:rsidRPr="001D200B">
        <w:rPr>
          <w:rFonts w:cstheme="minorHAnsi"/>
        </w:rPr>
        <w:t>w indywidualne źródła ciepła</w:t>
      </w:r>
      <w:r w:rsidR="00983322" w:rsidRPr="001D200B">
        <w:rPr>
          <w:rFonts w:cstheme="minorHAnsi"/>
        </w:rPr>
        <w:t>. W</w:t>
      </w:r>
      <w:r w:rsidR="0063351C" w:rsidRPr="001D200B">
        <w:rPr>
          <w:rFonts w:cstheme="minorHAnsi"/>
        </w:rPr>
        <w:t xml:space="preserve"> celu oceny wielkości zapotrzebowania na ciepło budynków zasilanych w</w:t>
      </w:r>
      <w:r w:rsidR="00791710" w:rsidRPr="001D200B">
        <w:rPr>
          <w:rFonts w:cstheme="minorHAnsi"/>
        </w:rPr>
        <w:t> </w:t>
      </w:r>
      <w:r w:rsidR="0063351C" w:rsidRPr="001D200B">
        <w:rPr>
          <w:rFonts w:cstheme="minorHAnsi"/>
        </w:rPr>
        <w:t xml:space="preserve">sposób indywidualny posłużono się </w:t>
      </w:r>
      <w:r w:rsidR="001A76F9" w:rsidRPr="001D200B">
        <w:t xml:space="preserve">danymi rzeczywistymi oraz </w:t>
      </w:r>
      <w:r w:rsidR="0063351C" w:rsidRPr="001D200B">
        <w:rPr>
          <w:rFonts w:cstheme="minorHAnsi"/>
        </w:rPr>
        <w:t xml:space="preserve">analizą wskaźnikową – według jednostkowych wskaźników zapotrzebowania na ciepło. </w:t>
      </w:r>
    </w:p>
    <w:p w:rsidR="00D56EBC" w:rsidRPr="001D200B" w:rsidRDefault="00D56EBC" w:rsidP="00D56EBC">
      <w:pPr>
        <w:pStyle w:val="Nagwek2"/>
        <w:rPr>
          <w:rFonts w:cstheme="minorHAnsi"/>
        </w:rPr>
      </w:pPr>
      <w:bookmarkStart w:id="36" w:name="_Toc31972820"/>
      <w:r w:rsidRPr="001D200B">
        <w:rPr>
          <w:rFonts w:cstheme="minorHAnsi"/>
        </w:rPr>
        <w:t>1. Charakterystyka stanu obecnego</w:t>
      </w:r>
      <w:bookmarkEnd w:id="36"/>
    </w:p>
    <w:p w:rsidR="00360F3A" w:rsidRPr="001D200B" w:rsidRDefault="00360F3A" w:rsidP="001A76F9">
      <w:pPr>
        <w:shd w:val="clear" w:color="auto" w:fill="F2F2F2" w:themeFill="background1" w:themeFillShade="F2"/>
        <w:rPr>
          <w:b/>
        </w:rPr>
      </w:pPr>
      <w:r w:rsidRPr="001D200B">
        <w:rPr>
          <w:b/>
        </w:rPr>
        <w:t>System ciepłowniczy</w:t>
      </w:r>
      <w:r w:rsidR="001A76F9" w:rsidRPr="001D200B">
        <w:rPr>
          <w:b/>
        </w:rPr>
        <w:t xml:space="preserve"> Połańca</w:t>
      </w:r>
    </w:p>
    <w:p w:rsidR="00B7228F" w:rsidRPr="001D200B" w:rsidRDefault="001A76F9" w:rsidP="00E62034">
      <w:pPr>
        <w:rPr>
          <w:rFonts w:cstheme="minorHAnsi"/>
          <w:i/>
        </w:rPr>
      </w:pPr>
      <w:r w:rsidRPr="001D200B">
        <w:rPr>
          <w:rFonts w:cstheme="minorHAnsi"/>
          <w:i/>
        </w:rPr>
        <w:t>Źródło ciepła</w:t>
      </w:r>
    </w:p>
    <w:p w:rsidR="00B32101" w:rsidRPr="001D200B" w:rsidRDefault="00B32101" w:rsidP="00360F3A">
      <w:pPr>
        <w:rPr>
          <w:rFonts w:cstheme="minorHAnsi"/>
        </w:rPr>
      </w:pPr>
      <w:r w:rsidRPr="001D200B">
        <w:rPr>
          <w:rFonts w:cstheme="minorHAnsi"/>
        </w:rPr>
        <w:t xml:space="preserve">Podstawowymi jednostkami produkcji energii elektrycznej i ciepła w Elektrowni Połaniec jest osiem kotłów opalanych węglem kamiennym </w:t>
      </w:r>
      <w:r w:rsidR="00106DE1" w:rsidRPr="001D200B">
        <w:rPr>
          <w:rFonts w:cstheme="minorHAnsi"/>
        </w:rPr>
        <w:t xml:space="preserve">oraz biomasą </w:t>
      </w:r>
      <w:r w:rsidRPr="001D200B">
        <w:rPr>
          <w:rFonts w:cstheme="minorHAnsi"/>
        </w:rPr>
        <w:t xml:space="preserve">wyposażonych w turbozespoły (turbiny upustowo – kondensacyjne). Para z turbin po redukcji w stacjach redukcyjno – schładzających podawana jest do wymienników ciepłowniczych grzejących wodę na cele </w:t>
      </w:r>
      <w:r w:rsidRPr="001D200B">
        <w:rPr>
          <w:rFonts w:cstheme="minorHAnsi"/>
        </w:rPr>
        <w:lastRenderedPageBreak/>
        <w:t xml:space="preserve">grzewcze dla Miasta Połaniec i potrzeby własne oraz na cele technologiczne Kopalni Siarki Osiek. </w:t>
      </w:r>
    </w:p>
    <w:p w:rsidR="00B32101" w:rsidRPr="001D200B" w:rsidRDefault="005D3B8A" w:rsidP="00360F3A">
      <w:pPr>
        <w:rPr>
          <w:rFonts w:cstheme="minorHAnsi"/>
        </w:rPr>
      </w:pPr>
      <w:r w:rsidRPr="001D200B">
        <w:rPr>
          <w:rFonts w:cstheme="minorHAnsi"/>
        </w:rPr>
        <w:t>W Elektrowni można wyróżnić dwa obiegi sieci ciepłowniczej (dwa człony ciepłownicze)</w:t>
      </w:r>
      <w:r w:rsidR="009F2328" w:rsidRPr="001D200B">
        <w:rPr>
          <w:rFonts w:cstheme="minorHAnsi"/>
        </w:rPr>
        <w:t>. Obieg 1 doprowadza wodę grzewczą do Miasta Połaniec i do sieci grzewczej wewnątrzzakładowej Elektrowni, zaś obieg 2 doprowadza wodę grzewczą do Kopalni Siarki Osiek</w:t>
      </w:r>
      <w:r w:rsidR="00106DE1" w:rsidRPr="001D200B">
        <w:rPr>
          <w:rFonts w:cstheme="minorHAnsi"/>
        </w:rPr>
        <w:t xml:space="preserve"> (z Elektrowni w kierunku gminy Osiek poprowadzony jest rurociąg magistralny o długości około 8,5km)</w:t>
      </w:r>
      <w:r w:rsidR="009F2328" w:rsidRPr="001D200B">
        <w:rPr>
          <w:rFonts w:cstheme="minorHAnsi"/>
        </w:rPr>
        <w:t>. Moc zainstalowana cieplna wynosi 130 MW</w:t>
      </w:r>
      <w:r w:rsidR="009F2328" w:rsidRPr="001D200B">
        <w:rPr>
          <w:rFonts w:cstheme="minorHAnsi"/>
          <w:vertAlign w:val="subscript"/>
        </w:rPr>
        <w:t>t</w:t>
      </w:r>
      <w:r w:rsidR="009F2328" w:rsidRPr="001D200B">
        <w:rPr>
          <w:rFonts w:cstheme="minorHAnsi"/>
        </w:rPr>
        <w:t xml:space="preserve">, w tym: </w:t>
      </w:r>
    </w:p>
    <w:p w:rsidR="009F2328" w:rsidRPr="001D200B" w:rsidRDefault="009F2328" w:rsidP="00F006D6">
      <w:pPr>
        <w:pStyle w:val="Akapitzlist"/>
      </w:pPr>
      <w:r w:rsidRPr="001D200B">
        <w:t>człon ciepłowniczy nr 1 – 60 MW</w:t>
      </w:r>
      <w:r w:rsidRPr="001D200B">
        <w:rPr>
          <w:vertAlign w:val="subscript"/>
        </w:rPr>
        <w:t>t</w:t>
      </w:r>
      <w:r w:rsidRPr="001D200B">
        <w:t>,</w:t>
      </w:r>
    </w:p>
    <w:p w:rsidR="009F2328" w:rsidRPr="001D200B" w:rsidRDefault="009F2328" w:rsidP="00F006D6">
      <w:pPr>
        <w:pStyle w:val="Akapitzlist"/>
      </w:pPr>
      <w:r w:rsidRPr="001D200B">
        <w:t>człon ciepłowniczy nr 2 – 70 MW</w:t>
      </w:r>
      <w:r w:rsidRPr="001D200B">
        <w:rPr>
          <w:vertAlign w:val="subscript"/>
        </w:rPr>
        <w:t>t</w:t>
      </w:r>
      <w:r w:rsidRPr="001D200B">
        <w:t>.</w:t>
      </w:r>
    </w:p>
    <w:p w:rsidR="00E433EF" w:rsidRPr="001D200B" w:rsidRDefault="00AB41E7" w:rsidP="00360F3A">
      <w:pPr>
        <w:rPr>
          <w:rFonts w:cstheme="minorHAnsi"/>
        </w:rPr>
      </w:pPr>
      <w:r w:rsidRPr="001D200B">
        <w:rPr>
          <w:rFonts w:cstheme="minorHAnsi"/>
        </w:rPr>
        <w:t xml:space="preserve">Obliczeniowe temperatury wody w sieciach </w:t>
      </w:r>
      <w:r w:rsidR="00CD587E" w:rsidRPr="001D200B">
        <w:rPr>
          <w:rFonts w:cstheme="minorHAnsi"/>
        </w:rPr>
        <w:t xml:space="preserve">wyprowadzonych z </w:t>
      </w:r>
      <w:r w:rsidRPr="001D200B">
        <w:rPr>
          <w:rFonts w:cstheme="minorHAnsi"/>
        </w:rPr>
        <w:t xml:space="preserve">elektrowni do miasta </w:t>
      </w:r>
      <w:r w:rsidR="007417EC" w:rsidRPr="001D200B">
        <w:rPr>
          <w:rFonts w:cstheme="minorHAnsi"/>
        </w:rPr>
        <w:t>wynosi</w:t>
      </w:r>
      <w:r w:rsidRPr="001D200B">
        <w:rPr>
          <w:rFonts w:cstheme="minorHAnsi"/>
        </w:rPr>
        <w:t>:</w:t>
      </w:r>
    </w:p>
    <w:p w:rsidR="00AB41E7" w:rsidRPr="001D200B" w:rsidRDefault="00744251" w:rsidP="00F006D6">
      <w:pPr>
        <w:pStyle w:val="Punktory"/>
        <w:rPr>
          <w:lang w:val="pl-PL"/>
        </w:rPr>
      </w:pPr>
      <w:r w:rsidRPr="001D200B">
        <w:rPr>
          <w:lang w:val="pl-PL"/>
        </w:rPr>
        <w:t>w</w:t>
      </w:r>
      <w:r w:rsidR="00AB41E7" w:rsidRPr="001D200B">
        <w:rPr>
          <w:lang w:val="pl-PL"/>
        </w:rPr>
        <w:t xml:space="preserve"> sezonie grzewczym </w:t>
      </w:r>
      <w:r w:rsidR="00C92D30" w:rsidRPr="001D200B">
        <w:rPr>
          <w:lang w:val="pl-PL"/>
        </w:rPr>
        <w:t xml:space="preserve">- </w:t>
      </w:r>
      <w:r w:rsidR="00AB41E7" w:rsidRPr="001D200B">
        <w:rPr>
          <w:lang w:val="pl-PL"/>
        </w:rPr>
        <w:t>125/70</w:t>
      </w:r>
      <w:r w:rsidRPr="001D200B">
        <w:rPr>
          <w:vertAlign w:val="superscript"/>
          <w:lang w:val="pl-PL"/>
        </w:rPr>
        <w:t>0</w:t>
      </w:r>
      <w:r w:rsidRPr="001D200B">
        <w:rPr>
          <w:lang w:val="pl-PL"/>
        </w:rPr>
        <w:t>C</w:t>
      </w:r>
    </w:p>
    <w:p w:rsidR="00744251" w:rsidRPr="001D200B" w:rsidRDefault="00744251" w:rsidP="00F006D6">
      <w:pPr>
        <w:pStyle w:val="Punktory"/>
        <w:rPr>
          <w:lang w:val="pl-PL"/>
        </w:rPr>
      </w:pPr>
      <w:r w:rsidRPr="001D200B">
        <w:rPr>
          <w:lang w:val="pl-PL"/>
        </w:rPr>
        <w:t xml:space="preserve">w sezonie letnim – </w:t>
      </w:r>
      <w:r w:rsidR="007417EC" w:rsidRPr="001D200B">
        <w:rPr>
          <w:lang w:val="pl-PL"/>
        </w:rPr>
        <w:t>88</w:t>
      </w:r>
      <w:r w:rsidRPr="001D200B">
        <w:rPr>
          <w:lang w:val="pl-PL"/>
        </w:rPr>
        <w:t>/</w:t>
      </w:r>
      <w:r w:rsidR="007417EC" w:rsidRPr="001D200B">
        <w:rPr>
          <w:lang w:val="pl-PL"/>
        </w:rPr>
        <w:t>65</w:t>
      </w:r>
      <w:r w:rsidRPr="001D200B">
        <w:rPr>
          <w:vertAlign w:val="superscript"/>
          <w:lang w:val="pl-PL"/>
        </w:rPr>
        <w:t>0</w:t>
      </w:r>
      <w:r w:rsidRPr="001D200B">
        <w:rPr>
          <w:lang w:val="pl-PL"/>
        </w:rPr>
        <w:t>C</w:t>
      </w:r>
    </w:p>
    <w:p w:rsidR="000B2BF7" w:rsidRPr="001D200B" w:rsidRDefault="000B2BF7" w:rsidP="006A7309">
      <w:pPr>
        <w:rPr>
          <w:rFonts w:cstheme="minorHAnsi"/>
        </w:rPr>
      </w:pPr>
      <w:r w:rsidRPr="001D200B">
        <w:rPr>
          <w:rFonts w:cstheme="minorHAnsi"/>
        </w:rPr>
        <w:t xml:space="preserve">Według informacji </w:t>
      </w:r>
      <w:r w:rsidR="00E20F86" w:rsidRPr="001D200B">
        <w:rPr>
          <w:rFonts w:cstheme="minorHAnsi"/>
        </w:rPr>
        <w:t xml:space="preserve">wytwórcy ciepła </w:t>
      </w:r>
      <w:r w:rsidRPr="001D200B">
        <w:rPr>
          <w:rFonts w:cstheme="minorHAnsi"/>
        </w:rPr>
        <w:t xml:space="preserve">stan techniczny </w:t>
      </w:r>
      <w:r w:rsidR="000400F1" w:rsidRPr="001D200B">
        <w:rPr>
          <w:rFonts w:cstheme="minorHAnsi"/>
        </w:rPr>
        <w:t xml:space="preserve">członów ciepłowniczych gwarantuje dostawy ciepła zgodnie z zasadami i wolumenami określonymi w zawartych umowach. Obecnie funkcjonujące człony ciepłownicze posiadają znaczne rezerwy mocy, co </w:t>
      </w:r>
      <w:r w:rsidR="004050AB" w:rsidRPr="001D200B">
        <w:rPr>
          <w:rFonts w:cstheme="minorHAnsi"/>
        </w:rPr>
        <w:t>zapewnia ciągłość dostaw ciepła dla miasta Połańca</w:t>
      </w:r>
      <w:r w:rsidR="000400F1" w:rsidRPr="001D200B">
        <w:rPr>
          <w:rFonts w:cstheme="minorHAnsi"/>
        </w:rPr>
        <w:t xml:space="preserve"> w perspektywie długookresowej oraz daje możliwości zwiększenia ilości wytwarzanego ciepła.</w:t>
      </w:r>
    </w:p>
    <w:p w:rsidR="00C726C5" w:rsidRPr="001D200B" w:rsidRDefault="00C726C5" w:rsidP="00C726C5">
      <w:pPr>
        <w:pStyle w:val="Tytu"/>
        <w:ind w:left="993" w:hanging="993"/>
        <w:rPr>
          <w:rFonts w:cstheme="minorHAnsi"/>
          <w:b/>
        </w:rPr>
      </w:pPr>
      <w:bookmarkStart w:id="37" w:name="_Toc39476562"/>
      <w:r w:rsidRPr="001D200B">
        <w:rPr>
          <w:rFonts w:cstheme="minorHAnsi"/>
          <w:b/>
        </w:rPr>
        <w:t xml:space="preserve">Tabela </w:t>
      </w:r>
      <w:r w:rsidR="005B7234" w:rsidRPr="001D200B">
        <w:rPr>
          <w:rFonts w:cstheme="minorHAnsi"/>
          <w:b/>
        </w:rPr>
        <w:fldChar w:fldCharType="begin"/>
      </w:r>
      <w:r w:rsidRPr="001D200B">
        <w:rPr>
          <w:rFonts w:cstheme="minorHAnsi"/>
          <w:b/>
        </w:rPr>
        <w:instrText xml:space="preserve"> SEQ Tabela \* ARABIC </w:instrText>
      </w:r>
      <w:r w:rsidR="005B7234" w:rsidRPr="001D200B">
        <w:rPr>
          <w:rFonts w:cstheme="minorHAnsi"/>
          <w:b/>
        </w:rPr>
        <w:fldChar w:fldCharType="separate"/>
      </w:r>
      <w:r w:rsidR="00975320" w:rsidRPr="001D200B">
        <w:rPr>
          <w:rFonts w:cstheme="minorHAnsi"/>
          <w:b/>
          <w:noProof/>
        </w:rPr>
        <w:t>10</w:t>
      </w:r>
      <w:r w:rsidR="005B7234" w:rsidRPr="001D200B">
        <w:rPr>
          <w:rFonts w:cstheme="minorHAnsi"/>
          <w:b/>
        </w:rPr>
        <w:fldChar w:fldCharType="end"/>
      </w:r>
      <w:r w:rsidRPr="001D200B">
        <w:rPr>
          <w:rFonts w:cstheme="minorHAnsi"/>
          <w:b/>
        </w:rPr>
        <w:t>. Energia cieplna wprowadzona do magistrali ciepłowniczej gminy Połaniec w latach 2015-2019</w:t>
      </w:r>
      <w:bookmarkEnd w:id="37"/>
      <w:r w:rsidRPr="001D200B">
        <w:rPr>
          <w:rFonts w:cstheme="minorHAnsi"/>
          <w:b/>
        </w:rPr>
        <w:t xml:space="preserve"> </w:t>
      </w:r>
    </w:p>
    <w:tbl>
      <w:tblPr>
        <w:tblStyle w:val="Tabela-Siatka"/>
        <w:tblW w:w="9384" w:type="dxa"/>
        <w:jc w:val="center"/>
        <w:tblInd w:w="354" w:type="dxa"/>
        <w:tblLayout w:type="fixed"/>
        <w:tblLook w:val="04A0"/>
      </w:tblPr>
      <w:tblGrid>
        <w:gridCol w:w="3134"/>
        <w:gridCol w:w="1250"/>
        <w:gridCol w:w="1250"/>
        <w:gridCol w:w="1250"/>
        <w:gridCol w:w="1250"/>
        <w:gridCol w:w="1250"/>
      </w:tblGrid>
      <w:tr w:rsidR="00C726C5" w:rsidRPr="001D200B" w:rsidTr="00C726C5">
        <w:trPr>
          <w:jc w:val="center"/>
        </w:trPr>
        <w:tc>
          <w:tcPr>
            <w:tcW w:w="3134" w:type="dxa"/>
            <w:shd w:val="clear" w:color="auto" w:fill="F2F2F2" w:themeFill="background1" w:themeFillShade="F2"/>
          </w:tcPr>
          <w:p w:rsidR="00C726C5" w:rsidRPr="001D200B" w:rsidRDefault="00C726C5" w:rsidP="00C726C5">
            <w:pPr>
              <w:spacing w:before="0" w:after="0" w:line="240" w:lineRule="auto"/>
              <w:jc w:val="center"/>
              <w:rPr>
                <w:rFonts w:cstheme="minorHAnsi"/>
                <w:b/>
                <w:sz w:val="22"/>
                <w:szCs w:val="22"/>
              </w:rPr>
            </w:pPr>
            <w:r w:rsidRPr="001D200B">
              <w:rPr>
                <w:rFonts w:cstheme="minorHAnsi"/>
                <w:b/>
                <w:sz w:val="22"/>
                <w:szCs w:val="22"/>
              </w:rPr>
              <w:t>Wyszczególnienie:</w:t>
            </w:r>
          </w:p>
        </w:tc>
        <w:tc>
          <w:tcPr>
            <w:tcW w:w="1250" w:type="dxa"/>
            <w:shd w:val="clear" w:color="auto" w:fill="F2F2F2" w:themeFill="background1" w:themeFillShade="F2"/>
            <w:vAlign w:val="center"/>
          </w:tcPr>
          <w:p w:rsidR="00C726C5" w:rsidRPr="001D200B" w:rsidRDefault="00C726C5" w:rsidP="00C726C5">
            <w:pPr>
              <w:spacing w:before="0" w:after="0" w:line="240" w:lineRule="auto"/>
              <w:jc w:val="center"/>
              <w:rPr>
                <w:rFonts w:cstheme="minorHAnsi"/>
                <w:b/>
                <w:sz w:val="22"/>
                <w:szCs w:val="22"/>
              </w:rPr>
            </w:pPr>
            <w:r w:rsidRPr="001D200B">
              <w:rPr>
                <w:rFonts w:cstheme="minorHAnsi"/>
                <w:b/>
                <w:sz w:val="22"/>
                <w:szCs w:val="22"/>
              </w:rPr>
              <w:t>2015</w:t>
            </w:r>
          </w:p>
        </w:tc>
        <w:tc>
          <w:tcPr>
            <w:tcW w:w="1250" w:type="dxa"/>
            <w:shd w:val="clear" w:color="auto" w:fill="F2F2F2" w:themeFill="background1" w:themeFillShade="F2"/>
            <w:vAlign w:val="center"/>
          </w:tcPr>
          <w:p w:rsidR="00C726C5" w:rsidRPr="001D200B" w:rsidRDefault="00C726C5" w:rsidP="00C726C5">
            <w:pPr>
              <w:spacing w:before="0" w:after="0" w:line="240" w:lineRule="auto"/>
              <w:jc w:val="center"/>
              <w:rPr>
                <w:rFonts w:cstheme="minorHAnsi"/>
                <w:b/>
                <w:sz w:val="22"/>
                <w:szCs w:val="22"/>
              </w:rPr>
            </w:pPr>
            <w:r w:rsidRPr="001D200B">
              <w:rPr>
                <w:rFonts w:cstheme="minorHAnsi"/>
                <w:b/>
                <w:sz w:val="22"/>
                <w:szCs w:val="22"/>
              </w:rPr>
              <w:t>2016</w:t>
            </w:r>
          </w:p>
        </w:tc>
        <w:tc>
          <w:tcPr>
            <w:tcW w:w="1250" w:type="dxa"/>
            <w:shd w:val="clear" w:color="auto" w:fill="F2F2F2" w:themeFill="background1" w:themeFillShade="F2"/>
            <w:vAlign w:val="center"/>
          </w:tcPr>
          <w:p w:rsidR="00C726C5" w:rsidRPr="001D200B" w:rsidRDefault="00C726C5" w:rsidP="00C726C5">
            <w:pPr>
              <w:spacing w:before="0" w:after="0" w:line="240" w:lineRule="auto"/>
              <w:jc w:val="center"/>
              <w:rPr>
                <w:rFonts w:cstheme="minorHAnsi"/>
                <w:b/>
                <w:sz w:val="22"/>
                <w:szCs w:val="22"/>
              </w:rPr>
            </w:pPr>
            <w:r w:rsidRPr="001D200B">
              <w:rPr>
                <w:rFonts w:cstheme="minorHAnsi"/>
                <w:b/>
                <w:sz w:val="22"/>
                <w:szCs w:val="22"/>
              </w:rPr>
              <w:t>2017</w:t>
            </w:r>
          </w:p>
        </w:tc>
        <w:tc>
          <w:tcPr>
            <w:tcW w:w="1250" w:type="dxa"/>
            <w:shd w:val="clear" w:color="auto" w:fill="F2F2F2" w:themeFill="background1" w:themeFillShade="F2"/>
          </w:tcPr>
          <w:p w:rsidR="00C726C5" w:rsidRPr="001D200B" w:rsidRDefault="00C726C5" w:rsidP="00C726C5">
            <w:pPr>
              <w:spacing w:before="0" w:after="0" w:line="240" w:lineRule="auto"/>
              <w:jc w:val="center"/>
              <w:rPr>
                <w:rFonts w:cstheme="minorHAnsi"/>
                <w:b/>
                <w:sz w:val="22"/>
                <w:szCs w:val="22"/>
              </w:rPr>
            </w:pPr>
            <w:r w:rsidRPr="001D200B">
              <w:rPr>
                <w:rFonts w:cstheme="minorHAnsi"/>
                <w:b/>
                <w:sz w:val="22"/>
                <w:szCs w:val="22"/>
              </w:rPr>
              <w:t>2018</w:t>
            </w:r>
          </w:p>
        </w:tc>
        <w:tc>
          <w:tcPr>
            <w:tcW w:w="1250" w:type="dxa"/>
            <w:shd w:val="clear" w:color="auto" w:fill="F2F2F2" w:themeFill="background1" w:themeFillShade="F2"/>
            <w:vAlign w:val="center"/>
          </w:tcPr>
          <w:p w:rsidR="00C726C5" w:rsidRPr="001D200B" w:rsidRDefault="00C726C5" w:rsidP="00C726C5">
            <w:pPr>
              <w:spacing w:before="0" w:after="0" w:line="240" w:lineRule="auto"/>
              <w:jc w:val="center"/>
              <w:rPr>
                <w:rFonts w:cstheme="minorHAnsi"/>
                <w:b/>
                <w:sz w:val="22"/>
                <w:szCs w:val="22"/>
              </w:rPr>
            </w:pPr>
            <w:r w:rsidRPr="001D200B">
              <w:rPr>
                <w:rFonts w:cstheme="minorHAnsi"/>
                <w:b/>
                <w:sz w:val="22"/>
                <w:szCs w:val="22"/>
              </w:rPr>
              <w:t>2019</w:t>
            </w:r>
          </w:p>
        </w:tc>
      </w:tr>
      <w:tr w:rsidR="00C726C5" w:rsidRPr="001D200B" w:rsidTr="00C726C5">
        <w:trPr>
          <w:jc w:val="center"/>
        </w:trPr>
        <w:tc>
          <w:tcPr>
            <w:tcW w:w="3134" w:type="dxa"/>
          </w:tcPr>
          <w:p w:rsidR="00C726C5" w:rsidRPr="001D200B" w:rsidRDefault="00C726C5" w:rsidP="00034BA1">
            <w:pPr>
              <w:spacing w:before="0" w:after="0" w:line="240" w:lineRule="auto"/>
              <w:jc w:val="center"/>
              <w:rPr>
                <w:rFonts w:cstheme="minorHAnsi"/>
                <w:sz w:val="22"/>
                <w:szCs w:val="22"/>
              </w:rPr>
            </w:pPr>
            <w:r w:rsidRPr="001D200B">
              <w:rPr>
                <w:rFonts w:cstheme="minorHAnsi"/>
                <w:sz w:val="22"/>
                <w:szCs w:val="22"/>
              </w:rPr>
              <w:t>Zakup ciepła przez PGK w Połańcu sp. z o.o. [w GJ]</w:t>
            </w:r>
          </w:p>
        </w:tc>
        <w:tc>
          <w:tcPr>
            <w:tcW w:w="1250" w:type="dxa"/>
            <w:vAlign w:val="center"/>
          </w:tcPr>
          <w:p w:rsidR="00C726C5" w:rsidRPr="001D200B" w:rsidRDefault="00C726C5" w:rsidP="00C726C5">
            <w:pPr>
              <w:spacing w:before="0" w:after="0" w:line="240" w:lineRule="auto"/>
              <w:jc w:val="center"/>
              <w:rPr>
                <w:rFonts w:cstheme="minorHAnsi"/>
                <w:sz w:val="22"/>
                <w:szCs w:val="22"/>
              </w:rPr>
            </w:pPr>
            <w:r w:rsidRPr="001D200B">
              <w:rPr>
                <w:rFonts w:cstheme="minorHAnsi"/>
                <w:sz w:val="22"/>
                <w:szCs w:val="22"/>
              </w:rPr>
              <w:t>137 615</w:t>
            </w:r>
          </w:p>
        </w:tc>
        <w:tc>
          <w:tcPr>
            <w:tcW w:w="1250" w:type="dxa"/>
            <w:vAlign w:val="center"/>
          </w:tcPr>
          <w:p w:rsidR="00C726C5" w:rsidRPr="001D200B" w:rsidRDefault="00C726C5" w:rsidP="00C726C5">
            <w:pPr>
              <w:spacing w:before="0" w:after="0" w:line="240" w:lineRule="auto"/>
              <w:jc w:val="center"/>
              <w:rPr>
                <w:rFonts w:cstheme="minorHAnsi"/>
                <w:sz w:val="22"/>
                <w:szCs w:val="22"/>
              </w:rPr>
            </w:pPr>
            <w:r w:rsidRPr="001D200B">
              <w:rPr>
                <w:rFonts w:cstheme="minorHAnsi"/>
                <w:sz w:val="22"/>
                <w:szCs w:val="22"/>
              </w:rPr>
              <w:t>143 126</w:t>
            </w:r>
          </w:p>
        </w:tc>
        <w:tc>
          <w:tcPr>
            <w:tcW w:w="1250" w:type="dxa"/>
            <w:vAlign w:val="center"/>
          </w:tcPr>
          <w:p w:rsidR="00C726C5" w:rsidRPr="001D200B" w:rsidRDefault="00C726C5" w:rsidP="00C726C5">
            <w:pPr>
              <w:spacing w:before="0" w:after="0" w:line="240" w:lineRule="auto"/>
              <w:jc w:val="center"/>
              <w:rPr>
                <w:rFonts w:cstheme="minorHAnsi"/>
                <w:sz w:val="22"/>
                <w:szCs w:val="22"/>
              </w:rPr>
            </w:pPr>
            <w:r w:rsidRPr="001D200B">
              <w:rPr>
                <w:rFonts w:cstheme="minorHAnsi"/>
                <w:sz w:val="22"/>
                <w:szCs w:val="22"/>
              </w:rPr>
              <w:t>146 044</w:t>
            </w:r>
          </w:p>
        </w:tc>
        <w:tc>
          <w:tcPr>
            <w:tcW w:w="1250" w:type="dxa"/>
            <w:vAlign w:val="center"/>
          </w:tcPr>
          <w:p w:rsidR="00C726C5" w:rsidRPr="001D200B" w:rsidRDefault="00C726C5" w:rsidP="00C726C5">
            <w:pPr>
              <w:spacing w:before="0" w:after="0" w:line="240" w:lineRule="auto"/>
              <w:jc w:val="center"/>
              <w:rPr>
                <w:rFonts w:cstheme="minorHAnsi"/>
                <w:sz w:val="22"/>
                <w:szCs w:val="22"/>
              </w:rPr>
            </w:pPr>
            <w:r w:rsidRPr="001D200B">
              <w:rPr>
                <w:rFonts w:cstheme="minorHAnsi"/>
                <w:sz w:val="22"/>
                <w:szCs w:val="22"/>
              </w:rPr>
              <w:t>139 121</w:t>
            </w:r>
          </w:p>
        </w:tc>
        <w:tc>
          <w:tcPr>
            <w:tcW w:w="1250" w:type="dxa"/>
            <w:vAlign w:val="center"/>
          </w:tcPr>
          <w:p w:rsidR="00C726C5" w:rsidRPr="001D200B" w:rsidRDefault="00C726C5" w:rsidP="00C726C5">
            <w:pPr>
              <w:spacing w:before="0" w:after="0" w:line="240" w:lineRule="auto"/>
              <w:jc w:val="center"/>
              <w:rPr>
                <w:rFonts w:cstheme="minorHAnsi"/>
                <w:sz w:val="22"/>
                <w:szCs w:val="22"/>
              </w:rPr>
            </w:pPr>
            <w:r w:rsidRPr="001D200B">
              <w:rPr>
                <w:rFonts w:cstheme="minorHAnsi"/>
                <w:sz w:val="22"/>
                <w:szCs w:val="22"/>
              </w:rPr>
              <w:t>141 327</w:t>
            </w:r>
          </w:p>
        </w:tc>
      </w:tr>
    </w:tbl>
    <w:p w:rsidR="00C726C5" w:rsidRPr="001D200B" w:rsidRDefault="00C726C5" w:rsidP="00C726C5">
      <w:pPr>
        <w:pStyle w:val="podtabelk"/>
      </w:pPr>
      <w:r w:rsidRPr="001D200B">
        <w:t xml:space="preserve">* dane Elektrownia Enea Połaniec S.A. </w:t>
      </w:r>
    </w:p>
    <w:p w:rsidR="00E433EF" w:rsidRPr="001D200B" w:rsidRDefault="00B7228F" w:rsidP="00360F3A">
      <w:pPr>
        <w:rPr>
          <w:rFonts w:cstheme="minorHAnsi"/>
          <w:u w:val="single"/>
        </w:rPr>
      </w:pPr>
      <w:r w:rsidRPr="001D200B">
        <w:rPr>
          <w:rFonts w:cstheme="minorHAnsi"/>
          <w:u w:val="single"/>
        </w:rPr>
        <w:t>Sieci ciepłownicze</w:t>
      </w:r>
    </w:p>
    <w:p w:rsidR="00253D7A" w:rsidRPr="001D200B" w:rsidRDefault="00253D7A" w:rsidP="00C02290">
      <w:pPr>
        <w:rPr>
          <w:rFonts w:cstheme="minorHAnsi"/>
        </w:rPr>
      </w:pPr>
      <w:r w:rsidRPr="001D200B">
        <w:rPr>
          <w:rFonts w:cstheme="minorHAnsi"/>
        </w:rPr>
        <w:t xml:space="preserve">Sieci ciepłownicze na terenie </w:t>
      </w:r>
      <w:r w:rsidR="00AD7B38" w:rsidRPr="001D200B">
        <w:rPr>
          <w:rFonts w:cstheme="minorHAnsi"/>
        </w:rPr>
        <w:t xml:space="preserve">gminy </w:t>
      </w:r>
      <w:r w:rsidRPr="001D200B">
        <w:rPr>
          <w:rFonts w:cstheme="minorHAnsi"/>
        </w:rPr>
        <w:t xml:space="preserve">Połaniec </w:t>
      </w:r>
      <w:r w:rsidR="00AD7B38" w:rsidRPr="001D200B">
        <w:rPr>
          <w:rFonts w:cstheme="minorHAnsi"/>
        </w:rPr>
        <w:t xml:space="preserve">w większości </w:t>
      </w:r>
      <w:r w:rsidRPr="001D200B">
        <w:rPr>
          <w:rFonts w:cstheme="minorHAnsi"/>
        </w:rPr>
        <w:t xml:space="preserve">są własnością </w:t>
      </w:r>
      <w:r w:rsidR="00AD7B38" w:rsidRPr="001D200B">
        <w:rPr>
          <w:rFonts w:cstheme="minorHAnsi"/>
        </w:rPr>
        <w:t xml:space="preserve">i znajdują się w eksploatacji </w:t>
      </w:r>
      <w:r w:rsidR="006A5497" w:rsidRPr="001D200B">
        <w:rPr>
          <w:rFonts w:cstheme="minorHAnsi"/>
        </w:rPr>
        <w:t>Przedsiębiorstwa Gospodarki Komunalnej sp. z o.o. w Połańcu.</w:t>
      </w:r>
      <w:r w:rsidR="00AD7B38" w:rsidRPr="001D200B">
        <w:rPr>
          <w:rFonts w:cstheme="minorHAnsi"/>
        </w:rPr>
        <w:t xml:space="preserve"> Obrót, przesył, dystrybucja ciepła oraz eksploatacja sieci i węzłów cieplnych przez </w:t>
      </w:r>
      <w:r w:rsidR="006A5497" w:rsidRPr="001D200B">
        <w:rPr>
          <w:rFonts w:cstheme="minorHAnsi"/>
        </w:rPr>
        <w:t>przedsiębiorstwo</w:t>
      </w:r>
      <w:r w:rsidR="00AD7B38" w:rsidRPr="001D200B">
        <w:rPr>
          <w:rFonts w:cstheme="minorHAnsi"/>
        </w:rPr>
        <w:t xml:space="preserve"> </w:t>
      </w:r>
      <w:r w:rsidRPr="001D200B">
        <w:rPr>
          <w:rFonts w:cstheme="minorHAnsi"/>
        </w:rPr>
        <w:t>prowadz</w:t>
      </w:r>
      <w:r w:rsidR="00AD7B38" w:rsidRPr="001D200B">
        <w:rPr>
          <w:rFonts w:cstheme="minorHAnsi"/>
        </w:rPr>
        <w:t xml:space="preserve">ona jest zgodnie z </w:t>
      </w:r>
      <w:r w:rsidRPr="001D200B">
        <w:rPr>
          <w:rFonts w:cstheme="minorHAnsi"/>
        </w:rPr>
        <w:t xml:space="preserve">koncesjami: PCC/1097/5631/W/OŁO/2004/TB </w:t>
      </w:r>
      <w:r w:rsidR="006976C5" w:rsidRPr="001D200B">
        <w:rPr>
          <w:rFonts w:cstheme="minorHAnsi"/>
        </w:rPr>
        <w:t>na przesył</w:t>
      </w:r>
      <w:r w:rsidR="00C02290" w:rsidRPr="001D200B">
        <w:rPr>
          <w:rFonts w:cstheme="minorHAnsi"/>
        </w:rPr>
        <w:t>anie</w:t>
      </w:r>
      <w:r w:rsidR="006976C5" w:rsidRPr="001D200B">
        <w:rPr>
          <w:rFonts w:cstheme="minorHAnsi"/>
        </w:rPr>
        <w:t xml:space="preserve"> i</w:t>
      </w:r>
      <w:r w:rsidR="00C02290" w:rsidRPr="001D200B">
        <w:rPr>
          <w:rFonts w:cstheme="minorHAnsi"/>
        </w:rPr>
        <w:t> </w:t>
      </w:r>
      <w:r w:rsidR="006976C5" w:rsidRPr="001D200B">
        <w:rPr>
          <w:rFonts w:cstheme="minorHAnsi"/>
        </w:rPr>
        <w:t>dystrybucję ciepła</w:t>
      </w:r>
      <w:r w:rsidR="00C02290" w:rsidRPr="001D200B">
        <w:rPr>
          <w:rFonts w:cstheme="minorHAnsi"/>
        </w:rPr>
        <w:t xml:space="preserve"> oraz </w:t>
      </w:r>
      <w:r w:rsidRPr="001D200B">
        <w:rPr>
          <w:rFonts w:cstheme="minorHAnsi"/>
        </w:rPr>
        <w:t>OCC/326/5631</w:t>
      </w:r>
      <w:r w:rsidR="006976C5" w:rsidRPr="001D200B">
        <w:rPr>
          <w:rFonts w:cstheme="minorHAnsi"/>
        </w:rPr>
        <w:t>/W/OŁ</w:t>
      </w:r>
      <w:r w:rsidR="00C02290" w:rsidRPr="001D200B">
        <w:rPr>
          <w:rFonts w:cstheme="minorHAnsi"/>
        </w:rPr>
        <w:t>O</w:t>
      </w:r>
      <w:r w:rsidR="006976C5" w:rsidRPr="001D200B">
        <w:rPr>
          <w:rFonts w:cstheme="minorHAnsi"/>
        </w:rPr>
        <w:t>/2005/TB na obrót ciepłem</w:t>
      </w:r>
      <w:r w:rsidR="00C02290" w:rsidRPr="001D200B">
        <w:rPr>
          <w:rFonts w:cstheme="minorHAnsi"/>
        </w:rPr>
        <w:t>.</w:t>
      </w:r>
    </w:p>
    <w:p w:rsidR="00A7560E" w:rsidRPr="001D200B" w:rsidRDefault="007417EC" w:rsidP="00290FD1">
      <w:pPr>
        <w:rPr>
          <w:rStyle w:val="FontStyle11"/>
          <w:rFonts w:asciiTheme="minorHAnsi" w:hAnsiTheme="minorHAnsi" w:cstheme="minorHAnsi"/>
        </w:rPr>
      </w:pPr>
      <w:r w:rsidRPr="001D200B">
        <w:rPr>
          <w:rStyle w:val="FontStyle11"/>
          <w:rFonts w:asciiTheme="minorHAnsi" w:hAnsiTheme="minorHAnsi" w:cstheme="minorHAnsi"/>
        </w:rPr>
        <w:t>Miasto zasilane jest</w:t>
      </w:r>
      <w:r w:rsidR="00A7560E" w:rsidRPr="001D200B">
        <w:rPr>
          <w:rStyle w:val="FontStyle11"/>
          <w:rFonts w:asciiTheme="minorHAnsi" w:hAnsiTheme="minorHAnsi" w:cstheme="minorHAnsi"/>
        </w:rPr>
        <w:t xml:space="preserve"> poprzez wyprowadzoną z elektrowni </w:t>
      </w:r>
      <w:r w:rsidRPr="001D200B">
        <w:rPr>
          <w:rStyle w:val="FontStyle11"/>
          <w:rFonts w:asciiTheme="minorHAnsi" w:hAnsiTheme="minorHAnsi" w:cstheme="minorHAnsi"/>
        </w:rPr>
        <w:t>ciepłowniczą magistral</w:t>
      </w:r>
      <w:r w:rsidR="00A7560E" w:rsidRPr="001D200B">
        <w:rPr>
          <w:rStyle w:val="FontStyle11"/>
          <w:rFonts w:asciiTheme="minorHAnsi" w:hAnsiTheme="minorHAnsi" w:cstheme="minorHAnsi"/>
        </w:rPr>
        <w:t>ę</w:t>
      </w:r>
      <w:r w:rsidRPr="001D200B">
        <w:rPr>
          <w:rStyle w:val="FontStyle11"/>
          <w:rFonts w:asciiTheme="minorHAnsi" w:hAnsiTheme="minorHAnsi" w:cstheme="minorHAnsi"/>
        </w:rPr>
        <w:t xml:space="preserve"> </w:t>
      </w:r>
      <w:r w:rsidR="00A7560E" w:rsidRPr="001D200B">
        <w:rPr>
          <w:rStyle w:val="FontStyle11"/>
          <w:rFonts w:asciiTheme="minorHAnsi" w:hAnsiTheme="minorHAnsi" w:cstheme="minorHAnsi"/>
        </w:rPr>
        <w:t xml:space="preserve">2xDn300 </w:t>
      </w:r>
      <w:r w:rsidR="00257583" w:rsidRPr="001D200B">
        <w:rPr>
          <w:rStyle w:val="FontStyle11"/>
          <w:rFonts w:asciiTheme="minorHAnsi" w:hAnsiTheme="minorHAnsi" w:cstheme="minorHAnsi"/>
        </w:rPr>
        <w:t>o</w:t>
      </w:r>
      <w:r w:rsidR="00A7560E" w:rsidRPr="001D200B">
        <w:rPr>
          <w:rStyle w:val="FontStyle11"/>
          <w:rFonts w:asciiTheme="minorHAnsi" w:hAnsiTheme="minorHAnsi" w:cstheme="minorHAnsi"/>
        </w:rPr>
        <w:t> </w:t>
      </w:r>
      <w:r w:rsidR="00257583" w:rsidRPr="001D200B">
        <w:rPr>
          <w:rStyle w:val="FontStyle11"/>
          <w:rFonts w:asciiTheme="minorHAnsi" w:hAnsiTheme="minorHAnsi" w:cstheme="minorHAnsi"/>
        </w:rPr>
        <w:t xml:space="preserve">długości 7,4km oraz siecią rozgałęźną </w:t>
      </w:r>
      <w:r w:rsidR="00E964A0" w:rsidRPr="001D200B">
        <w:rPr>
          <w:rStyle w:val="FontStyle11"/>
          <w:rFonts w:asciiTheme="minorHAnsi" w:hAnsiTheme="minorHAnsi" w:cstheme="minorHAnsi"/>
        </w:rPr>
        <w:t>o</w:t>
      </w:r>
      <w:r w:rsidR="00257583" w:rsidRPr="001D200B">
        <w:rPr>
          <w:rStyle w:val="FontStyle11"/>
          <w:rFonts w:asciiTheme="minorHAnsi" w:hAnsiTheme="minorHAnsi" w:cstheme="minorHAnsi"/>
        </w:rPr>
        <w:t xml:space="preserve"> długości około 18 km. </w:t>
      </w:r>
    </w:p>
    <w:p w:rsidR="007417EC" w:rsidRPr="001D200B" w:rsidRDefault="00A7560E" w:rsidP="00290FD1">
      <w:pPr>
        <w:rPr>
          <w:rStyle w:val="FontStyle11"/>
          <w:rFonts w:asciiTheme="minorHAnsi" w:hAnsiTheme="minorHAnsi" w:cstheme="minorHAnsi"/>
        </w:rPr>
      </w:pPr>
      <w:r w:rsidRPr="001D200B">
        <w:rPr>
          <w:rStyle w:val="FontStyle11"/>
          <w:rFonts w:asciiTheme="minorHAnsi" w:hAnsiTheme="minorHAnsi" w:cstheme="minorHAnsi"/>
        </w:rPr>
        <w:t xml:space="preserve">Sieci oraz zewnętrzne instalacje odbiorcze wykonane są z rur stalowych w układzie dwuprzewodowym. </w:t>
      </w:r>
      <w:r w:rsidR="00F322F0" w:rsidRPr="001D200B">
        <w:rPr>
          <w:rStyle w:val="FontStyle11"/>
          <w:rFonts w:asciiTheme="minorHAnsi" w:hAnsiTheme="minorHAnsi" w:cstheme="minorHAnsi"/>
        </w:rPr>
        <w:t xml:space="preserve">Okres eksploatacji magistrali oraz znacznej części sieci rozdzielczych wynosi około </w:t>
      </w:r>
      <w:r w:rsidR="00C02290" w:rsidRPr="001D200B">
        <w:rPr>
          <w:rStyle w:val="FontStyle11"/>
          <w:rFonts w:asciiTheme="minorHAnsi" w:hAnsiTheme="minorHAnsi" w:cstheme="minorHAnsi"/>
        </w:rPr>
        <w:t>4</w:t>
      </w:r>
      <w:r w:rsidR="00F322F0" w:rsidRPr="001D200B">
        <w:rPr>
          <w:rStyle w:val="FontStyle11"/>
          <w:rFonts w:asciiTheme="minorHAnsi" w:hAnsiTheme="minorHAnsi" w:cstheme="minorHAnsi"/>
        </w:rPr>
        <w:t>0 lat –</w:t>
      </w:r>
      <w:r w:rsidR="008D5951" w:rsidRPr="001D200B">
        <w:rPr>
          <w:rStyle w:val="FontStyle11"/>
          <w:rFonts w:asciiTheme="minorHAnsi" w:hAnsiTheme="minorHAnsi" w:cstheme="minorHAnsi"/>
        </w:rPr>
        <w:t xml:space="preserve"> </w:t>
      </w:r>
      <w:r w:rsidR="00F322F0" w:rsidRPr="001D200B">
        <w:rPr>
          <w:rStyle w:val="FontStyle11"/>
          <w:rFonts w:asciiTheme="minorHAnsi" w:hAnsiTheme="minorHAnsi" w:cstheme="minorHAnsi"/>
        </w:rPr>
        <w:t>infrastruktur</w:t>
      </w:r>
      <w:r w:rsidR="003E553C" w:rsidRPr="001D200B">
        <w:rPr>
          <w:rStyle w:val="FontStyle11"/>
          <w:rFonts w:asciiTheme="minorHAnsi" w:hAnsiTheme="minorHAnsi" w:cstheme="minorHAnsi"/>
        </w:rPr>
        <w:t>ę</w:t>
      </w:r>
      <w:r w:rsidR="00F322F0" w:rsidRPr="001D200B">
        <w:rPr>
          <w:rStyle w:val="FontStyle11"/>
          <w:rFonts w:asciiTheme="minorHAnsi" w:hAnsiTheme="minorHAnsi" w:cstheme="minorHAnsi"/>
        </w:rPr>
        <w:t xml:space="preserve"> </w:t>
      </w:r>
      <w:r w:rsidR="008D5951" w:rsidRPr="001D200B">
        <w:rPr>
          <w:rStyle w:val="FontStyle11"/>
          <w:rFonts w:asciiTheme="minorHAnsi" w:hAnsiTheme="minorHAnsi" w:cstheme="minorHAnsi"/>
        </w:rPr>
        <w:t>ciepłownicz</w:t>
      </w:r>
      <w:r w:rsidR="003E553C" w:rsidRPr="001D200B">
        <w:rPr>
          <w:rStyle w:val="FontStyle11"/>
          <w:rFonts w:asciiTheme="minorHAnsi" w:hAnsiTheme="minorHAnsi" w:cstheme="minorHAnsi"/>
        </w:rPr>
        <w:t>ą</w:t>
      </w:r>
      <w:r w:rsidR="008D5951" w:rsidRPr="001D200B">
        <w:rPr>
          <w:rStyle w:val="FontStyle11"/>
          <w:rFonts w:asciiTheme="minorHAnsi" w:hAnsiTheme="minorHAnsi" w:cstheme="minorHAnsi"/>
        </w:rPr>
        <w:t xml:space="preserve"> budowano głównie na początku lat 80’ XX wieku, w </w:t>
      </w:r>
      <w:r w:rsidR="008D5951" w:rsidRPr="001D200B">
        <w:rPr>
          <w:rFonts w:cstheme="minorHAnsi"/>
        </w:rPr>
        <w:t>przewadze w tradycyjnej technologii kanałowej</w:t>
      </w:r>
      <w:r w:rsidR="003E553C" w:rsidRPr="001D200B">
        <w:rPr>
          <w:rFonts w:cstheme="minorHAnsi"/>
        </w:rPr>
        <w:t xml:space="preserve"> z cienką warstwą izolacji.</w:t>
      </w:r>
    </w:p>
    <w:p w:rsidR="00034BA1" w:rsidRPr="001D200B" w:rsidRDefault="001E6143" w:rsidP="00290FD1">
      <w:pPr>
        <w:rPr>
          <w:rFonts w:cstheme="minorHAnsi"/>
        </w:rPr>
      </w:pPr>
      <w:r w:rsidRPr="001D200B">
        <w:rPr>
          <w:rStyle w:val="FontStyle11"/>
          <w:rFonts w:asciiTheme="minorHAnsi" w:hAnsiTheme="minorHAnsi" w:cstheme="minorHAnsi"/>
        </w:rPr>
        <w:lastRenderedPageBreak/>
        <w:t xml:space="preserve">Magistrala ciepłownicza na odcinku 5,4km od źródła ciepła pełni funkcję tranzytową o znikomej liczbie odbiorców, jest to sieć naziemna (długości około 3,6km) oraz </w:t>
      </w:r>
      <w:r w:rsidR="007C6BE0" w:rsidRPr="001D200B">
        <w:rPr>
          <w:rStyle w:val="FontStyle11"/>
          <w:rFonts w:asciiTheme="minorHAnsi" w:hAnsiTheme="minorHAnsi" w:cstheme="minorHAnsi"/>
        </w:rPr>
        <w:t xml:space="preserve">preizolowana </w:t>
      </w:r>
      <w:r w:rsidRPr="001D200B">
        <w:rPr>
          <w:rStyle w:val="FontStyle11"/>
          <w:rFonts w:asciiTheme="minorHAnsi" w:hAnsiTheme="minorHAnsi" w:cstheme="minorHAnsi"/>
        </w:rPr>
        <w:t xml:space="preserve">(długości około 1,8km). </w:t>
      </w:r>
      <w:r w:rsidR="00BD499A" w:rsidRPr="001D200B">
        <w:rPr>
          <w:rFonts w:cstheme="minorHAnsi"/>
        </w:rPr>
        <w:t xml:space="preserve">Stan techniczny </w:t>
      </w:r>
      <w:r w:rsidR="00EC0C30" w:rsidRPr="001D200B">
        <w:rPr>
          <w:rFonts w:cstheme="minorHAnsi"/>
        </w:rPr>
        <w:t xml:space="preserve">tej </w:t>
      </w:r>
      <w:r w:rsidR="00BD499A" w:rsidRPr="001D200B">
        <w:rPr>
          <w:rFonts w:cstheme="minorHAnsi"/>
        </w:rPr>
        <w:t xml:space="preserve">sieci </w:t>
      </w:r>
      <w:r w:rsidR="007C6BE0" w:rsidRPr="001D200B">
        <w:rPr>
          <w:rFonts w:cstheme="minorHAnsi"/>
        </w:rPr>
        <w:t>dobry.</w:t>
      </w:r>
    </w:p>
    <w:p w:rsidR="00C46495" w:rsidRPr="001D200B" w:rsidRDefault="00796473" w:rsidP="00290FD1">
      <w:pPr>
        <w:rPr>
          <w:rFonts w:cstheme="minorHAnsi"/>
        </w:rPr>
      </w:pPr>
      <w:r w:rsidRPr="001D200B">
        <w:rPr>
          <w:rFonts w:cstheme="minorHAnsi"/>
          <w:szCs w:val="24"/>
        </w:rPr>
        <w:t xml:space="preserve">Pozostała część magistrali ciepłowniczej Dn 300 z przyłączami do zasilanych budynków wykonana jest w technologii kanałowej. W dużym stopniu degradacji znajduje się izolacja rurociągów, która w tej części magistrali </w:t>
      </w:r>
      <w:r w:rsidR="004E665D" w:rsidRPr="001D200B">
        <w:rPr>
          <w:rFonts w:cstheme="minorHAnsi"/>
          <w:szCs w:val="24"/>
        </w:rPr>
        <w:t xml:space="preserve">od lat </w:t>
      </w:r>
      <w:r w:rsidRPr="001D200B">
        <w:rPr>
          <w:rFonts w:cstheme="minorHAnsi"/>
          <w:szCs w:val="24"/>
        </w:rPr>
        <w:t xml:space="preserve">nie poddana został żadnej modernizacji. </w:t>
      </w:r>
    </w:p>
    <w:p w:rsidR="004C02AB" w:rsidRPr="001D200B" w:rsidRDefault="00A34E67" w:rsidP="00290FD1">
      <w:pPr>
        <w:rPr>
          <w:rStyle w:val="FontStyle11"/>
          <w:rFonts w:asciiTheme="minorHAnsi" w:hAnsiTheme="minorHAnsi" w:cstheme="minorHAnsi"/>
        </w:rPr>
      </w:pPr>
      <w:r w:rsidRPr="001D200B">
        <w:rPr>
          <w:rStyle w:val="FontStyle11"/>
          <w:rFonts w:asciiTheme="minorHAnsi" w:hAnsiTheme="minorHAnsi" w:cstheme="minorHAnsi"/>
        </w:rPr>
        <w:t xml:space="preserve">Główną negatywną cechą sieci ciepłowniczej zasilającej miasto są znaczne straty energii cieplnej na przesyle, które </w:t>
      </w:r>
      <w:r w:rsidR="004C02AB" w:rsidRPr="001D200B">
        <w:rPr>
          <w:rStyle w:val="FontStyle11"/>
          <w:rFonts w:asciiTheme="minorHAnsi" w:hAnsiTheme="minorHAnsi" w:cstheme="minorHAnsi"/>
        </w:rPr>
        <w:t xml:space="preserve">są </w:t>
      </w:r>
      <w:r w:rsidR="00454D16" w:rsidRPr="001D200B">
        <w:rPr>
          <w:rStyle w:val="FontStyle11"/>
          <w:rFonts w:asciiTheme="minorHAnsi" w:hAnsiTheme="minorHAnsi" w:cstheme="minorHAnsi"/>
        </w:rPr>
        <w:t>wynik</w:t>
      </w:r>
      <w:r w:rsidR="004C02AB" w:rsidRPr="001D200B">
        <w:rPr>
          <w:rStyle w:val="FontStyle11"/>
          <w:rFonts w:asciiTheme="minorHAnsi" w:hAnsiTheme="minorHAnsi" w:cstheme="minorHAnsi"/>
        </w:rPr>
        <w:t>iem:</w:t>
      </w:r>
    </w:p>
    <w:p w:rsidR="004C02AB" w:rsidRPr="001D200B" w:rsidRDefault="004C02AB" w:rsidP="00F21741">
      <w:pPr>
        <w:pStyle w:val="Punktatory1"/>
        <w:rPr>
          <w:rStyle w:val="FontStyle11"/>
          <w:rFonts w:asciiTheme="minorHAnsi" w:hAnsiTheme="minorHAnsi" w:cstheme="minorHAnsi"/>
        </w:rPr>
      </w:pPr>
      <w:r w:rsidRPr="001D200B">
        <w:rPr>
          <w:rStyle w:val="FontStyle11"/>
          <w:rFonts w:asciiTheme="minorHAnsi" w:hAnsiTheme="minorHAnsi" w:cstheme="minorHAnsi"/>
        </w:rPr>
        <w:t xml:space="preserve">zbyt </w:t>
      </w:r>
      <w:r w:rsidR="00454D16" w:rsidRPr="001D200B">
        <w:rPr>
          <w:rStyle w:val="FontStyle11"/>
          <w:rFonts w:asciiTheme="minorHAnsi" w:hAnsiTheme="minorHAnsi" w:cstheme="minorHAnsi"/>
        </w:rPr>
        <w:t>cienkiej izolacji na części odcinków sieci</w:t>
      </w:r>
      <w:r w:rsidRPr="001D200B">
        <w:rPr>
          <w:rStyle w:val="FontStyle11"/>
          <w:rFonts w:asciiTheme="minorHAnsi" w:hAnsiTheme="minorHAnsi" w:cstheme="minorHAnsi"/>
        </w:rPr>
        <w:t>,</w:t>
      </w:r>
    </w:p>
    <w:p w:rsidR="00290FD1" w:rsidRPr="001D200B" w:rsidRDefault="004C02AB" w:rsidP="00F21741">
      <w:pPr>
        <w:pStyle w:val="Punktatory1"/>
        <w:rPr>
          <w:rStyle w:val="FontStyle11"/>
          <w:rFonts w:asciiTheme="minorHAnsi" w:hAnsiTheme="minorHAnsi" w:cstheme="minorHAnsi"/>
        </w:rPr>
      </w:pPr>
      <w:r w:rsidRPr="001D200B">
        <w:rPr>
          <w:rStyle w:val="FontStyle11"/>
          <w:rFonts w:asciiTheme="minorHAnsi" w:hAnsiTheme="minorHAnsi" w:cstheme="minorHAnsi"/>
        </w:rPr>
        <w:t>rozproszenia sieci na osiedlu Północ i Południe (domki jednorodzinne) przy małej gęstości cieplnej tego terenu;</w:t>
      </w:r>
    </w:p>
    <w:p w:rsidR="004C02AB" w:rsidRPr="001D200B" w:rsidRDefault="00712899" w:rsidP="00F21741">
      <w:pPr>
        <w:pStyle w:val="Punktatory1"/>
      </w:pPr>
      <w:r w:rsidRPr="001D200B">
        <w:t>znacznej długości sieci ciepłowniczych wysokich i niskich parametrów w stosunku do zapotrzebowania na ciepło</w:t>
      </w:r>
      <w:r w:rsidR="00A2275D" w:rsidRPr="001D200B">
        <w:t xml:space="preserve"> </w:t>
      </w:r>
      <w:r w:rsidR="000B2BF7" w:rsidRPr="001D200B">
        <w:t xml:space="preserve">obsługiwanego </w:t>
      </w:r>
      <w:r w:rsidR="00A2275D" w:rsidRPr="001D200B">
        <w:t>obszaru.</w:t>
      </w:r>
      <w:r w:rsidRPr="001D200B">
        <w:t xml:space="preserve"> </w:t>
      </w:r>
    </w:p>
    <w:p w:rsidR="00A2275D" w:rsidRPr="001D200B" w:rsidRDefault="00A2275D" w:rsidP="00AD731C">
      <w:pPr>
        <w:rPr>
          <w:rStyle w:val="FontStyle11"/>
          <w:rFonts w:asciiTheme="minorHAnsi" w:hAnsiTheme="minorHAnsi" w:cstheme="minorHAnsi"/>
        </w:rPr>
      </w:pPr>
      <w:r w:rsidRPr="001D200B">
        <w:rPr>
          <w:rStyle w:val="FontStyle11"/>
          <w:rFonts w:asciiTheme="minorHAnsi" w:hAnsiTheme="minorHAnsi" w:cstheme="minorHAnsi"/>
        </w:rPr>
        <w:t>Pozytywną cech</w:t>
      </w:r>
      <w:r w:rsidR="00AD731C" w:rsidRPr="001D200B">
        <w:rPr>
          <w:rStyle w:val="FontStyle11"/>
          <w:rFonts w:asciiTheme="minorHAnsi" w:hAnsiTheme="minorHAnsi" w:cstheme="minorHAnsi"/>
        </w:rPr>
        <w:t xml:space="preserve">ą systemu jest przede wszystkim </w:t>
      </w:r>
      <w:r w:rsidRPr="001D200B">
        <w:rPr>
          <w:rStyle w:val="FontStyle11"/>
          <w:rFonts w:asciiTheme="minorHAnsi" w:hAnsiTheme="minorHAnsi" w:cstheme="minorHAnsi"/>
        </w:rPr>
        <w:t>nadwyżka mocy cieplnej po stronie źródła ciepła oraz</w:t>
      </w:r>
      <w:r w:rsidR="00507E31" w:rsidRPr="001D200B">
        <w:rPr>
          <w:rStyle w:val="FontStyle11"/>
          <w:rFonts w:asciiTheme="minorHAnsi" w:hAnsiTheme="minorHAnsi" w:cstheme="minorHAnsi"/>
        </w:rPr>
        <w:t xml:space="preserve"> znaczna przepustowość magistrali tranzytowej stwarzająca możliwość podłączenia nowych odbiorców w uzasadnionej techniczn</w:t>
      </w:r>
      <w:r w:rsidR="00CC5C21" w:rsidRPr="001D200B">
        <w:rPr>
          <w:rStyle w:val="FontStyle11"/>
          <w:rFonts w:asciiTheme="minorHAnsi" w:hAnsiTheme="minorHAnsi" w:cstheme="minorHAnsi"/>
        </w:rPr>
        <w:t>o -</w:t>
      </w:r>
      <w:r w:rsidR="00507E31" w:rsidRPr="001D200B">
        <w:rPr>
          <w:rStyle w:val="FontStyle11"/>
          <w:rFonts w:asciiTheme="minorHAnsi" w:hAnsiTheme="minorHAnsi" w:cstheme="minorHAnsi"/>
        </w:rPr>
        <w:t xml:space="preserve"> ekonomiczn</w:t>
      </w:r>
      <w:r w:rsidR="008A132A" w:rsidRPr="001D200B">
        <w:rPr>
          <w:rStyle w:val="FontStyle11"/>
          <w:rFonts w:asciiTheme="minorHAnsi" w:hAnsiTheme="minorHAnsi" w:cstheme="minorHAnsi"/>
        </w:rPr>
        <w:t>ie odległości od sieci cieplnej.</w:t>
      </w:r>
    </w:p>
    <w:p w:rsidR="00026D49" w:rsidRPr="001D200B" w:rsidRDefault="00026D49" w:rsidP="00026D49">
      <w:pPr>
        <w:rPr>
          <w:rFonts w:cstheme="minorHAnsi"/>
          <w:u w:val="single"/>
        </w:rPr>
      </w:pPr>
      <w:r w:rsidRPr="001D200B">
        <w:rPr>
          <w:rFonts w:cstheme="minorHAnsi"/>
          <w:u w:val="single"/>
        </w:rPr>
        <w:t>Węzły cieplne</w:t>
      </w:r>
      <w:r w:rsidR="008A132A" w:rsidRPr="001D200B">
        <w:rPr>
          <w:rFonts w:cstheme="minorHAnsi"/>
          <w:u w:val="single"/>
        </w:rPr>
        <w:t>:</w:t>
      </w:r>
    </w:p>
    <w:p w:rsidR="00290FD1" w:rsidRPr="001D200B" w:rsidRDefault="00CC5C21" w:rsidP="00290FD1">
      <w:pPr>
        <w:rPr>
          <w:rFonts w:cstheme="minorHAnsi"/>
        </w:rPr>
      </w:pPr>
      <w:r w:rsidRPr="001D200B">
        <w:rPr>
          <w:rFonts w:cstheme="minorHAnsi"/>
        </w:rPr>
        <w:t xml:space="preserve">Elementem końcowym systemu ciepłowniczego jest węzeł cieplny za pośrednictwem, którego energia cieplna trafia do odbiorców końcowych. </w:t>
      </w:r>
      <w:r w:rsidR="008E40EA" w:rsidRPr="001D200B">
        <w:rPr>
          <w:rFonts w:cstheme="minorHAnsi"/>
        </w:rPr>
        <w:t xml:space="preserve">Łącznie w systemie ciepłowniczym miasta istnieje </w:t>
      </w:r>
      <w:r w:rsidR="004E665D" w:rsidRPr="001D200B">
        <w:rPr>
          <w:rFonts w:cstheme="minorHAnsi"/>
        </w:rPr>
        <w:t>527</w:t>
      </w:r>
      <w:r w:rsidR="008E40EA" w:rsidRPr="001D200B">
        <w:rPr>
          <w:rFonts w:cstheme="minorHAnsi"/>
        </w:rPr>
        <w:t xml:space="preserve"> węzłów ciepłowniczych, w tym </w:t>
      </w:r>
      <w:r w:rsidR="004E665D" w:rsidRPr="001D200B">
        <w:rPr>
          <w:rFonts w:cstheme="minorHAnsi"/>
        </w:rPr>
        <w:t>522</w:t>
      </w:r>
      <w:r w:rsidR="008E40EA" w:rsidRPr="001D200B">
        <w:rPr>
          <w:rFonts w:cstheme="minorHAnsi"/>
        </w:rPr>
        <w:t xml:space="preserve"> węzł</w:t>
      </w:r>
      <w:r w:rsidR="004E665D" w:rsidRPr="001D200B">
        <w:rPr>
          <w:rFonts w:cstheme="minorHAnsi"/>
        </w:rPr>
        <w:t>y</w:t>
      </w:r>
      <w:r w:rsidR="008E40EA" w:rsidRPr="001D200B">
        <w:rPr>
          <w:rFonts w:cstheme="minorHAnsi"/>
        </w:rPr>
        <w:t xml:space="preserve"> indywidualn</w:t>
      </w:r>
      <w:r w:rsidR="004E665D" w:rsidRPr="001D200B">
        <w:rPr>
          <w:rFonts w:cstheme="minorHAnsi"/>
        </w:rPr>
        <w:t>e</w:t>
      </w:r>
      <w:r w:rsidR="008E40EA" w:rsidRPr="001D200B">
        <w:rPr>
          <w:rFonts w:cstheme="minorHAnsi"/>
        </w:rPr>
        <w:t xml:space="preserve"> oraz 5 węzłów grupowych</w:t>
      </w:r>
      <w:r w:rsidR="008A6F21" w:rsidRPr="001D200B">
        <w:rPr>
          <w:rFonts w:cstheme="minorHAnsi"/>
        </w:rPr>
        <w:t>, zasi</w:t>
      </w:r>
      <w:r w:rsidR="00E4342B" w:rsidRPr="001D200B">
        <w:rPr>
          <w:rFonts w:cstheme="minorHAnsi"/>
        </w:rPr>
        <w:t>lających 444 odbiorców.</w:t>
      </w:r>
    </w:p>
    <w:p w:rsidR="00290FD1" w:rsidRPr="001D200B" w:rsidRDefault="008E40EA" w:rsidP="008E40EA">
      <w:pPr>
        <w:pStyle w:val="Tytu"/>
        <w:rPr>
          <w:rStyle w:val="FontStyle11"/>
          <w:rFonts w:asciiTheme="minorHAnsi" w:hAnsiTheme="minorHAnsi" w:cstheme="minorHAnsi"/>
          <w:b/>
        </w:rPr>
      </w:pPr>
      <w:bookmarkStart w:id="38" w:name="_Toc39476563"/>
      <w:r w:rsidRPr="001D200B">
        <w:rPr>
          <w:rFonts w:cstheme="minorHAnsi"/>
          <w:b/>
        </w:rPr>
        <w:t xml:space="preserve">Tabela </w:t>
      </w:r>
      <w:r w:rsidR="005B7234" w:rsidRPr="001D200B">
        <w:rPr>
          <w:rFonts w:cstheme="minorHAnsi"/>
          <w:b/>
        </w:rPr>
        <w:fldChar w:fldCharType="begin"/>
      </w:r>
      <w:r w:rsidR="00F200FE" w:rsidRPr="001D200B">
        <w:rPr>
          <w:rFonts w:cstheme="minorHAnsi"/>
          <w:b/>
        </w:rPr>
        <w:instrText xml:space="preserve"> SEQ Tabela \* ARABIC </w:instrText>
      </w:r>
      <w:r w:rsidR="005B7234" w:rsidRPr="001D200B">
        <w:rPr>
          <w:rFonts w:cstheme="minorHAnsi"/>
          <w:b/>
        </w:rPr>
        <w:fldChar w:fldCharType="separate"/>
      </w:r>
      <w:r w:rsidR="00975320" w:rsidRPr="001D200B">
        <w:rPr>
          <w:rFonts w:cstheme="minorHAnsi"/>
          <w:b/>
          <w:noProof/>
        </w:rPr>
        <w:t>11</w:t>
      </w:r>
      <w:r w:rsidR="005B7234" w:rsidRPr="001D200B">
        <w:rPr>
          <w:rFonts w:cstheme="minorHAnsi"/>
          <w:b/>
        </w:rPr>
        <w:fldChar w:fldCharType="end"/>
      </w:r>
      <w:r w:rsidRPr="001D200B">
        <w:rPr>
          <w:rFonts w:cstheme="minorHAnsi"/>
          <w:b/>
        </w:rPr>
        <w:t>. Liczba i typ węzł</w:t>
      </w:r>
      <w:r w:rsidR="00AD731C" w:rsidRPr="001D200B">
        <w:rPr>
          <w:rFonts w:cstheme="minorHAnsi"/>
          <w:b/>
        </w:rPr>
        <w:t>ów</w:t>
      </w:r>
      <w:r w:rsidRPr="001D200B">
        <w:rPr>
          <w:rFonts w:cstheme="minorHAnsi"/>
          <w:b/>
        </w:rPr>
        <w:t xml:space="preserve"> ciepłownicz</w:t>
      </w:r>
      <w:r w:rsidR="00AD731C" w:rsidRPr="001D200B">
        <w:rPr>
          <w:rFonts w:cstheme="minorHAnsi"/>
          <w:b/>
        </w:rPr>
        <w:t>ych</w:t>
      </w:r>
      <w:bookmarkEnd w:id="38"/>
    </w:p>
    <w:tbl>
      <w:tblPr>
        <w:tblStyle w:val="Tabela-Siatka"/>
        <w:tblW w:w="9322" w:type="dxa"/>
        <w:tblLook w:val="04A0"/>
      </w:tblPr>
      <w:tblGrid>
        <w:gridCol w:w="6204"/>
        <w:gridCol w:w="3118"/>
      </w:tblGrid>
      <w:tr w:rsidR="008A6F21" w:rsidRPr="001D200B" w:rsidTr="00034BA1">
        <w:trPr>
          <w:trHeight w:val="132"/>
        </w:trPr>
        <w:tc>
          <w:tcPr>
            <w:tcW w:w="9322" w:type="dxa"/>
            <w:gridSpan w:val="2"/>
            <w:shd w:val="clear" w:color="auto" w:fill="F2F2F2" w:themeFill="background1" w:themeFillShade="F2"/>
          </w:tcPr>
          <w:p w:rsidR="008A6F21" w:rsidRPr="001D200B" w:rsidRDefault="008A6F21" w:rsidP="00AD731C">
            <w:pPr>
              <w:pStyle w:val="Ewa"/>
              <w:spacing w:before="0" w:after="0" w:line="240" w:lineRule="auto"/>
              <w:ind w:firstLine="0"/>
              <w:jc w:val="center"/>
              <w:rPr>
                <w:rFonts w:cstheme="minorHAnsi"/>
              </w:rPr>
            </w:pPr>
            <w:r w:rsidRPr="001D200B">
              <w:rPr>
                <w:rFonts w:cstheme="minorHAnsi"/>
              </w:rPr>
              <w:t>Węzły cieplne</w:t>
            </w:r>
          </w:p>
        </w:tc>
      </w:tr>
      <w:tr w:rsidR="008A6F21" w:rsidRPr="001D200B" w:rsidTr="008A6F21">
        <w:trPr>
          <w:trHeight w:val="131"/>
        </w:trPr>
        <w:tc>
          <w:tcPr>
            <w:tcW w:w="6204" w:type="dxa"/>
          </w:tcPr>
          <w:p w:rsidR="008A6F21" w:rsidRPr="001D200B" w:rsidRDefault="008A6F21" w:rsidP="00AD731C">
            <w:pPr>
              <w:pStyle w:val="Ewa"/>
              <w:spacing w:before="0" w:after="0" w:line="240" w:lineRule="auto"/>
              <w:ind w:firstLine="0"/>
              <w:jc w:val="center"/>
              <w:rPr>
                <w:rFonts w:cstheme="minorHAnsi"/>
                <w:sz w:val="22"/>
                <w:szCs w:val="22"/>
              </w:rPr>
            </w:pPr>
            <w:r w:rsidRPr="001D200B">
              <w:rPr>
                <w:rFonts w:cstheme="minorHAnsi"/>
                <w:sz w:val="22"/>
                <w:szCs w:val="22"/>
              </w:rPr>
              <w:t>Typ</w:t>
            </w:r>
          </w:p>
        </w:tc>
        <w:tc>
          <w:tcPr>
            <w:tcW w:w="3118" w:type="dxa"/>
          </w:tcPr>
          <w:p w:rsidR="008A6F21" w:rsidRPr="001D200B" w:rsidRDefault="008A6F21" w:rsidP="00AD731C">
            <w:pPr>
              <w:pStyle w:val="Ewa"/>
              <w:spacing w:before="0" w:after="0" w:line="240" w:lineRule="auto"/>
              <w:ind w:firstLine="0"/>
              <w:jc w:val="center"/>
              <w:rPr>
                <w:rFonts w:cstheme="minorHAnsi"/>
                <w:sz w:val="22"/>
                <w:szCs w:val="22"/>
              </w:rPr>
            </w:pPr>
            <w:r w:rsidRPr="001D200B">
              <w:rPr>
                <w:rFonts w:cstheme="minorHAnsi"/>
                <w:sz w:val="22"/>
                <w:szCs w:val="22"/>
              </w:rPr>
              <w:t>Liczba</w:t>
            </w:r>
          </w:p>
        </w:tc>
      </w:tr>
      <w:tr w:rsidR="008A6F21" w:rsidRPr="001D200B" w:rsidTr="008A6F21">
        <w:tc>
          <w:tcPr>
            <w:tcW w:w="6204" w:type="dxa"/>
          </w:tcPr>
          <w:p w:rsidR="008A6F21" w:rsidRPr="001D200B" w:rsidRDefault="008A6F21" w:rsidP="00AD731C">
            <w:pPr>
              <w:pStyle w:val="Ewa"/>
              <w:spacing w:before="0" w:after="0" w:line="240" w:lineRule="auto"/>
              <w:ind w:firstLine="0"/>
              <w:rPr>
                <w:rFonts w:cstheme="minorHAnsi"/>
                <w:sz w:val="22"/>
                <w:szCs w:val="22"/>
              </w:rPr>
            </w:pPr>
            <w:r w:rsidRPr="001D200B">
              <w:rPr>
                <w:rFonts w:cstheme="minorHAnsi"/>
                <w:sz w:val="22"/>
                <w:szCs w:val="22"/>
              </w:rPr>
              <w:t>Węzły indywidualne (c.o., c.w.u.)</w:t>
            </w:r>
          </w:p>
        </w:tc>
        <w:tc>
          <w:tcPr>
            <w:tcW w:w="3118" w:type="dxa"/>
          </w:tcPr>
          <w:p w:rsidR="008A6F21" w:rsidRPr="001D200B" w:rsidRDefault="004E665D" w:rsidP="00AD731C">
            <w:pPr>
              <w:pStyle w:val="Ewa"/>
              <w:spacing w:before="0" w:after="0" w:line="240" w:lineRule="auto"/>
              <w:ind w:firstLine="0"/>
              <w:jc w:val="center"/>
              <w:rPr>
                <w:rFonts w:cstheme="minorHAnsi"/>
                <w:sz w:val="22"/>
                <w:szCs w:val="22"/>
              </w:rPr>
            </w:pPr>
            <w:r w:rsidRPr="001D200B">
              <w:rPr>
                <w:rFonts w:cstheme="minorHAnsi"/>
                <w:sz w:val="22"/>
                <w:szCs w:val="22"/>
              </w:rPr>
              <w:t>522</w:t>
            </w:r>
          </w:p>
        </w:tc>
      </w:tr>
      <w:tr w:rsidR="008A6F21" w:rsidRPr="001D200B" w:rsidTr="008A6F21">
        <w:tc>
          <w:tcPr>
            <w:tcW w:w="6204" w:type="dxa"/>
          </w:tcPr>
          <w:p w:rsidR="008A6F21" w:rsidRPr="001D200B" w:rsidRDefault="008A6F21" w:rsidP="00AD731C">
            <w:pPr>
              <w:pStyle w:val="Ewa"/>
              <w:spacing w:before="0" w:after="0" w:line="240" w:lineRule="auto"/>
              <w:ind w:firstLine="0"/>
              <w:rPr>
                <w:rFonts w:cstheme="minorHAnsi"/>
                <w:sz w:val="22"/>
                <w:szCs w:val="22"/>
              </w:rPr>
            </w:pPr>
            <w:r w:rsidRPr="001D200B">
              <w:rPr>
                <w:rFonts w:cstheme="minorHAnsi"/>
                <w:sz w:val="22"/>
                <w:szCs w:val="22"/>
              </w:rPr>
              <w:t xml:space="preserve">Węzły </w:t>
            </w:r>
            <w:r w:rsidR="007C4593" w:rsidRPr="001D200B">
              <w:rPr>
                <w:rFonts w:cstheme="minorHAnsi"/>
                <w:sz w:val="22"/>
                <w:szCs w:val="22"/>
              </w:rPr>
              <w:t>grupowe</w:t>
            </w:r>
            <w:r w:rsidRPr="001D200B">
              <w:rPr>
                <w:rFonts w:cstheme="minorHAnsi"/>
                <w:sz w:val="22"/>
                <w:szCs w:val="22"/>
              </w:rPr>
              <w:t xml:space="preserve"> dwufunkcyjne (c.o., c.w.u.)</w:t>
            </w:r>
          </w:p>
        </w:tc>
        <w:tc>
          <w:tcPr>
            <w:tcW w:w="3118" w:type="dxa"/>
          </w:tcPr>
          <w:p w:rsidR="008A6F21" w:rsidRPr="001D200B" w:rsidRDefault="008A6F21" w:rsidP="00AD731C">
            <w:pPr>
              <w:pStyle w:val="Ewa"/>
              <w:spacing w:before="0" w:after="0" w:line="240" w:lineRule="auto"/>
              <w:ind w:firstLine="0"/>
              <w:jc w:val="center"/>
              <w:rPr>
                <w:rFonts w:cstheme="minorHAnsi"/>
                <w:sz w:val="22"/>
                <w:szCs w:val="22"/>
              </w:rPr>
            </w:pPr>
            <w:r w:rsidRPr="001D200B">
              <w:rPr>
                <w:rFonts w:cstheme="minorHAnsi"/>
                <w:sz w:val="22"/>
                <w:szCs w:val="22"/>
              </w:rPr>
              <w:t>3</w:t>
            </w:r>
          </w:p>
        </w:tc>
      </w:tr>
      <w:tr w:rsidR="008A6F21" w:rsidRPr="001D200B" w:rsidTr="008A6F21">
        <w:tc>
          <w:tcPr>
            <w:tcW w:w="6204" w:type="dxa"/>
          </w:tcPr>
          <w:p w:rsidR="008A6F21" w:rsidRPr="001D200B" w:rsidRDefault="008A6F21" w:rsidP="00AD731C">
            <w:pPr>
              <w:pStyle w:val="Ewa"/>
              <w:spacing w:before="0" w:after="0" w:line="240" w:lineRule="auto"/>
              <w:ind w:firstLine="0"/>
              <w:rPr>
                <w:rFonts w:cstheme="minorHAnsi"/>
                <w:sz w:val="22"/>
                <w:szCs w:val="22"/>
              </w:rPr>
            </w:pPr>
            <w:r w:rsidRPr="001D200B">
              <w:rPr>
                <w:rFonts w:cstheme="minorHAnsi"/>
                <w:sz w:val="22"/>
                <w:szCs w:val="22"/>
              </w:rPr>
              <w:t xml:space="preserve">Węzły </w:t>
            </w:r>
            <w:r w:rsidR="007C4593" w:rsidRPr="001D200B">
              <w:rPr>
                <w:rFonts w:cstheme="minorHAnsi"/>
                <w:sz w:val="22"/>
                <w:szCs w:val="22"/>
              </w:rPr>
              <w:t>grupowe</w:t>
            </w:r>
            <w:r w:rsidRPr="001D200B">
              <w:rPr>
                <w:rFonts w:cstheme="minorHAnsi"/>
                <w:sz w:val="22"/>
                <w:szCs w:val="22"/>
              </w:rPr>
              <w:t xml:space="preserve"> jednofunkcyjne (c.o. + c.w.u.)</w:t>
            </w:r>
          </w:p>
        </w:tc>
        <w:tc>
          <w:tcPr>
            <w:tcW w:w="3118" w:type="dxa"/>
          </w:tcPr>
          <w:p w:rsidR="008A6F21" w:rsidRPr="001D200B" w:rsidRDefault="008A6F21" w:rsidP="00AD731C">
            <w:pPr>
              <w:pStyle w:val="Ewa"/>
              <w:spacing w:before="0" w:after="0" w:line="240" w:lineRule="auto"/>
              <w:ind w:firstLine="0"/>
              <w:jc w:val="center"/>
              <w:rPr>
                <w:rFonts w:cstheme="minorHAnsi"/>
                <w:sz w:val="22"/>
                <w:szCs w:val="22"/>
              </w:rPr>
            </w:pPr>
            <w:r w:rsidRPr="001D200B">
              <w:rPr>
                <w:rFonts w:cstheme="minorHAnsi"/>
                <w:sz w:val="22"/>
                <w:szCs w:val="22"/>
              </w:rPr>
              <w:t>2</w:t>
            </w:r>
          </w:p>
        </w:tc>
      </w:tr>
    </w:tbl>
    <w:p w:rsidR="008E40EA" w:rsidRPr="001D200B" w:rsidRDefault="008A6F21" w:rsidP="004E665D">
      <w:pPr>
        <w:pStyle w:val="podtabelk"/>
      </w:pPr>
      <w:r w:rsidRPr="001D200B">
        <w:t>* dane</w:t>
      </w:r>
      <w:r w:rsidR="001037E8" w:rsidRPr="001D200B">
        <w:t xml:space="preserve"> PGK w Połańcu sp. z o.o.</w:t>
      </w:r>
      <w:r w:rsidRPr="001D200B">
        <w:t>.</w:t>
      </w:r>
    </w:p>
    <w:p w:rsidR="001F452A" w:rsidRPr="001D200B" w:rsidRDefault="007C4593" w:rsidP="008E40EA">
      <w:pPr>
        <w:pStyle w:val="Ewa"/>
        <w:ind w:firstLine="0"/>
        <w:rPr>
          <w:rFonts w:cstheme="minorHAnsi"/>
        </w:rPr>
      </w:pPr>
      <w:r w:rsidRPr="001D200B">
        <w:rPr>
          <w:rFonts w:cstheme="minorHAnsi"/>
        </w:rPr>
        <w:t>Węzły grupowe zlokalizowane są w rejonie zabudowy mieszkaniowej wielorodzinnej, są to węzły o łącznej mocy zainstalowanej 13,7 MW: W1 - 3,5MW; W2 – 3,0MW; W3 – 2,2MW; W4 – 2,5MW; W5 – 2,5MW.</w:t>
      </w:r>
      <w:r w:rsidR="001F452A" w:rsidRPr="001D200B">
        <w:rPr>
          <w:rFonts w:cstheme="minorHAnsi"/>
        </w:rPr>
        <w:t xml:space="preserve"> Moc cieplna dostarczana za pomocą węzłów grupowych to ponad połowa mocy cieplnej zamówionej na obszarze miasta – zasilanie obejmuje około </w:t>
      </w:r>
      <w:r w:rsidR="00CF6E58" w:rsidRPr="001D200B">
        <w:rPr>
          <w:rFonts w:cstheme="minorHAnsi"/>
        </w:rPr>
        <w:t>200</w:t>
      </w:r>
      <w:r w:rsidR="001F452A" w:rsidRPr="001D200B">
        <w:rPr>
          <w:rFonts w:cstheme="minorHAnsi"/>
        </w:rPr>
        <w:t xml:space="preserve"> budynków. </w:t>
      </w:r>
    </w:p>
    <w:p w:rsidR="00100130" w:rsidRPr="001D200B" w:rsidRDefault="001F452A" w:rsidP="008E40EA">
      <w:pPr>
        <w:pStyle w:val="Ewa"/>
        <w:ind w:firstLine="0"/>
        <w:rPr>
          <w:rFonts w:cstheme="minorHAnsi"/>
        </w:rPr>
      </w:pPr>
      <w:r w:rsidRPr="001D200B">
        <w:rPr>
          <w:rFonts w:cstheme="minorHAnsi"/>
        </w:rPr>
        <w:lastRenderedPageBreak/>
        <w:t xml:space="preserve">Pozostali odbiorcy </w:t>
      </w:r>
      <w:r w:rsidR="00744DB9" w:rsidRPr="001D200B">
        <w:rPr>
          <w:rFonts w:cstheme="minorHAnsi"/>
        </w:rPr>
        <w:t xml:space="preserve">obsługiwani </w:t>
      </w:r>
      <w:r w:rsidRPr="001D200B">
        <w:rPr>
          <w:rFonts w:cstheme="minorHAnsi"/>
        </w:rPr>
        <w:t xml:space="preserve">są bezpośrednio z sieci za pośrednictwem węzłów indywidualnych </w:t>
      </w:r>
      <w:r w:rsidR="00744DB9" w:rsidRPr="001D200B">
        <w:rPr>
          <w:rFonts w:cstheme="minorHAnsi"/>
        </w:rPr>
        <w:t xml:space="preserve">- </w:t>
      </w:r>
      <w:r w:rsidRPr="001D200B">
        <w:rPr>
          <w:rFonts w:cstheme="minorHAnsi"/>
        </w:rPr>
        <w:t>łączn</w:t>
      </w:r>
      <w:r w:rsidR="00744DB9" w:rsidRPr="001D200B">
        <w:rPr>
          <w:rFonts w:cstheme="minorHAnsi"/>
        </w:rPr>
        <w:t>a</w:t>
      </w:r>
      <w:r w:rsidRPr="001D200B">
        <w:rPr>
          <w:rFonts w:cstheme="minorHAnsi"/>
        </w:rPr>
        <w:t xml:space="preserve"> zamówion</w:t>
      </w:r>
      <w:r w:rsidR="00744DB9" w:rsidRPr="001D200B">
        <w:rPr>
          <w:rFonts w:cstheme="minorHAnsi"/>
        </w:rPr>
        <w:t>a</w:t>
      </w:r>
      <w:r w:rsidRPr="001D200B">
        <w:rPr>
          <w:rFonts w:cstheme="minorHAnsi"/>
        </w:rPr>
        <w:t xml:space="preserve"> mocy ciepln</w:t>
      </w:r>
      <w:r w:rsidR="00744DB9" w:rsidRPr="001D200B">
        <w:rPr>
          <w:rFonts w:cstheme="minorHAnsi"/>
        </w:rPr>
        <w:t>a dla tej grupy odbiorców kształtuje się</w:t>
      </w:r>
      <w:r w:rsidRPr="001D200B">
        <w:rPr>
          <w:rFonts w:cstheme="minorHAnsi"/>
        </w:rPr>
        <w:t xml:space="preserve"> na poziomie około </w:t>
      </w:r>
      <w:r w:rsidR="00CF6E58" w:rsidRPr="001D200B">
        <w:rPr>
          <w:rFonts w:cstheme="minorHAnsi"/>
        </w:rPr>
        <w:t>9,31</w:t>
      </w:r>
      <w:r w:rsidRPr="001D200B">
        <w:rPr>
          <w:rFonts w:cstheme="minorHAnsi"/>
        </w:rPr>
        <w:t xml:space="preserve"> MW, w tym:</w:t>
      </w:r>
    </w:p>
    <w:p w:rsidR="001F452A" w:rsidRPr="001D200B" w:rsidRDefault="001F452A" w:rsidP="00F006D6">
      <w:pPr>
        <w:pStyle w:val="Akapitzlist"/>
      </w:pPr>
      <w:r w:rsidRPr="001D200B">
        <w:t xml:space="preserve">budownictwo jednorodzinne – </w:t>
      </w:r>
      <w:r w:rsidR="00CF6E58" w:rsidRPr="001D200B">
        <w:t>5,88</w:t>
      </w:r>
      <w:r w:rsidRPr="001D200B">
        <w:t>MW;</w:t>
      </w:r>
    </w:p>
    <w:p w:rsidR="001F452A" w:rsidRPr="001D200B" w:rsidRDefault="001F452A" w:rsidP="00F006D6">
      <w:pPr>
        <w:pStyle w:val="Akapitzlist"/>
      </w:pPr>
      <w:r w:rsidRPr="001D200B">
        <w:t xml:space="preserve">instytucje użyteczności publicznej i inne – </w:t>
      </w:r>
      <w:r w:rsidR="00CF6E58" w:rsidRPr="001D200B">
        <w:t>3,43</w:t>
      </w:r>
      <w:r w:rsidRPr="001D200B">
        <w:t>MW.</w:t>
      </w:r>
    </w:p>
    <w:p w:rsidR="008A6F21" w:rsidRPr="001D200B" w:rsidRDefault="00DB70AC" w:rsidP="00AD731C">
      <w:pPr>
        <w:rPr>
          <w:rFonts w:cstheme="minorHAnsi"/>
        </w:rPr>
      </w:pPr>
      <w:r w:rsidRPr="001D200B">
        <w:rPr>
          <w:rFonts w:cstheme="minorHAnsi"/>
        </w:rPr>
        <w:t>Węzły indywidualne w domach jednorodzinnych zlokalizowane są głównie na osiedlach Północ i Południe oraz przy ul. Żapniowskiej.</w:t>
      </w:r>
      <w:r w:rsidR="00AD731C" w:rsidRPr="001D200B">
        <w:rPr>
          <w:rFonts w:cstheme="minorHAnsi"/>
        </w:rPr>
        <w:t xml:space="preserve"> </w:t>
      </w:r>
      <w:r w:rsidR="00E4342B" w:rsidRPr="001D200B">
        <w:rPr>
          <w:rFonts w:cstheme="minorHAnsi"/>
        </w:rPr>
        <w:t xml:space="preserve">W węzłach zainstalowane są wymienniki typu JAD lub wymienniki płytowe. </w:t>
      </w:r>
      <w:r w:rsidR="00744DB9" w:rsidRPr="001D200B">
        <w:rPr>
          <w:rFonts w:cstheme="minorHAnsi"/>
        </w:rPr>
        <w:t xml:space="preserve">Wszystkie </w:t>
      </w:r>
      <w:r w:rsidRPr="001D200B">
        <w:rPr>
          <w:rFonts w:cstheme="minorHAnsi"/>
        </w:rPr>
        <w:t xml:space="preserve">węzły są opomiarowane. </w:t>
      </w:r>
    </w:p>
    <w:p w:rsidR="008A6F21" w:rsidRPr="001D200B" w:rsidRDefault="00DC37BA" w:rsidP="008E40EA">
      <w:pPr>
        <w:pStyle w:val="Ewa"/>
        <w:ind w:firstLine="0"/>
        <w:rPr>
          <w:rFonts w:cstheme="minorHAnsi"/>
        </w:rPr>
      </w:pPr>
      <w:r w:rsidRPr="001D200B">
        <w:rPr>
          <w:rFonts w:cstheme="minorHAnsi"/>
        </w:rPr>
        <w:t xml:space="preserve">Instalacje odbiorcze c.o. i c.w.u. należą do odbiorców i są przez nich eksploatowane. </w:t>
      </w:r>
    </w:p>
    <w:p w:rsidR="008A6F21" w:rsidRPr="001D200B" w:rsidRDefault="00465CBD" w:rsidP="008E40EA">
      <w:pPr>
        <w:pStyle w:val="Ewa"/>
        <w:ind w:firstLine="0"/>
        <w:rPr>
          <w:rFonts w:cstheme="minorHAnsi"/>
        </w:rPr>
      </w:pPr>
      <w:r w:rsidRPr="001D200B">
        <w:rPr>
          <w:rFonts w:cstheme="minorHAnsi"/>
          <w:szCs w:val="24"/>
        </w:rPr>
        <w:t>Plan sieci cieplnej na terenie gminy Połaniec pokazano w załączniku graficznym.</w:t>
      </w:r>
    </w:p>
    <w:p w:rsidR="009F3B7E" w:rsidRPr="001D200B" w:rsidRDefault="009F3B7E" w:rsidP="009F3B7E">
      <w:pPr>
        <w:rPr>
          <w:b/>
          <w:u w:val="single"/>
        </w:rPr>
      </w:pPr>
      <w:r w:rsidRPr="001D200B">
        <w:rPr>
          <w:b/>
          <w:u w:val="single"/>
        </w:rPr>
        <w:t>Odbiorcy i zapotrzebowanie ciepła sieciowego na terenie gminy Połaniec</w:t>
      </w:r>
    </w:p>
    <w:p w:rsidR="00E22CE1" w:rsidRPr="001D200B" w:rsidRDefault="003979C9" w:rsidP="00A96F55">
      <w:pPr>
        <w:rPr>
          <w:rFonts w:cstheme="minorHAnsi"/>
        </w:rPr>
      </w:pPr>
      <w:r w:rsidRPr="001D200B">
        <w:rPr>
          <w:rFonts w:cstheme="minorHAnsi"/>
        </w:rPr>
        <w:t xml:space="preserve">Odbiorcy energii z </w:t>
      </w:r>
      <w:r w:rsidR="00E22CE1" w:rsidRPr="001D200B">
        <w:rPr>
          <w:rFonts w:cstheme="minorHAnsi"/>
        </w:rPr>
        <w:t>sieci ciepłowniczej:</w:t>
      </w:r>
    </w:p>
    <w:p w:rsidR="00E22CE1" w:rsidRPr="001D200B" w:rsidRDefault="00E22CE1" w:rsidP="00885DBC">
      <w:pPr>
        <w:pStyle w:val="Akapitzlist"/>
        <w:ind w:left="284"/>
      </w:pPr>
      <w:r w:rsidRPr="001D200B">
        <w:t xml:space="preserve">zabudowa mieszkaniowa jednorodzinna </w:t>
      </w:r>
      <w:r w:rsidR="00394458" w:rsidRPr="001D200B">
        <w:t>–</w:t>
      </w:r>
      <w:r w:rsidRPr="001D200B">
        <w:t xml:space="preserve"> </w:t>
      </w:r>
      <w:r w:rsidR="00BF233F" w:rsidRPr="001D200B">
        <w:t>450</w:t>
      </w:r>
      <w:r w:rsidR="00394458" w:rsidRPr="001D200B">
        <w:t xml:space="preserve"> odbiorców</w:t>
      </w:r>
      <w:r w:rsidR="00354A7A" w:rsidRPr="001D200B">
        <w:t xml:space="preserve"> </w:t>
      </w:r>
    </w:p>
    <w:p w:rsidR="00394458" w:rsidRPr="001D200B" w:rsidRDefault="00394458" w:rsidP="00885DBC">
      <w:pPr>
        <w:pStyle w:val="Akapitzlist"/>
        <w:ind w:left="284"/>
      </w:pPr>
      <w:r w:rsidRPr="001D200B">
        <w:t>budownictwo mieszkaniowe wielorodzinne – SM „Połaniec”</w:t>
      </w:r>
      <w:r w:rsidR="00354A7A" w:rsidRPr="001D200B">
        <w:t xml:space="preserve"> </w:t>
      </w:r>
      <w:r w:rsidR="00885DBC" w:rsidRPr="001D200B">
        <w:t>– 444 odbiorców (1803 mieszkania)</w:t>
      </w:r>
    </w:p>
    <w:p w:rsidR="00394458" w:rsidRPr="001D200B" w:rsidRDefault="00394458" w:rsidP="00885DBC">
      <w:pPr>
        <w:pStyle w:val="Akapitzlist"/>
        <w:ind w:left="284"/>
      </w:pPr>
      <w:r w:rsidRPr="001D200B">
        <w:t xml:space="preserve">instytucje użyteczności społecznej – </w:t>
      </w:r>
      <w:r w:rsidR="00BF233F" w:rsidRPr="001D200B">
        <w:t>25</w:t>
      </w:r>
      <w:r w:rsidRPr="001D200B">
        <w:t xml:space="preserve"> odbiorców</w:t>
      </w:r>
    </w:p>
    <w:p w:rsidR="00394458" w:rsidRPr="001D200B" w:rsidRDefault="00394458" w:rsidP="00885DBC">
      <w:pPr>
        <w:pStyle w:val="Akapitzlist"/>
        <w:ind w:left="284"/>
      </w:pPr>
      <w:r w:rsidRPr="001D200B">
        <w:t>pozostali odbiorcy – w sektorze handlu, u</w:t>
      </w:r>
      <w:r w:rsidR="00972E9E" w:rsidRPr="001D200B">
        <w:t xml:space="preserve">sług i produkcji – </w:t>
      </w:r>
      <w:r w:rsidR="00BF233F" w:rsidRPr="001D200B">
        <w:t>5</w:t>
      </w:r>
      <w:r w:rsidR="00972E9E" w:rsidRPr="001D200B">
        <w:t>2 odbiorców</w:t>
      </w:r>
    </w:p>
    <w:p w:rsidR="00394458" w:rsidRPr="001D200B" w:rsidRDefault="000A19F8" w:rsidP="00A96F55">
      <w:pPr>
        <w:rPr>
          <w:rFonts w:cstheme="minorHAnsi"/>
        </w:rPr>
      </w:pPr>
      <w:r w:rsidRPr="001D200B">
        <w:rPr>
          <w:rFonts w:cstheme="minorHAnsi"/>
        </w:rPr>
        <w:t>Największym odbiorcą ciepła w mieście jest mieszkalnictwo. System ciepłowniczy zaopatruje w energię cieplną 2</w:t>
      </w:r>
      <w:r w:rsidR="00BF233F" w:rsidRPr="001D200B">
        <w:rPr>
          <w:rFonts w:cstheme="minorHAnsi"/>
        </w:rPr>
        <w:t>253</w:t>
      </w:r>
      <w:r w:rsidRPr="001D200B">
        <w:rPr>
          <w:rFonts w:cstheme="minorHAnsi"/>
        </w:rPr>
        <w:t xml:space="preserve"> mieszka</w:t>
      </w:r>
      <w:r w:rsidR="00BF233F" w:rsidRPr="001D200B">
        <w:rPr>
          <w:rFonts w:cstheme="minorHAnsi"/>
        </w:rPr>
        <w:t>nia</w:t>
      </w:r>
      <w:r w:rsidRPr="001D200B">
        <w:rPr>
          <w:rFonts w:cstheme="minorHAnsi"/>
        </w:rPr>
        <w:t xml:space="preserve">, co </w:t>
      </w:r>
      <w:r w:rsidR="00CE335C" w:rsidRPr="001D200B">
        <w:rPr>
          <w:rFonts w:cstheme="minorHAnsi"/>
        </w:rPr>
        <w:t xml:space="preserve">stanowi </w:t>
      </w:r>
      <w:r w:rsidR="00BF233F" w:rsidRPr="001D200B">
        <w:rPr>
          <w:rFonts w:cstheme="minorHAnsi"/>
        </w:rPr>
        <w:t xml:space="preserve">około </w:t>
      </w:r>
      <w:r w:rsidRPr="001D200B">
        <w:rPr>
          <w:rFonts w:cstheme="minorHAnsi"/>
        </w:rPr>
        <w:t>7</w:t>
      </w:r>
      <w:r w:rsidR="00BF233F" w:rsidRPr="001D200B">
        <w:rPr>
          <w:rFonts w:cstheme="minorHAnsi"/>
        </w:rPr>
        <w:t>7</w:t>
      </w:r>
      <w:r w:rsidRPr="001D200B">
        <w:rPr>
          <w:rFonts w:cstheme="minorHAnsi"/>
        </w:rPr>
        <w:t xml:space="preserve">% </w:t>
      </w:r>
      <w:r w:rsidR="00CE335C" w:rsidRPr="001D200B">
        <w:rPr>
          <w:rFonts w:cstheme="minorHAnsi"/>
        </w:rPr>
        <w:t>wszystkich mieszkań w skali miasta. Głównym użytkownikiem ciepła sieciowego w sektorze mieszkalnictwa jest budownictwo wielorodzinne SM „Połaniec” – 1803 mieszkania o łącznej powierzchni 96,7tys.</w:t>
      </w:r>
      <w:r w:rsidR="00034BA1" w:rsidRPr="001D200B">
        <w:rPr>
          <w:rFonts w:cstheme="minorHAnsi"/>
        </w:rPr>
        <w:t> </w:t>
      </w:r>
      <w:r w:rsidR="00CE335C" w:rsidRPr="001D200B">
        <w:rPr>
          <w:rFonts w:cstheme="minorHAnsi"/>
        </w:rPr>
        <w:t>m</w:t>
      </w:r>
      <w:r w:rsidR="00CE335C" w:rsidRPr="001D200B">
        <w:rPr>
          <w:rFonts w:cstheme="minorHAnsi"/>
          <w:vertAlign w:val="superscript"/>
        </w:rPr>
        <w:t>2</w:t>
      </w:r>
      <w:r w:rsidR="000301CE" w:rsidRPr="001D200B">
        <w:rPr>
          <w:rFonts w:cstheme="minorHAnsi"/>
        </w:rPr>
        <w:t xml:space="preserve">. </w:t>
      </w:r>
      <w:r w:rsidR="00CE335C" w:rsidRPr="001D200B">
        <w:rPr>
          <w:rFonts w:cstheme="minorHAnsi"/>
        </w:rPr>
        <w:t>Wszystkie mieszkania w budownictwie wielorodzinnym wyposażone są w</w:t>
      </w:r>
      <w:r w:rsidR="00034BA1" w:rsidRPr="001D200B">
        <w:rPr>
          <w:rFonts w:cstheme="minorHAnsi"/>
        </w:rPr>
        <w:t> </w:t>
      </w:r>
      <w:r w:rsidR="00CE335C" w:rsidRPr="001D200B">
        <w:rPr>
          <w:rFonts w:cstheme="minorHAnsi"/>
        </w:rPr>
        <w:t xml:space="preserve">instalacje ciepłej wody użytkowej dostosowane do zasilania z sieci cieplnej. </w:t>
      </w:r>
      <w:r w:rsidR="000301CE" w:rsidRPr="001D200B">
        <w:rPr>
          <w:rFonts w:cstheme="minorHAnsi"/>
        </w:rPr>
        <w:t xml:space="preserve">Przyjmuje się, że powierzchnia użytkowa domów jednorodzinnych zasilanych w ciepło z sieci wynosi około </w:t>
      </w:r>
      <w:r w:rsidR="00A81B4E" w:rsidRPr="001D200B">
        <w:rPr>
          <w:rFonts w:cstheme="minorHAnsi"/>
        </w:rPr>
        <w:t>50</w:t>
      </w:r>
      <w:r w:rsidR="000301CE" w:rsidRPr="001D200B">
        <w:rPr>
          <w:rFonts w:cstheme="minorHAnsi"/>
        </w:rPr>
        <w:t> tys. m</w:t>
      </w:r>
      <w:r w:rsidR="000301CE" w:rsidRPr="001D200B">
        <w:rPr>
          <w:rFonts w:cstheme="minorHAnsi"/>
          <w:vertAlign w:val="superscript"/>
        </w:rPr>
        <w:t>2</w:t>
      </w:r>
      <w:r w:rsidR="000301CE" w:rsidRPr="001D200B">
        <w:rPr>
          <w:rFonts w:cstheme="minorHAnsi"/>
        </w:rPr>
        <w:t>, natomiast obiektów użyteczności publicznej oraz usług i handlu około 5</w:t>
      </w:r>
      <w:r w:rsidR="00BF233F" w:rsidRPr="001D200B">
        <w:rPr>
          <w:rFonts w:cstheme="minorHAnsi"/>
        </w:rPr>
        <w:t>0</w:t>
      </w:r>
      <w:r w:rsidR="000301CE" w:rsidRPr="001D200B">
        <w:rPr>
          <w:rFonts w:cstheme="minorHAnsi"/>
        </w:rPr>
        <w:t>tys. m</w:t>
      </w:r>
      <w:r w:rsidR="000301CE" w:rsidRPr="001D200B">
        <w:rPr>
          <w:rFonts w:cstheme="minorHAnsi"/>
          <w:vertAlign w:val="superscript"/>
        </w:rPr>
        <w:t>2</w:t>
      </w:r>
      <w:r w:rsidR="000301CE" w:rsidRPr="001D200B">
        <w:rPr>
          <w:rFonts w:cstheme="minorHAnsi"/>
        </w:rPr>
        <w:t>.</w:t>
      </w:r>
      <w:r w:rsidR="00045796" w:rsidRPr="001D200B">
        <w:rPr>
          <w:rFonts w:cstheme="minorHAnsi"/>
        </w:rPr>
        <w:t xml:space="preserve"> </w:t>
      </w:r>
    </w:p>
    <w:p w:rsidR="009F3B7E" w:rsidRPr="001D200B" w:rsidRDefault="00445ACF" w:rsidP="00A96F55">
      <w:pPr>
        <w:rPr>
          <w:rFonts w:cstheme="minorHAnsi"/>
        </w:rPr>
      </w:pPr>
      <w:r w:rsidRPr="001D200B">
        <w:rPr>
          <w:rFonts w:cstheme="minorHAnsi"/>
        </w:rPr>
        <w:t xml:space="preserve">Według informacji </w:t>
      </w:r>
      <w:r w:rsidR="009F3826" w:rsidRPr="001D200B">
        <w:rPr>
          <w:rFonts w:cstheme="minorHAnsi"/>
        </w:rPr>
        <w:t xml:space="preserve">PGK w Połańcu </w:t>
      </w:r>
      <w:r w:rsidR="009F3B7E" w:rsidRPr="001D200B">
        <w:rPr>
          <w:rFonts w:cstheme="minorHAnsi"/>
        </w:rPr>
        <w:t>sp. z o.o.</w:t>
      </w:r>
      <w:r w:rsidRPr="001D200B">
        <w:rPr>
          <w:rFonts w:cstheme="minorHAnsi"/>
        </w:rPr>
        <w:t xml:space="preserve"> </w:t>
      </w:r>
      <w:r w:rsidR="009F3B7E" w:rsidRPr="001D200B">
        <w:rPr>
          <w:rFonts w:cstheme="minorHAnsi"/>
        </w:rPr>
        <w:t>c</w:t>
      </w:r>
      <w:r w:rsidR="009F3B7E" w:rsidRPr="001D200B">
        <w:t xml:space="preserve">ałkowite zapotrzebowanie na ciepło sieciowe w 2018 r. wyniosło </w:t>
      </w:r>
      <w:r w:rsidR="009F3B7E" w:rsidRPr="001D200B">
        <w:rPr>
          <w:b/>
        </w:rPr>
        <w:t>96 582,35</w:t>
      </w:r>
      <w:r w:rsidR="009F3B7E" w:rsidRPr="001D200B">
        <w:t xml:space="preserve"> </w:t>
      </w:r>
      <w:r w:rsidR="009F3B7E" w:rsidRPr="001D200B">
        <w:rPr>
          <w:b/>
        </w:rPr>
        <w:t>GJ</w:t>
      </w:r>
      <w:r w:rsidR="009F3B7E" w:rsidRPr="001D200B">
        <w:t>, przy mocy zamówionej ok.1</w:t>
      </w:r>
      <w:r w:rsidR="00BF233F" w:rsidRPr="001D200B">
        <w:t>7,2</w:t>
      </w:r>
      <w:r w:rsidR="009F3B7E" w:rsidRPr="001D200B">
        <w:t xml:space="preserve"> MW</w:t>
      </w:r>
      <w:r w:rsidR="009F3B7E" w:rsidRPr="001D200B">
        <w:rPr>
          <w:rFonts w:cstheme="minorHAnsi"/>
        </w:rPr>
        <w:t xml:space="preserve">. </w:t>
      </w:r>
    </w:p>
    <w:p w:rsidR="009F3B7E" w:rsidRPr="001D200B" w:rsidRDefault="009F3B7E" w:rsidP="009F3B7E">
      <w:pPr>
        <w:pStyle w:val="Tytu"/>
        <w:ind w:left="1134" w:hanging="1134"/>
        <w:rPr>
          <w:rFonts w:cstheme="minorHAnsi"/>
          <w:b/>
        </w:rPr>
      </w:pPr>
      <w:bookmarkStart w:id="39" w:name="_Toc39476564"/>
      <w:r w:rsidRPr="001D200B">
        <w:rPr>
          <w:rFonts w:cstheme="minorHAnsi"/>
          <w:b/>
        </w:rPr>
        <w:t xml:space="preserve">Tabela </w:t>
      </w:r>
      <w:r w:rsidR="005B7234" w:rsidRPr="001D200B">
        <w:rPr>
          <w:rFonts w:cstheme="minorHAnsi"/>
          <w:b/>
        </w:rPr>
        <w:fldChar w:fldCharType="begin"/>
      </w:r>
      <w:r w:rsidRPr="001D200B">
        <w:rPr>
          <w:rFonts w:cstheme="minorHAnsi"/>
          <w:b/>
        </w:rPr>
        <w:instrText xml:space="preserve"> SEQ Tabela \* ARABIC </w:instrText>
      </w:r>
      <w:r w:rsidR="005B7234" w:rsidRPr="001D200B">
        <w:rPr>
          <w:rFonts w:cstheme="minorHAnsi"/>
          <w:b/>
        </w:rPr>
        <w:fldChar w:fldCharType="separate"/>
      </w:r>
      <w:r w:rsidR="00975320" w:rsidRPr="001D200B">
        <w:rPr>
          <w:rFonts w:cstheme="minorHAnsi"/>
          <w:b/>
          <w:noProof/>
        </w:rPr>
        <w:t>12</w:t>
      </w:r>
      <w:r w:rsidR="005B7234" w:rsidRPr="001D200B">
        <w:rPr>
          <w:rFonts w:cstheme="minorHAnsi"/>
          <w:b/>
        </w:rPr>
        <w:fldChar w:fldCharType="end"/>
      </w:r>
      <w:r w:rsidRPr="001D200B">
        <w:rPr>
          <w:rFonts w:cstheme="minorHAnsi"/>
          <w:b/>
        </w:rPr>
        <w:t>. Zużycie energii cieplnej przez odbiorców podłączonych do sieci (w GJ) w 2010 roku oraz w latach 2016-2018</w:t>
      </w:r>
      <w:bookmarkEnd w:id="39"/>
    </w:p>
    <w:tbl>
      <w:tblPr>
        <w:tblStyle w:val="Tabela-Siatka"/>
        <w:tblW w:w="8969" w:type="dxa"/>
        <w:jc w:val="center"/>
        <w:tblInd w:w="-799" w:type="dxa"/>
        <w:tblLayout w:type="fixed"/>
        <w:tblLook w:val="04A0"/>
      </w:tblPr>
      <w:tblGrid>
        <w:gridCol w:w="3733"/>
        <w:gridCol w:w="1309"/>
        <w:gridCol w:w="1309"/>
        <w:gridCol w:w="1309"/>
        <w:gridCol w:w="1309"/>
      </w:tblGrid>
      <w:tr w:rsidR="009F3B7E" w:rsidRPr="001D200B" w:rsidTr="00C726C5">
        <w:trPr>
          <w:jc w:val="center"/>
        </w:trPr>
        <w:tc>
          <w:tcPr>
            <w:tcW w:w="3733" w:type="dxa"/>
            <w:shd w:val="clear" w:color="auto" w:fill="F2F2F2" w:themeFill="background1" w:themeFillShade="F2"/>
          </w:tcPr>
          <w:p w:rsidR="009F3B7E" w:rsidRPr="001D200B" w:rsidRDefault="009F3B7E" w:rsidP="00C726C5">
            <w:pPr>
              <w:spacing w:before="0" w:after="0" w:line="240" w:lineRule="auto"/>
              <w:jc w:val="center"/>
              <w:rPr>
                <w:rFonts w:cstheme="minorHAnsi"/>
                <w:b/>
              </w:rPr>
            </w:pPr>
            <w:r w:rsidRPr="001D200B">
              <w:rPr>
                <w:rFonts w:cstheme="minorHAnsi"/>
                <w:b/>
              </w:rPr>
              <w:t>Wyszczególnienie:</w:t>
            </w:r>
          </w:p>
        </w:tc>
        <w:tc>
          <w:tcPr>
            <w:tcW w:w="1309" w:type="dxa"/>
            <w:shd w:val="clear" w:color="auto" w:fill="F2F2F2" w:themeFill="background1" w:themeFillShade="F2"/>
            <w:vAlign w:val="center"/>
          </w:tcPr>
          <w:p w:rsidR="009F3B7E" w:rsidRPr="001D200B" w:rsidRDefault="009F3B7E" w:rsidP="00C726C5">
            <w:pPr>
              <w:spacing w:before="0" w:after="0" w:line="240" w:lineRule="auto"/>
              <w:jc w:val="center"/>
              <w:rPr>
                <w:rFonts w:cstheme="minorHAnsi"/>
                <w:b/>
              </w:rPr>
            </w:pPr>
            <w:r w:rsidRPr="001D200B">
              <w:rPr>
                <w:rFonts w:cstheme="minorHAnsi"/>
                <w:b/>
              </w:rPr>
              <w:t>2010*</w:t>
            </w:r>
          </w:p>
        </w:tc>
        <w:tc>
          <w:tcPr>
            <w:tcW w:w="1309" w:type="dxa"/>
            <w:shd w:val="clear" w:color="auto" w:fill="F2F2F2" w:themeFill="background1" w:themeFillShade="F2"/>
            <w:vAlign w:val="center"/>
          </w:tcPr>
          <w:p w:rsidR="009F3B7E" w:rsidRPr="001D200B" w:rsidRDefault="009F3B7E" w:rsidP="00C726C5">
            <w:pPr>
              <w:spacing w:before="0" w:after="0" w:line="240" w:lineRule="auto"/>
              <w:jc w:val="center"/>
              <w:rPr>
                <w:rFonts w:cstheme="minorHAnsi"/>
                <w:b/>
              </w:rPr>
            </w:pPr>
            <w:r w:rsidRPr="001D200B">
              <w:rPr>
                <w:rFonts w:cstheme="minorHAnsi"/>
                <w:b/>
              </w:rPr>
              <w:t>2016</w:t>
            </w:r>
          </w:p>
        </w:tc>
        <w:tc>
          <w:tcPr>
            <w:tcW w:w="1309" w:type="dxa"/>
            <w:shd w:val="clear" w:color="auto" w:fill="F2F2F2" w:themeFill="background1" w:themeFillShade="F2"/>
            <w:vAlign w:val="center"/>
          </w:tcPr>
          <w:p w:rsidR="009F3B7E" w:rsidRPr="001D200B" w:rsidRDefault="009F3B7E" w:rsidP="00C726C5">
            <w:pPr>
              <w:spacing w:before="0" w:after="0" w:line="240" w:lineRule="auto"/>
              <w:jc w:val="center"/>
              <w:rPr>
                <w:rFonts w:cstheme="minorHAnsi"/>
                <w:b/>
              </w:rPr>
            </w:pPr>
            <w:r w:rsidRPr="001D200B">
              <w:rPr>
                <w:rFonts w:cstheme="minorHAnsi"/>
                <w:b/>
              </w:rPr>
              <w:t>2017</w:t>
            </w:r>
          </w:p>
        </w:tc>
        <w:tc>
          <w:tcPr>
            <w:tcW w:w="1309" w:type="dxa"/>
            <w:shd w:val="clear" w:color="auto" w:fill="F2F2F2" w:themeFill="background1" w:themeFillShade="F2"/>
            <w:vAlign w:val="center"/>
          </w:tcPr>
          <w:p w:rsidR="009F3B7E" w:rsidRPr="001D200B" w:rsidRDefault="009F3B7E" w:rsidP="00C726C5">
            <w:pPr>
              <w:spacing w:before="0" w:after="0" w:line="240" w:lineRule="auto"/>
              <w:jc w:val="center"/>
              <w:rPr>
                <w:rFonts w:cstheme="minorHAnsi"/>
                <w:b/>
              </w:rPr>
            </w:pPr>
            <w:r w:rsidRPr="001D200B">
              <w:rPr>
                <w:rFonts w:cstheme="minorHAnsi"/>
                <w:b/>
              </w:rPr>
              <w:t>2018</w:t>
            </w:r>
          </w:p>
        </w:tc>
      </w:tr>
      <w:tr w:rsidR="009F3B7E" w:rsidRPr="001D200B" w:rsidTr="00C726C5">
        <w:trPr>
          <w:jc w:val="center"/>
        </w:trPr>
        <w:tc>
          <w:tcPr>
            <w:tcW w:w="3733" w:type="dxa"/>
          </w:tcPr>
          <w:p w:rsidR="009F3B7E" w:rsidRPr="001D200B" w:rsidRDefault="00C726C5" w:rsidP="00895A65">
            <w:pPr>
              <w:spacing w:before="0" w:after="0" w:line="240" w:lineRule="auto"/>
              <w:jc w:val="center"/>
              <w:rPr>
                <w:rFonts w:cstheme="minorHAnsi"/>
                <w:sz w:val="22"/>
                <w:szCs w:val="22"/>
              </w:rPr>
            </w:pPr>
            <w:r w:rsidRPr="001D200B">
              <w:rPr>
                <w:rFonts w:cstheme="minorHAnsi"/>
                <w:sz w:val="22"/>
                <w:szCs w:val="22"/>
              </w:rPr>
              <w:t xml:space="preserve">Sprzedaż ciepła sieciowego łącznie [GJ] </w:t>
            </w:r>
          </w:p>
        </w:tc>
        <w:tc>
          <w:tcPr>
            <w:tcW w:w="1309" w:type="dxa"/>
            <w:vAlign w:val="center"/>
          </w:tcPr>
          <w:p w:rsidR="009F3B7E" w:rsidRPr="001D200B" w:rsidRDefault="009F3B7E" w:rsidP="00895A65">
            <w:pPr>
              <w:spacing w:before="0" w:after="0" w:line="240" w:lineRule="auto"/>
              <w:jc w:val="center"/>
              <w:rPr>
                <w:rFonts w:cstheme="minorHAnsi"/>
                <w:sz w:val="22"/>
                <w:szCs w:val="22"/>
              </w:rPr>
            </w:pPr>
            <w:r w:rsidRPr="001D200B">
              <w:rPr>
                <w:rFonts w:cstheme="minorHAnsi"/>
                <w:sz w:val="22"/>
                <w:szCs w:val="22"/>
              </w:rPr>
              <w:t>116 401,49</w:t>
            </w:r>
          </w:p>
        </w:tc>
        <w:tc>
          <w:tcPr>
            <w:tcW w:w="1309" w:type="dxa"/>
            <w:vAlign w:val="center"/>
          </w:tcPr>
          <w:p w:rsidR="009F3B7E" w:rsidRPr="001D200B" w:rsidRDefault="00317EFE" w:rsidP="00895A65">
            <w:pPr>
              <w:spacing w:before="0" w:after="0" w:line="240" w:lineRule="auto"/>
              <w:jc w:val="center"/>
              <w:rPr>
                <w:rFonts w:cstheme="minorHAnsi"/>
                <w:sz w:val="22"/>
                <w:szCs w:val="22"/>
              </w:rPr>
            </w:pPr>
            <w:r w:rsidRPr="001D200B">
              <w:rPr>
                <w:rFonts w:cstheme="minorHAnsi"/>
                <w:sz w:val="22"/>
                <w:szCs w:val="22"/>
              </w:rPr>
              <w:t>100 524,70</w:t>
            </w:r>
          </w:p>
        </w:tc>
        <w:tc>
          <w:tcPr>
            <w:tcW w:w="1309" w:type="dxa"/>
            <w:vAlign w:val="center"/>
          </w:tcPr>
          <w:p w:rsidR="009F3B7E" w:rsidRPr="001D200B" w:rsidRDefault="00317EFE" w:rsidP="00895A65">
            <w:pPr>
              <w:spacing w:before="0" w:after="0" w:line="240" w:lineRule="auto"/>
              <w:jc w:val="center"/>
              <w:rPr>
                <w:rFonts w:cstheme="minorHAnsi"/>
                <w:sz w:val="22"/>
                <w:szCs w:val="22"/>
              </w:rPr>
            </w:pPr>
            <w:r w:rsidRPr="001D200B">
              <w:rPr>
                <w:rFonts w:cstheme="minorHAnsi"/>
                <w:sz w:val="22"/>
                <w:szCs w:val="22"/>
              </w:rPr>
              <w:t>103 292,34</w:t>
            </w:r>
          </w:p>
        </w:tc>
        <w:tc>
          <w:tcPr>
            <w:tcW w:w="1309" w:type="dxa"/>
            <w:vAlign w:val="center"/>
          </w:tcPr>
          <w:p w:rsidR="009F3B7E" w:rsidRPr="001D200B" w:rsidRDefault="00317EFE" w:rsidP="00895A65">
            <w:pPr>
              <w:spacing w:before="0" w:after="0" w:line="240" w:lineRule="auto"/>
              <w:jc w:val="center"/>
              <w:rPr>
                <w:rFonts w:cstheme="minorHAnsi"/>
                <w:sz w:val="22"/>
                <w:szCs w:val="22"/>
              </w:rPr>
            </w:pPr>
            <w:r w:rsidRPr="001D200B">
              <w:rPr>
                <w:rFonts w:cstheme="minorHAnsi"/>
                <w:sz w:val="22"/>
                <w:szCs w:val="22"/>
              </w:rPr>
              <w:t>96 582,35</w:t>
            </w:r>
          </w:p>
        </w:tc>
      </w:tr>
      <w:tr w:rsidR="00895A65" w:rsidRPr="001D200B" w:rsidTr="00F54953">
        <w:trPr>
          <w:jc w:val="center"/>
        </w:trPr>
        <w:tc>
          <w:tcPr>
            <w:tcW w:w="3733" w:type="dxa"/>
          </w:tcPr>
          <w:p w:rsidR="00895A65" w:rsidRPr="001D200B" w:rsidRDefault="00895A65" w:rsidP="00895A65">
            <w:pPr>
              <w:spacing w:before="0" w:after="0" w:line="240" w:lineRule="auto"/>
              <w:jc w:val="right"/>
              <w:rPr>
                <w:rFonts w:cstheme="minorHAnsi"/>
                <w:sz w:val="22"/>
                <w:szCs w:val="22"/>
              </w:rPr>
            </w:pPr>
            <w:r w:rsidRPr="001D200B">
              <w:rPr>
                <w:rFonts w:cstheme="minorHAnsi"/>
                <w:sz w:val="22"/>
                <w:szCs w:val="22"/>
              </w:rPr>
              <w:t>w tym:</w:t>
            </w:r>
          </w:p>
        </w:tc>
        <w:tc>
          <w:tcPr>
            <w:tcW w:w="5236" w:type="dxa"/>
            <w:gridSpan w:val="4"/>
            <w:vAlign w:val="center"/>
          </w:tcPr>
          <w:p w:rsidR="00895A65" w:rsidRPr="001D200B" w:rsidRDefault="00895A65" w:rsidP="00895A65">
            <w:pPr>
              <w:spacing w:before="0" w:after="0" w:line="240" w:lineRule="auto"/>
              <w:jc w:val="center"/>
              <w:rPr>
                <w:rFonts w:cstheme="minorHAnsi"/>
                <w:sz w:val="22"/>
                <w:szCs w:val="22"/>
              </w:rPr>
            </w:pPr>
          </w:p>
        </w:tc>
      </w:tr>
      <w:tr w:rsidR="00895A65" w:rsidRPr="001D200B" w:rsidTr="00C726C5">
        <w:trPr>
          <w:jc w:val="center"/>
        </w:trPr>
        <w:tc>
          <w:tcPr>
            <w:tcW w:w="3733" w:type="dxa"/>
          </w:tcPr>
          <w:p w:rsidR="00895A65" w:rsidRPr="001D200B" w:rsidRDefault="00895A65" w:rsidP="00895A65">
            <w:pPr>
              <w:spacing w:before="0" w:after="0" w:line="240" w:lineRule="auto"/>
              <w:jc w:val="right"/>
              <w:rPr>
                <w:rFonts w:cstheme="minorHAnsi"/>
                <w:sz w:val="22"/>
                <w:szCs w:val="22"/>
              </w:rPr>
            </w:pPr>
            <w:r w:rsidRPr="001D200B">
              <w:rPr>
                <w:rFonts w:cstheme="minorHAnsi"/>
                <w:sz w:val="22"/>
                <w:szCs w:val="22"/>
              </w:rPr>
              <w:t>Spółdzielnia Mieszkaniowa „Połaniec” [GJ]</w:t>
            </w:r>
          </w:p>
        </w:tc>
        <w:tc>
          <w:tcPr>
            <w:tcW w:w="1309" w:type="dxa"/>
            <w:vAlign w:val="center"/>
          </w:tcPr>
          <w:p w:rsidR="00895A65" w:rsidRPr="001D200B" w:rsidRDefault="00895A65" w:rsidP="00895A65">
            <w:pPr>
              <w:spacing w:before="0" w:after="0" w:line="240" w:lineRule="auto"/>
              <w:jc w:val="center"/>
              <w:rPr>
                <w:rFonts w:cstheme="minorHAnsi"/>
                <w:sz w:val="22"/>
                <w:szCs w:val="22"/>
              </w:rPr>
            </w:pPr>
            <w:r w:rsidRPr="001D200B">
              <w:rPr>
                <w:rFonts w:cstheme="minorHAnsi"/>
                <w:sz w:val="22"/>
                <w:szCs w:val="22"/>
              </w:rPr>
              <w:t>65 539</w:t>
            </w:r>
          </w:p>
        </w:tc>
        <w:tc>
          <w:tcPr>
            <w:tcW w:w="1309" w:type="dxa"/>
            <w:vAlign w:val="center"/>
          </w:tcPr>
          <w:p w:rsidR="00895A65" w:rsidRPr="001D200B" w:rsidRDefault="00895A65" w:rsidP="00895A65">
            <w:pPr>
              <w:spacing w:before="0" w:after="0" w:line="240" w:lineRule="auto"/>
              <w:jc w:val="center"/>
              <w:rPr>
                <w:rFonts w:cstheme="minorHAnsi"/>
                <w:sz w:val="22"/>
                <w:szCs w:val="22"/>
              </w:rPr>
            </w:pPr>
            <w:r w:rsidRPr="001D200B">
              <w:rPr>
                <w:rFonts w:cstheme="minorHAnsi"/>
                <w:sz w:val="22"/>
                <w:szCs w:val="22"/>
              </w:rPr>
              <w:t>52 480</w:t>
            </w:r>
          </w:p>
        </w:tc>
        <w:tc>
          <w:tcPr>
            <w:tcW w:w="1309" w:type="dxa"/>
            <w:vAlign w:val="center"/>
          </w:tcPr>
          <w:p w:rsidR="00895A65" w:rsidRPr="001D200B" w:rsidRDefault="00895A65" w:rsidP="00895A65">
            <w:pPr>
              <w:spacing w:before="0" w:after="0" w:line="240" w:lineRule="auto"/>
              <w:jc w:val="center"/>
              <w:rPr>
                <w:rFonts w:cstheme="minorHAnsi"/>
                <w:sz w:val="22"/>
                <w:szCs w:val="22"/>
              </w:rPr>
            </w:pPr>
            <w:r w:rsidRPr="001D200B">
              <w:rPr>
                <w:rFonts w:cstheme="minorHAnsi"/>
                <w:sz w:val="22"/>
                <w:szCs w:val="22"/>
              </w:rPr>
              <w:t>54 030</w:t>
            </w:r>
          </w:p>
        </w:tc>
        <w:tc>
          <w:tcPr>
            <w:tcW w:w="1309" w:type="dxa"/>
            <w:vAlign w:val="center"/>
          </w:tcPr>
          <w:p w:rsidR="00895A65" w:rsidRPr="001D200B" w:rsidRDefault="00895A65" w:rsidP="00895A65">
            <w:pPr>
              <w:spacing w:before="0" w:after="0" w:line="240" w:lineRule="auto"/>
              <w:jc w:val="center"/>
              <w:rPr>
                <w:rFonts w:cstheme="minorHAnsi"/>
                <w:sz w:val="22"/>
                <w:szCs w:val="22"/>
              </w:rPr>
            </w:pPr>
            <w:r w:rsidRPr="001D200B">
              <w:rPr>
                <w:rFonts w:cstheme="minorHAnsi"/>
                <w:sz w:val="22"/>
                <w:szCs w:val="22"/>
              </w:rPr>
              <w:t>50 500</w:t>
            </w:r>
          </w:p>
        </w:tc>
      </w:tr>
    </w:tbl>
    <w:p w:rsidR="00034BA1" w:rsidRPr="001D200B" w:rsidRDefault="009F3B7E" w:rsidP="00455A2E">
      <w:pPr>
        <w:pStyle w:val="podtabelk"/>
        <w:rPr>
          <w:rFonts w:cstheme="minorHAnsi"/>
        </w:rPr>
      </w:pPr>
      <w:r w:rsidRPr="001D200B">
        <w:t>*dane ELPOTERM Spółka z o.o. oraz PGK w Połańcu sp. z o.o.</w:t>
      </w:r>
      <w:r w:rsidR="00895A65" w:rsidRPr="001D200B">
        <w:t xml:space="preserve"> SM „Połaniec”</w:t>
      </w:r>
      <w:r w:rsidR="00034BA1" w:rsidRPr="001D200B">
        <w:rPr>
          <w:rFonts w:cstheme="minorHAnsi"/>
        </w:rPr>
        <w:br w:type="page"/>
      </w:r>
    </w:p>
    <w:p w:rsidR="006A7309" w:rsidRPr="001D200B" w:rsidRDefault="006A7309" w:rsidP="00455A2E">
      <w:r w:rsidRPr="001D200B">
        <w:lastRenderedPageBreak/>
        <w:t>Do czynników wpływających na wielkość zużycia ciepła przez odbiorców zaliczyć należy:</w:t>
      </w:r>
    </w:p>
    <w:p w:rsidR="006A7309" w:rsidRPr="001D200B" w:rsidRDefault="006A7309" w:rsidP="00F006D6">
      <w:pPr>
        <w:pStyle w:val="Akapitzlist"/>
      </w:pPr>
      <w:r w:rsidRPr="001D200B">
        <w:t>sukcesywną termomodernizację po stronie odbiorców ciepła – ocieplanie ścian zewnętrznych, wymiana okien, modernizacja instalacji c.o. i wentylacji;</w:t>
      </w:r>
    </w:p>
    <w:p w:rsidR="006A7309" w:rsidRPr="001D200B" w:rsidRDefault="006A7309" w:rsidP="00F006D6">
      <w:pPr>
        <w:pStyle w:val="Akapitzlist"/>
      </w:pPr>
      <w:r w:rsidRPr="001D200B">
        <w:t>wzrost średniej temperatury zewnętrznej w sezonie grzewczym – skrócenie sezonu grzewczego.</w:t>
      </w:r>
    </w:p>
    <w:p w:rsidR="00895A65" w:rsidRPr="001D200B" w:rsidRDefault="00895A65" w:rsidP="00895A65">
      <w:pPr>
        <w:shd w:val="clear" w:color="auto" w:fill="F2F2F2" w:themeFill="background1" w:themeFillShade="F2"/>
        <w:rPr>
          <w:b/>
        </w:rPr>
      </w:pPr>
      <w:r w:rsidRPr="001D200B">
        <w:rPr>
          <w:b/>
        </w:rPr>
        <w:t>Charakterystyka kotłowni lokalnych</w:t>
      </w:r>
    </w:p>
    <w:p w:rsidR="009818AA" w:rsidRPr="001D200B" w:rsidRDefault="009818AA" w:rsidP="009818AA">
      <w:r w:rsidRPr="001D200B">
        <w:rPr>
          <w:rFonts w:cstheme="minorHAnsi"/>
        </w:rPr>
        <w:t xml:space="preserve">Na terenie gminy oprócz zorganizowanej gospodarki w zakresie zaopatrzenia i pokrycia potrzeb cieplnych działają również indywidualne instalacje grzewcze. </w:t>
      </w:r>
      <w:r w:rsidRPr="001D200B">
        <w:t xml:space="preserve">Do większych instalacji w zakresie zaopatrzenia i pokrycia potrzeb cieplnych należy zaliczyć kotłownie instytucji użyteczności publicznej, zakładów produkcyjnych, podmiotów handlowych i usługowych. Są to rozproszone źródła ciepła o mocy znacznie poniżej 5MW wytwarzające ciepło na potrzeby zasilanego budynku lub rzadziej budynków. </w:t>
      </w:r>
    </w:p>
    <w:p w:rsidR="009C2770" w:rsidRPr="001D200B" w:rsidRDefault="009C2770" w:rsidP="009C2770">
      <w:pPr>
        <w:pStyle w:val="Tytu"/>
        <w:ind w:left="1134" w:hanging="1134"/>
        <w:rPr>
          <w:rFonts w:cstheme="minorHAnsi"/>
          <w:b/>
        </w:rPr>
      </w:pPr>
      <w:bookmarkStart w:id="40" w:name="_Toc39476565"/>
      <w:r w:rsidRPr="001D200B">
        <w:rPr>
          <w:rFonts w:cstheme="minorHAnsi"/>
          <w:b/>
        </w:rPr>
        <w:t xml:space="preserve">Tabela </w:t>
      </w:r>
      <w:r w:rsidR="005B7234" w:rsidRPr="001D200B">
        <w:rPr>
          <w:rFonts w:cstheme="minorHAnsi"/>
          <w:b/>
        </w:rPr>
        <w:fldChar w:fldCharType="begin"/>
      </w:r>
      <w:r w:rsidR="00F200FE" w:rsidRPr="001D200B">
        <w:rPr>
          <w:rFonts w:cstheme="minorHAnsi"/>
          <w:b/>
        </w:rPr>
        <w:instrText xml:space="preserve"> SEQ Tabela \* ARABIC </w:instrText>
      </w:r>
      <w:r w:rsidR="005B7234" w:rsidRPr="001D200B">
        <w:rPr>
          <w:rFonts w:cstheme="minorHAnsi"/>
          <w:b/>
        </w:rPr>
        <w:fldChar w:fldCharType="separate"/>
      </w:r>
      <w:r w:rsidR="00975320" w:rsidRPr="001D200B">
        <w:rPr>
          <w:rFonts w:cstheme="minorHAnsi"/>
          <w:b/>
          <w:noProof/>
        </w:rPr>
        <w:t>13</w:t>
      </w:r>
      <w:r w:rsidR="005B7234" w:rsidRPr="001D200B">
        <w:rPr>
          <w:rFonts w:cstheme="minorHAnsi"/>
          <w:b/>
        </w:rPr>
        <w:fldChar w:fldCharType="end"/>
      </w:r>
      <w:r w:rsidRPr="001D200B">
        <w:rPr>
          <w:rFonts w:cstheme="minorHAnsi"/>
          <w:b/>
        </w:rPr>
        <w:t>. Charakterystyka zasilania w ciepło budynków użyteczności publicznej i innych obiektów na terenie gminy Połaniec</w:t>
      </w:r>
      <w:bookmarkEnd w:id="40"/>
      <w:r w:rsidRPr="001D200B">
        <w:rPr>
          <w:rFonts w:cstheme="minorHAnsi"/>
          <w:b/>
        </w:rPr>
        <w:t xml:space="preserve"> </w:t>
      </w:r>
    </w:p>
    <w:tbl>
      <w:tblPr>
        <w:tblW w:w="9501" w:type="dxa"/>
        <w:jc w:val="center"/>
        <w:tblInd w:w="-6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9"/>
        <w:gridCol w:w="2916"/>
        <w:gridCol w:w="1417"/>
        <w:gridCol w:w="2694"/>
        <w:gridCol w:w="2055"/>
      </w:tblGrid>
      <w:tr w:rsidR="0037192C" w:rsidRPr="001D200B" w:rsidTr="00931F90">
        <w:trPr>
          <w:cantSplit/>
          <w:trHeight w:val="910"/>
          <w:tblHeader/>
          <w:jc w:val="center"/>
        </w:trPr>
        <w:tc>
          <w:tcPr>
            <w:tcW w:w="3335" w:type="dxa"/>
            <w:gridSpan w:val="2"/>
            <w:vAlign w:val="center"/>
          </w:tcPr>
          <w:p w:rsidR="0037192C" w:rsidRPr="001D200B" w:rsidRDefault="0037192C" w:rsidP="00947F7E">
            <w:pPr>
              <w:pStyle w:val="Tekstdymka"/>
              <w:spacing w:before="0" w:after="0" w:line="240" w:lineRule="auto"/>
              <w:jc w:val="center"/>
              <w:rPr>
                <w:rFonts w:asciiTheme="minorHAnsi" w:hAnsiTheme="minorHAnsi" w:cstheme="minorHAnsi"/>
                <w:b/>
                <w:bCs/>
                <w:sz w:val="22"/>
                <w:szCs w:val="22"/>
              </w:rPr>
            </w:pPr>
            <w:r w:rsidRPr="001D200B">
              <w:rPr>
                <w:rFonts w:asciiTheme="minorHAnsi" w:hAnsiTheme="minorHAnsi" w:cstheme="minorHAnsi"/>
                <w:b/>
                <w:sz w:val="22"/>
                <w:szCs w:val="22"/>
              </w:rPr>
              <w:t xml:space="preserve">Adres budynku </w:t>
            </w:r>
          </w:p>
        </w:tc>
        <w:tc>
          <w:tcPr>
            <w:tcW w:w="1417" w:type="dxa"/>
            <w:vAlign w:val="center"/>
          </w:tcPr>
          <w:p w:rsidR="0037192C" w:rsidRPr="001D200B" w:rsidRDefault="0037192C" w:rsidP="00947F7E">
            <w:pPr>
              <w:spacing w:before="0" w:after="0" w:line="240" w:lineRule="auto"/>
              <w:jc w:val="center"/>
              <w:rPr>
                <w:rFonts w:cstheme="minorHAnsi"/>
                <w:b/>
                <w:bCs/>
                <w:sz w:val="22"/>
                <w:szCs w:val="22"/>
              </w:rPr>
            </w:pPr>
            <w:r w:rsidRPr="001D200B">
              <w:rPr>
                <w:rFonts w:cstheme="minorHAnsi"/>
                <w:b/>
                <w:sz w:val="22"/>
                <w:szCs w:val="22"/>
              </w:rPr>
              <w:t>Powierzchnia użytkowa (m</w:t>
            </w:r>
            <w:r w:rsidRPr="001D200B">
              <w:rPr>
                <w:rFonts w:cstheme="minorHAnsi"/>
                <w:b/>
                <w:sz w:val="22"/>
                <w:szCs w:val="22"/>
                <w:vertAlign w:val="superscript"/>
              </w:rPr>
              <w:t>2</w:t>
            </w:r>
            <w:r w:rsidRPr="001D200B">
              <w:rPr>
                <w:rFonts w:cstheme="minorHAnsi"/>
                <w:b/>
                <w:sz w:val="22"/>
                <w:szCs w:val="22"/>
              </w:rPr>
              <w:t>)</w:t>
            </w:r>
          </w:p>
        </w:tc>
        <w:tc>
          <w:tcPr>
            <w:tcW w:w="2694" w:type="dxa"/>
            <w:vAlign w:val="center"/>
          </w:tcPr>
          <w:p w:rsidR="0037192C" w:rsidRPr="001D200B" w:rsidRDefault="0037192C" w:rsidP="00947F7E">
            <w:pPr>
              <w:spacing w:before="0" w:after="0" w:line="240" w:lineRule="auto"/>
              <w:jc w:val="center"/>
              <w:rPr>
                <w:rFonts w:cstheme="minorHAnsi"/>
                <w:b/>
                <w:bCs/>
                <w:sz w:val="22"/>
                <w:szCs w:val="22"/>
              </w:rPr>
            </w:pPr>
            <w:r w:rsidRPr="001D200B">
              <w:rPr>
                <w:rFonts w:cstheme="minorHAnsi"/>
                <w:b/>
                <w:sz w:val="22"/>
                <w:szCs w:val="22"/>
              </w:rPr>
              <w:t>Dane dotyczące źródła ciepła</w:t>
            </w:r>
          </w:p>
        </w:tc>
        <w:tc>
          <w:tcPr>
            <w:tcW w:w="2055" w:type="dxa"/>
            <w:vAlign w:val="center"/>
          </w:tcPr>
          <w:p w:rsidR="0037192C" w:rsidRPr="001D200B" w:rsidRDefault="0037192C" w:rsidP="00931F90">
            <w:pPr>
              <w:spacing w:before="0" w:after="0" w:line="240" w:lineRule="auto"/>
              <w:jc w:val="center"/>
              <w:rPr>
                <w:rFonts w:cstheme="minorHAnsi"/>
                <w:b/>
                <w:bCs/>
                <w:sz w:val="22"/>
                <w:szCs w:val="22"/>
              </w:rPr>
            </w:pPr>
            <w:r w:rsidRPr="001D200B">
              <w:rPr>
                <w:rFonts w:cstheme="minorHAnsi"/>
                <w:b/>
                <w:sz w:val="22"/>
                <w:szCs w:val="22"/>
              </w:rPr>
              <w:t>Przeciętne z</w:t>
            </w:r>
            <w:r w:rsidR="00FB2FD0" w:rsidRPr="001D200B">
              <w:rPr>
                <w:rFonts w:cstheme="minorHAnsi"/>
                <w:b/>
                <w:sz w:val="22"/>
                <w:szCs w:val="22"/>
              </w:rPr>
              <w:t>apotrze</w:t>
            </w:r>
            <w:r w:rsidR="00417C83" w:rsidRPr="001D200B">
              <w:rPr>
                <w:rFonts w:cstheme="minorHAnsi"/>
                <w:b/>
                <w:sz w:val="22"/>
                <w:szCs w:val="22"/>
              </w:rPr>
              <w:t xml:space="preserve">bowanie na ciepło </w:t>
            </w:r>
            <w:r w:rsidR="000717EF" w:rsidRPr="001D200B">
              <w:rPr>
                <w:rFonts w:cstheme="minorHAnsi"/>
                <w:b/>
                <w:sz w:val="22"/>
                <w:szCs w:val="22"/>
              </w:rPr>
              <w:t>[GJ</w:t>
            </w:r>
            <w:r w:rsidR="00931F90" w:rsidRPr="001D200B">
              <w:rPr>
                <w:rFonts w:cstheme="minorHAnsi"/>
                <w:b/>
                <w:sz w:val="22"/>
                <w:szCs w:val="22"/>
              </w:rPr>
              <w:t>/rok</w:t>
            </w:r>
            <w:r w:rsidR="000717EF" w:rsidRPr="001D200B">
              <w:rPr>
                <w:rFonts w:cstheme="minorHAnsi"/>
                <w:b/>
                <w:sz w:val="22"/>
                <w:szCs w:val="22"/>
              </w:rPr>
              <w:t>]</w:t>
            </w:r>
          </w:p>
        </w:tc>
      </w:tr>
      <w:tr w:rsidR="003056EA" w:rsidRPr="001D200B" w:rsidTr="00931F90">
        <w:trPr>
          <w:trHeight w:val="920"/>
          <w:jc w:val="center"/>
        </w:trPr>
        <w:tc>
          <w:tcPr>
            <w:tcW w:w="419" w:type="dxa"/>
            <w:vAlign w:val="center"/>
          </w:tcPr>
          <w:p w:rsidR="003056EA" w:rsidRPr="001D200B" w:rsidRDefault="003056EA" w:rsidP="000717EF">
            <w:pPr>
              <w:spacing w:before="0" w:after="0" w:line="240" w:lineRule="auto"/>
              <w:jc w:val="center"/>
              <w:rPr>
                <w:rFonts w:cstheme="minorHAnsi"/>
                <w:sz w:val="22"/>
                <w:szCs w:val="22"/>
              </w:rPr>
            </w:pPr>
            <w:r w:rsidRPr="001D200B">
              <w:rPr>
                <w:rFonts w:cstheme="minorHAnsi"/>
                <w:sz w:val="22"/>
                <w:szCs w:val="22"/>
              </w:rPr>
              <w:t>1.</w:t>
            </w:r>
          </w:p>
        </w:tc>
        <w:tc>
          <w:tcPr>
            <w:tcW w:w="2916" w:type="dxa"/>
            <w:noWrap/>
            <w:vAlign w:val="center"/>
          </w:tcPr>
          <w:p w:rsidR="003056EA" w:rsidRPr="001D200B" w:rsidRDefault="003056EA" w:rsidP="00504C04">
            <w:pPr>
              <w:spacing w:before="0" w:after="0" w:line="240" w:lineRule="auto"/>
              <w:jc w:val="left"/>
              <w:rPr>
                <w:rFonts w:cstheme="minorHAnsi"/>
                <w:sz w:val="22"/>
                <w:szCs w:val="22"/>
              </w:rPr>
            </w:pPr>
            <w:r w:rsidRPr="001D200B">
              <w:rPr>
                <w:rFonts w:cstheme="minorHAnsi"/>
                <w:sz w:val="22"/>
                <w:szCs w:val="22"/>
              </w:rPr>
              <w:t xml:space="preserve">Zespół Placówek Oświatowych w Ruszczy </w:t>
            </w:r>
            <w:r w:rsidR="00504C04" w:rsidRPr="001D200B">
              <w:rPr>
                <w:rFonts w:cstheme="minorHAnsi"/>
                <w:sz w:val="22"/>
                <w:szCs w:val="22"/>
              </w:rPr>
              <w:t xml:space="preserve">+ Filia Biblioteczna, </w:t>
            </w:r>
            <w:r w:rsidRPr="001D200B">
              <w:rPr>
                <w:rFonts w:cstheme="minorHAnsi"/>
                <w:sz w:val="22"/>
                <w:szCs w:val="22"/>
              </w:rPr>
              <w:t>ul. Szkolna 2</w:t>
            </w:r>
          </w:p>
        </w:tc>
        <w:tc>
          <w:tcPr>
            <w:tcW w:w="1417" w:type="dxa"/>
            <w:vAlign w:val="center"/>
          </w:tcPr>
          <w:p w:rsidR="003056EA" w:rsidRPr="001D200B" w:rsidRDefault="000717EF" w:rsidP="000717EF">
            <w:pPr>
              <w:pStyle w:val="Tekstdymka"/>
              <w:spacing w:before="0" w:after="0" w:line="240" w:lineRule="auto"/>
              <w:jc w:val="center"/>
              <w:rPr>
                <w:rFonts w:asciiTheme="minorHAnsi" w:hAnsiTheme="minorHAnsi" w:cstheme="minorHAnsi"/>
                <w:sz w:val="22"/>
                <w:szCs w:val="22"/>
              </w:rPr>
            </w:pPr>
            <w:r w:rsidRPr="001D200B">
              <w:rPr>
                <w:rFonts w:asciiTheme="minorHAnsi" w:hAnsiTheme="minorHAnsi" w:cstheme="minorHAnsi"/>
                <w:sz w:val="22"/>
                <w:szCs w:val="22"/>
              </w:rPr>
              <w:t>3285,45</w:t>
            </w:r>
          </w:p>
        </w:tc>
        <w:tc>
          <w:tcPr>
            <w:tcW w:w="2694" w:type="dxa"/>
            <w:vAlign w:val="center"/>
          </w:tcPr>
          <w:p w:rsidR="003056EA" w:rsidRPr="001D200B" w:rsidRDefault="003056EA" w:rsidP="000717EF">
            <w:pPr>
              <w:pStyle w:val="Tekstdymka"/>
              <w:spacing w:before="0" w:after="0" w:line="240" w:lineRule="auto"/>
              <w:jc w:val="center"/>
              <w:rPr>
                <w:rFonts w:asciiTheme="minorHAnsi" w:hAnsiTheme="minorHAnsi" w:cstheme="minorHAnsi"/>
                <w:sz w:val="22"/>
                <w:szCs w:val="22"/>
              </w:rPr>
            </w:pPr>
            <w:r w:rsidRPr="001D200B">
              <w:rPr>
                <w:rFonts w:asciiTheme="minorHAnsi" w:hAnsiTheme="minorHAnsi" w:cstheme="minorHAnsi"/>
                <w:sz w:val="22"/>
                <w:szCs w:val="22"/>
              </w:rPr>
              <w:t>Kotłownia własna –</w:t>
            </w:r>
          </w:p>
          <w:p w:rsidR="003056EA" w:rsidRPr="001D200B" w:rsidRDefault="003056EA" w:rsidP="000717EF">
            <w:pPr>
              <w:pStyle w:val="Tekstdymka"/>
              <w:spacing w:before="0" w:after="0" w:line="240" w:lineRule="auto"/>
              <w:jc w:val="center"/>
              <w:rPr>
                <w:rFonts w:asciiTheme="minorHAnsi" w:hAnsiTheme="minorHAnsi" w:cstheme="minorHAnsi"/>
                <w:sz w:val="22"/>
                <w:szCs w:val="22"/>
              </w:rPr>
            </w:pPr>
            <w:r w:rsidRPr="001D200B">
              <w:rPr>
                <w:rFonts w:asciiTheme="minorHAnsi" w:hAnsiTheme="minorHAnsi" w:cstheme="minorHAnsi"/>
                <w:sz w:val="22"/>
                <w:szCs w:val="22"/>
              </w:rPr>
              <w:t>kocioł co o mocy 2x200kW</w:t>
            </w:r>
          </w:p>
          <w:p w:rsidR="003056EA" w:rsidRPr="001D200B" w:rsidRDefault="003056EA" w:rsidP="000717EF">
            <w:pPr>
              <w:pStyle w:val="Tekstdymka"/>
              <w:spacing w:before="0" w:after="0" w:line="240" w:lineRule="auto"/>
              <w:jc w:val="center"/>
              <w:rPr>
                <w:rFonts w:asciiTheme="minorHAnsi" w:hAnsiTheme="minorHAnsi" w:cstheme="minorHAnsi"/>
                <w:sz w:val="22"/>
                <w:szCs w:val="22"/>
              </w:rPr>
            </w:pPr>
            <w:r w:rsidRPr="001D200B">
              <w:rPr>
                <w:rFonts w:asciiTheme="minorHAnsi" w:hAnsiTheme="minorHAnsi" w:cstheme="minorHAnsi"/>
                <w:sz w:val="22"/>
                <w:szCs w:val="22"/>
              </w:rPr>
              <w:t>Paliwo olej opałowy</w:t>
            </w:r>
          </w:p>
        </w:tc>
        <w:tc>
          <w:tcPr>
            <w:tcW w:w="2055" w:type="dxa"/>
            <w:vAlign w:val="center"/>
          </w:tcPr>
          <w:p w:rsidR="003056EA" w:rsidRPr="001D200B" w:rsidRDefault="00DA4A60" w:rsidP="000717EF">
            <w:pPr>
              <w:pStyle w:val="Tekstdymka"/>
              <w:spacing w:before="0" w:after="0" w:line="240" w:lineRule="auto"/>
              <w:jc w:val="center"/>
              <w:rPr>
                <w:rFonts w:asciiTheme="minorHAnsi" w:hAnsiTheme="minorHAnsi" w:cstheme="minorHAnsi"/>
                <w:sz w:val="22"/>
                <w:szCs w:val="22"/>
              </w:rPr>
            </w:pPr>
            <w:r w:rsidRPr="001D200B">
              <w:rPr>
                <w:rFonts w:asciiTheme="minorHAnsi" w:hAnsiTheme="minorHAnsi" w:cstheme="minorHAnsi"/>
                <w:sz w:val="22"/>
                <w:szCs w:val="22"/>
              </w:rPr>
              <w:t>1 </w:t>
            </w:r>
            <w:r w:rsidR="000717EF" w:rsidRPr="001D200B">
              <w:rPr>
                <w:rFonts w:asciiTheme="minorHAnsi" w:hAnsiTheme="minorHAnsi" w:cstheme="minorHAnsi"/>
                <w:sz w:val="22"/>
                <w:szCs w:val="22"/>
              </w:rPr>
              <w:t>200</w:t>
            </w:r>
            <w:r w:rsidRPr="001D200B">
              <w:rPr>
                <w:rFonts w:asciiTheme="minorHAnsi" w:hAnsiTheme="minorHAnsi" w:cstheme="minorHAnsi"/>
                <w:sz w:val="22"/>
                <w:szCs w:val="22"/>
              </w:rPr>
              <w:t xml:space="preserve"> </w:t>
            </w:r>
          </w:p>
        </w:tc>
      </w:tr>
      <w:tr w:rsidR="00027CC4" w:rsidRPr="001D200B" w:rsidTr="00931F90">
        <w:trPr>
          <w:trHeight w:val="255"/>
          <w:jc w:val="center"/>
        </w:trPr>
        <w:tc>
          <w:tcPr>
            <w:tcW w:w="419" w:type="dxa"/>
            <w:vAlign w:val="center"/>
          </w:tcPr>
          <w:p w:rsidR="00027CC4" w:rsidRPr="001D200B" w:rsidRDefault="00B031C0" w:rsidP="000717EF">
            <w:pPr>
              <w:spacing w:before="0" w:after="0" w:line="240" w:lineRule="auto"/>
              <w:rPr>
                <w:rFonts w:cstheme="minorHAnsi"/>
                <w:sz w:val="22"/>
                <w:szCs w:val="22"/>
              </w:rPr>
            </w:pPr>
            <w:r w:rsidRPr="001D200B">
              <w:rPr>
                <w:rFonts w:cstheme="minorHAnsi"/>
                <w:sz w:val="22"/>
                <w:szCs w:val="22"/>
              </w:rPr>
              <w:t>2.</w:t>
            </w:r>
          </w:p>
        </w:tc>
        <w:tc>
          <w:tcPr>
            <w:tcW w:w="2916" w:type="dxa"/>
            <w:noWrap/>
            <w:vAlign w:val="center"/>
          </w:tcPr>
          <w:p w:rsidR="00027CC4" w:rsidRPr="001D200B" w:rsidRDefault="006507AD" w:rsidP="00504C04">
            <w:pPr>
              <w:spacing w:before="0" w:after="0" w:line="240" w:lineRule="auto"/>
              <w:jc w:val="left"/>
              <w:rPr>
                <w:rFonts w:cstheme="minorHAnsi"/>
                <w:sz w:val="22"/>
                <w:szCs w:val="22"/>
              </w:rPr>
            </w:pPr>
            <w:r w:rsidRPr="001D200B">
              <w:rPr>
                <w:rFonts w:cstheme="minorHAnsi"/>
                <w:sz w:val="22"/>
                <w:szCs w:val="22"/>
              </w:rPr>
              <w:t>Publiczna Szkoła Podstawowa w Zrębinie</w:t>
            </w:r>
            <w:r w:rsidR="00504C04" w:rsidRPr="001D200B">
              <w:rPr>
                <w:rFonts w:cstheme="minorHAnsi"/>
                <w:sz w:val="22"/>
                <w:szCs w:val="22"/>
              </w:rPr>
              <w:t xml:space="preserve">, </w:t>
            </w:r>
            <w:r w:rsidR="006B0EAA" w:rsidRPr="001D200B">
              <w:rPr>
                <w:rFonts w:cstheme="minorHAnsi"/>
                <w:sz w:val="22"/>
                <w:szCs w:val="22"/>
              </w:rPr>
              <w:t>Zrębin 38</w:t>
            </w:r>
          </w:p>
        </w:tc>
        <w:tc>
          <w:tcPr>
            <w:tcW w:w="1417" w:type="dxa"/>
            <w:vAlign w:val="center"/>
          </w:tcPr>
          <w:p w:rsidR="00027CC4" w:rsidRPr="001D200B" w:rsidRDefault="000717EF" w:rsidP="000717EF">
            <w:pPr>
              <w:spacing w:before="0" w:after="0" w:line="240" w:lineRule="auto"/>
              <w:jc w:val="center"/>
              <w:rPr>
                <w:rFonts w:cstheme="minorHAnsi"/>
                <w:sz w:val="22"/>
                <w:szCs w:val="22"/>
              </w:rPr>
            </w:pPr>
            <w:r w:rsidRPr="001D200B">
              <w:rPr>
                <w:rFonts w:cstheme="minorHAnsi"/>
                <w:sz w:val="22"/>
                <w:szCs w:val="22"/>
              </w:rPr>
              <w:t>451,4</w:t>
            </w:r>
          </w:p>
        </w:tc>
        <w:tc>
          <w:tcPr>
            <w:tcW w:w="2694" w:type="dxa"/>
            <w:vAlign w:val="center"/>
          </w:tcPr>
          <w:p w:rsidR="00027CC4" w:rsidRPr="001D200B" w:rsidRDefault="00E77A82" w:rsidP="000717EF">
            <w:pPr>
              <w:spacing w:before="0" w:after="0" w:line="240" w:lineRule="auto"/>
              <w:jc w:val="center"/>
              <w:rPr>
                <w:rFonts w:cstheme="minorHAnsi"/>
                <w:sz w:val="22"/>
                <w:szCs w:val="22"/>
              </w:rPr>
            </w:pPr>
            <w:r w:rsidRPr="001D200B">
              <w:rPr>
                <w:rFonts w:cstheme="minorHAnsi"/>
                <w:sz w:val="22"/>
                <w:szCs w:val="22"/>
              </w:rPr>
              <w:t>Pompa ciepła + instalacja fotowoltaiczna</w:t>
            </w:r>
          </w:p>
        </w:tc>
        <w:tc>
          <w:tcPr>
            <w:tcW w:w="2055" w:type="dxa"/>
            <w:vAlign w:val="center"/>
          </w:tcPr>
          <w:p w:rsidR="00027CC4" w:rsidRPr="001D200B" w:rsidRDefault="000717EF" w:rsidP="000717EF">
            <w:pPr>
              <w:spacing w:before="0" w:after="0" w:line="240" w:lineRule="auto"/>
              <w:jc w:val="center"/>
              <w:rPr>
                <w:rFonts w:cstheme="minorHAnsi"/>
                <w:sz w:val="22"/>
                <w:szCs w:val="22"/>
              </w:rPr>
            </w:pPr>
            <w:r w:rsidRPr="001D200B">
              <w:rPr>
                <w:rFonts w:cstheme="minorHAnsi"/>
                <w:sz w:val="22"/>
                <w:szCs w:val="22"/>
              </w:rPr>
              <w:t>177</w:t>
            </w:r>
            <w:r w:rsidR="001D4EEC" w:rsidRPr="001D200B">
              <w:rPr>
                <w:rFonts w:cstheme="minorHAnsi"/>
                <w:sz w:val="22"/>
                <w:szCs w:val="22"/>
              </w:rPr>
              <w:t xml:space="preserve"> </w:t>
            </w:r>
          </w:p>
        </w:tc>
      </w:tr>
      <w:tr w:rsidR="00027CC4" w:rsidRPr="001D200B" w:rsidTr="00931F90">
        <w:trPr>
          <w:trHeight w:val="255"/>
          <w:jc w:val="center"/>
        </w:trPr>
        <w:tc>
          <w:tcPr>
            <w:tcW w:w="419" w:type="dxa"/>
            <w:vAlign w:val="center"/>
          </w:tcPr>
          <w:p w:rsidR="00027CC4" w:rsidRPr="001D200B" w:rsidRDefault="00D267C3" w:rsidP="000717EF">
            <w:pPr>
              <w:spacing w:before="0" w:after="0" w:line="240" w:lineRule="auto"/>
              <w:jc w:val="center"/>
              <w:rPr>
                <w:rFonts w:cstheme="minorHAnsi"/>
                <w:sz w:val="22"/>
                <w:szCs w:val="22"/>
                <w:highlight w:val="yellow"/>
              </w:rPr>
            </w:pPr>
            <w:r w:rsidRPr="001D200B">
              <w:rPr>
                <w:rFonts w:cstheme="minorHAnsi"/>
                <w:sz w:val="22"/>
                <w:szCs w:val="22"/>
              </w:rPr>
              <w:t>3</w:t>
            </w:r>
            <w:r w:rsidR="00BF68B7" w:rsidRPr="001D200B">
              <w:rPr>
                <w:rFonts w:cstheme="minorHAnsi"/>
                <w:sz w:val="22"/>
                <w:szCs w:val="22"/>
              </w:rPr>
              <w:t>.</w:t>
            </w:r>
          </w:p>
        </w:tc>
        <w:tc>
          <w:tcPr>
            <w:tcW w:w="2916" w:type="dxa"/>
            <w:noWrap/>
            <w:vAlign w:val="center"/>
          </w:tcPr>
          <w:p w:rsidR="00A35136" w:rsidRPr="001D200B" w:rsidRDefault="00A35136" w:rsidP="000717EF">
            <w:pPr>
              <w:spacing w:before="0" w:after="0" w:line="240" w:lineRule="auto"/>
              <w:jc w:val="left"/>
              <w:rPr>
                <w:rFonts w:cstheme="minorHAnsi"/>
                <w:sz w:val="22"/>
                <w:szCs w:val="22"/>
              </w:rPr>
            </w:pPr>
            <w:r w:rsidRPr="001D200B">
              <w:rPr>
                <w:rFonts w:cstheme="minorHAnsi"/>
                <w:sz w:val="22"/>
                <w:szCs w:val="22"/>
              </w:rPr>
              <w:t>Publiczna Szkoła Podstawowa w Połańcu im. T. Kościuszki</w:t>
            </w:r>
          </w:p>
          <w:p w:rsidR="00C109DD" w:rsidRPr="001D200B" w:rsidRDefault="00A35136" w:rsidP="000B4A28">
            <w:pPr>
              <w:spacing w:before="0" w:after="0" w:line="240" w:lineRule="auto"/>
              <w:jc w:val="left"/>
              <w:rPr>
                <w:rFonts w:cstheme="minorHAnsi"/>
                <w:sz w:val="22"/>
                <w:szCs w:val="22"/>
              </w:rPr>
            </w:pPr>
            <w:r w:rsidRPr="001D200B">
              <w:rPr>
                <w:rFonts w:cstheme="minorHAnsi"/>
                <w:sz w:val="22"/>
                <w:szCs w:val="22"/>
              </w:rPr>
              <w:t>ul. Żapniowska 1</w:t>
            </w:r>
          </w:p>
        </w:tc>
        <w:tc>
          <w:tcPr>
            <w:tcW w:w="1417" w:type="dxa"/>
            <w:vAlign w:val="center"/>
          </w:tcPr>
          <w:p w:rsidR="00027CC4" w:rsidRPr="001D200B" w:rsidRDefault="00D267C3" w:rsidP="000717EF">
            <w:pPr>
              <w:spacing w:before="0" w:after="0" w:line="240" w:lineRule="auto"/>
              <w:jc w:val="center"/>
              <w:rPr>
                <w:rFonts w:cstheme="minorHAnsi"/>
                <w:sz w:val="22"/>
                <w:szCs w:val="22"/>
              </w:rPr>
            </w:pPr>
            <w:r w:rsidRPr="001D200B">
              <w:rPr>
                <w:rFonts w:cstheme="minorHAnsi"/>
                <w:sz w:val="22"/>
                <w:szCs w:val="22"/>
              </w:rPr>
              <w:t>12 117</w:t>
            </w:r>
          </w:p>
        </w:tc>
        <w:tc>
          <w:tcPr>
            <w:tcW w:w="2694" w:type="dxa"/>
            <w:vAlign w:val="center"/>
          </w:tcPr>
          <w:p w:rsidR="00027CC4" w:rsidRPr="001D200B" w:rsidRDefault="00A35136" w:rsidP="00D267C3">
            <w:pPr>
              <w:spacing w:before="0" w:after="0" w:line="240" w:lineRule="auto"/>
              <w:jc w:val="center"/>
              <w:rPr>
                <w:rFonts w:cstheme="minorHAnsi"/>
                <w:sz w:val="22"/>
                <w:szCs w:val="22"/>
              </w:rPr>
            </w:pPr>
            <w:r w:rsidRPr="001D200B">
              <w:rPr>
                <w:rFonts w:cstheme="minorHAnsi"/>
                <w:sz w:val="22"/>
                <w:szCs w:val="22"/>
              </w:rPr>
              <w:t xml:space="preserve">Zasilanie z sieci ciepłowniczej </w:t>
            </w:r>
            <w:r w:rsidR="00D267C3" w:rsidRPr="001D200B">
              <w:rPr>
                <w:rFonts w:cstheme="minorHAnsi"/>
                <w:sz w:val="22"/>
                <w:szCs w:val="22"/>
              </w:rPr>
              <w:t>PGK sp. z o.o. w Połańcu</w:t>
            </w:r>
          </w:p>
        </w:tc>
        <w:tc>
          <w:tcPr>
            <w:tcW w:w="2055" w:type="dxa"/>
            <w:vAlign w:val="center"/>
          </w:tcPr>
          <w:p w:rsidR="00027CC4" w:rsidRPr="001D200B" w:rsidRDefault="00D267C3" w:rsidP="00D267C3">
            <w:pPr>
              <w:spacing w:before="0" w:after="0" w:line="240" w:lineRule="auto"/>
              <w:jc w:val="center"/>
              <w:rPr>
                <w:rFonts w:cstheme="minorHAnsi"/>
                <w:sz w:val="22"/>
                <w:szCs w:val="22"/>
              </w:rPr>
            </w:pPr>
            <w:r w:rsidRPr="001D200B">
              <w:rPr>
                <w:rFonts w:cstheme="minorHAnsi"/>
                <w:sz w:val="22"/>
                <w:szCs w:val="22"/>
              </w:rPr>
              <w:t>3 500</w:t>
            </w:r>
          </w:p>
        </w:tc>
      </w:tr>
      <w:tr w:rsidR="00F5415E" w:rsidRPr="001D200B" w:rsidTr="00931F90">
        <w:trPr>
          <w:trHeight w:val="255"/>
          <w:jc w:val="center"/>
        </w:trPr>
        <w:tc>
          <w:tcPr>
            <w:tcW w:w="419" w:type="dxa"/>
            <w:vAlign w:val="center"/>
          </w:tcPr>
          <w:p w:rsidR="00F5415E" w:rsidRPr="001D200B" w:rsidRDefault="00D267C3" w:rsidP="000717EF">
            <w:pPr>
              <w:spacing w:before="0" w:after="0" w:line="240" w:lineRule="auto"/>
              <w:jc w:val="center"/>
              <w:rPr>
                <w:rFonts w:cstheme="minorHAnsi"/>
                <w:sz w:val="22"/>
                <w:szCs w:val="22"/>
              </w:rPr>
            </w:pPr>
            <w:r w:rsidRPr="001D200B">
              <w:rPr>
                <w:rFonts w:cstheme="minorHAnsi"/>
                <w:sz w:val="22"/>
                <w:szCs w:val="22"/>
              </w:rPr>
              <w:t>4</w:t>
            </w:r>
            <w:r w:rsidR="00BF68B7" w:rsidRPr="001D200B">
              <w:rPr>
                <w:rFonts w:cstheme="minorHAnsi"/>
                <w:sz w:val="22"/>
                <w:szCs w:val="22"/>
              </w:rPr>
              <w:t>.</w:t>
            </w:r>
          </w:p>
        </w:tc>
        <w:tc>
          <w:tcPr>
            <w:tcW w:w="2916" w:type="dxa"/>
            <w:noWrap/>
            <w:vAlign w:val="center"/>
          </w:tcPr>
          <w:p w:rsidR="00F5415E" w:rsidRPr="001D200B" w:rsidRDefault="00F5415E" w:rsidP="000B4A28">
            <w:pPr>
              <w:spacing w:before="0" w:after="0" w:line="240" w:lineRule="auto"/>
              <w:jc w:val="left"/>
              <w:rPr>
                <w:rFonts w:cstheme="minorHAnsi"/>
                <w:sz w:val="22"/>
                <w:szCs w:val="22"/>
              </w:rPr>
            </w:pPr>
            <w:r w:rsidRPr="001D200B">
              <w:rPr>
                <w:rFonts w:cstheme="minorHAnsi"/>
                <w:sz w:val="22"/>
                <w:szCs w:val="22"/>
              </w:rPr>
              <w:t xml:space="preserve">Przedszkole Publiczne </w:t>
            </w:r>
            <w:r w:rsidR="006B0EAA" w:rsidRPr="001D200B">
              <w:rPr>
                <w:rFonts w:cstheme="minorHAnsi"/>
                <w:sz w:val="22"/>
                <w:szCs w:val="22"/>
              </w:rPr>
              <w:t xml:space="preserve">w Połańcu Filia </w:t>
            </w:r>
            <w:r w:rsidRPr="001D200B">
              <w:rPr>
                <w:rFonts w:cstheme="minorHAnsi"/>
                <w:sz w:val="22"/>
                <w:szCs w:val="22"/>
              </w:rPr>
              <w:t xml:space="preserve">Nr </w:t>
            </w:r>
            <w:r w:rsidR="00B67B19" w:rsidRPr="001D200B">
              <w:rPr>
                <w:rFonts w:cstheme="minorHAnsi"/>
                <w:sz w:val="22"/>
                <w:szCs w:val="22"/>
              </w:rPr>
              <w:t>2</w:t>
            </w:r>
            <w:r w:rsidR="000B4A28" w:rsidRPr="001D200B">
              <w:rPr>
                <w:rFonts w:cstheme="minorHAnsi"/>
                <w:sz w:val="22"/>
                <w:szCs w:val="22"/>
              </w:rPr>
              <w:t xml:space="preserve"> </w:t>
            </w:r>
            <w:r w:rsidRPr="001D200B">
              <w:rPr>
                <w:rFonts w:cstheme="minorHAnsi"/>
                <w:sz w:val="22"/>
                <w:szCs w:val="22"/>
              </w:rPr>
              <w:t xml:space="preserve">ul. </w:t>
            </w:r>
            <w:r w:rsidR="00B67B19" w:rsidRPr="001D200B">
              <w:rPr>
                <w:rFonts w:cstheme="minorHAnsi"/>
                <w:sz w:val="22"/>
                <w:szCs w:val="22"/>
              </w:rPr>
              <w:t>Kościelna 9</w:t>
            </w:r>
          </w:p>
        </w:tc>
        <w:tc>
          <w:tcPr>
            <w:tcW w:w="1417" w:type="dxa"/>
            <w:vAlign w:val="center"/>
          </w:tcPr>
          <w:p w:rsidR="00F5415E" w:rsidRPr="001D200B" w:rsidRDefault="00D267C3" w:rsidP="000717EF">
            <w:pPr>
              <w:spacing w:before="0" w:after="0" w:line="240" w:lineRule="auto"/>
              <w:jc w:val="center"/>
              <w:rPr>
                <w:rFonts w:cstheme="minorHAnsi"/>
                <w:sz w:val="22"/>
                <w:szCs w:val="22"/>
              </w:rPr>
            </w:pPr>
            <w:r w:rsidRPr="001D200B">
              <w:rPr>
                <w:rFonts w:cstheme="minorHAnsi"/>
                <w:sz w:val="22"/>
                <w:szCs w:val="22"/>
              </w:rPr>
              <w:t>220,0</w:t>
            </w:r>
          </w:p>
        </w:tc>
        <w:tc>
          <w:tcPr>
            <w:tcW w:w="2694" w:type="dxa"/>
            <w:vAlign w:val="center"/>
          </w:tcPr>
          <w:p w:rsidR="00F5415E" w:rsidRPr="001D200B" w:rsidRDefault="00E82E20" w:rsidP="000717EF">
            <w:pPr>
              <w:spacing w:before="0" w:after="0" w:line="240" w:lineRule="auto"/>
              <w:jc w:val="center"/>
              <w:rPr>
                <w:rFonts w:cstheme="minorHAnsi"/>
                <w:sz w:val="22"/>
                <w:szCs w:val="22"/>
              </w:rPr>
            </w:pPr>
            <w:r w:rsidRPr="001D200B">
              <w:rPr>
                <w:rFonts w:cstheme="minorHAnsi"/>
                <w:sz w:val="22"/>
                <w:szCs w:val="22"/>
              </w:rPr>
              <w:t xml:space="preserve">Ogrzewanie </w:t>
            </w:r>
            <w:r w:rsidR="006B0EAA" w:rsidRPr="001D200B">
              <w:rPr>
                <w:rFonts w:cstheme="minorHAnsi"/>
                <w:sz w:val="22"/>
                <w:szCs w:val="22"/>
              </w:rPr>
              <w:t>piece elektryczne akumulacyjne</w:t>
            </w:r>
            <w:r w:rsidR="00B67B19" w:rsidRPr="001D200B">
              <w:rPr>
                <w:rFonts w:cstheme="minorHAnsi"/>
                <w:sz w:val="22"/>
                <w:szCs w:val="22"/>
              </w:rPr>
              <w:t xml:space="preserve"> </w:t>
            </w:r>
          </w:p>
        </w:tc>
        <w:tc>
          <w:tcPr>
            <w:tcW w:w="2055" w:type="dxa"/>
            <w:vAlign w:val="center"/>
          </w:tcPr>
          <w:p w:rsidR="00F5415E" w:rsidRPr="001D200B" w:rsidRDefault="002874EE" w:rsidP="002874EE">
            <w:pPr>
              <w:spacing w:before="0" w:after="0" w:line="240" w:lineRule="auto"/>
              <w:jc w:val="center"/>
              <w:rPr>
                <w:rFonts w:cstheme="minorHAnsi"/>
                <w:sz w:val="22"/>
                <w:szCs w:val="22"/>
              </w:rPr>
            </w:pPr>
            <w:r w:rsidRPr="001D200B">
              <w:rPr>
                <w:rFonts w:cstheme="minorHAnsi"/>
                <w:sz w:val="22"/>
                <w:szCs w:val="22"/>
              </w:rPr>
              <w:t xml:space="preserve">80 </w:t>
            </w:r>
          </w:p>
        </w:tc>
      </w:tr>
      <w:tr w:rsidR="00027CC4" w:rsidRPr="001D200B" w:rsidTr="00931F90">
        <w:trPr>
          <w:trHeight w:val="255"/>
          <w:jc w:val="center"/>
        </w:trPr>
        <w:tc>
          <w:tcPr>
            <w:tcW w:w="419" w:type="dxa"/>
            <w:vAlign w:val="center"/>
          </w:tcPr>
          <w:p w:rsidR="00027CC4" w:rsidRPr="001D200B" w:rsidRDefault="00D267C3" w:rsidP="000717EF">
            <w:pPr>
              <w:spacing w:before="0" w:after="0" w:line="240" w:lineRule="auto"/>
              <w:jc w:val="center"/>
              <w:rPr>
                <w:rFonts w:cstheme="minorHAnsi"/>
                <w:sz w:val="22"/>
                <w:szCs w:val="22"/>
              </w:rPr>
            </w:pPr>
            <w:r w:rsidRPr="001D200B">
              <w:rPr>
                <w:rFonts w:cstheme="minorHAnsi"/>
                <w:sz w:val="22"/>
                <w:szCs w:val="22"/>
              </w:rPr>
              <w:t>5</w:t>
            </w:r>
            <w:r w:rsidR="00B031C0" w:rsidRPr="001D200B">
              <w:rPr>
                <w:rFonts w:cstheme="minorHAnsi"/>
                <w:sz w:val="22"/>
                <w:szCs w:val="22"/>
              </w:rPr>
              <w:t>.</w:t>
            </w:r>
          </w:p>
        </w:tc>
        <w:tc>
          <w:tcPr>
            <w:tcW w:w="2916" w:type="dxa"/>
            <w:noWrap/>
            <w:vAlign w:val="center"/>
          </w:tcPr>
          <w:p w:rsidR="000D0139" w:rsidRPr="001D200B" w:rsidRDefault="000D0139" w:rsidP="00504C04">
            <w:pPr>
              <w:spacing w:before="0" w:after="0" w:line="240" w:lineRule="auto"/>
              <w:jc w:val="left"/>
              <w:rPr>
                <w:rFonts w:cstheme="minorHAnsi"/>
                <w:sz w:val="22"/>
                <w:szCs w:val="22"/>
              </w:rPr>
            </w:pPr>
            <w:r w:rsidRPr="001D200B">
              <w:rPr>
                <w:rFonts w:cstheme="minorHAnsi"/>
                <w:sz w:val="22"/>
                <w:szCs w:val="22"/>
              </w:rPr>
              <w:t>Przedszkole Publiczne w Połańcu</w:t>
            </w:r>
            <w:r w:rsidR="00504C04" w:rsidRPr="001D200B">
              <w:rPr>
                <w:rFonts w:cstheme="minorHAnsi"/>
                <w:sz w:val="22"/>
                <w:szCs w:val="22"/>
              </w:rPr>
              <w:t xml:space="preserve"> </w:t>
            </w:r>
            <w:r w:rsidRPr="001D200B">
              <w:rPr>
                <w:rFonts w:cstheme="minorHAnsi"/>
                <w:sz w:val="22"/>
                <w:szCs w:val="22"/>
              </w:rPr>
              <w:t>ul. Madalińskiego 1</w:t>
            </w:r>
          </w:p>
        </w:tc>
        <w:tc>
          <w:tcPr>
            <w:tcW w:w="1417" w:type="dxa"/>
            <w:vAlign w:val="center"/>
          </w:tcPr>
          <w:p w:rsidR="00027CC4" w:rsidRPr="001D200B" w:rsidRDefault="000D0139" w:rsidP="00D267C3">
            <w:pPr>
              <w:spacing w:before="0" w:after="0" w:line="240" w:lineRule="auto"/>
              <w:jc w:val="center"/>
              <w:rPr>
                <w:rFonts w:cstheme="minorHAnsi"/>
                <w:sz w:val="22"/>
                <w:szCs w:val="22"/>
              </w:rPr>
            </w:pPr>
            <w:r w:rsidRPr="001D200B">
              <w:rPr>
                <w:rFonts w:cstheme="minorHAnsi"/>
                <w:sz w:val="22"/>
                <w:szCs w:val="22"/>
              </w:rPr>
              <w:t>100</w:t>
            </w:r>
            <w:r w:rsidR="00C14EF3" w:rsidRPr="001D200B">
              <w:rPr>
                <w:rFonts w:cstheme="minorHAnsi"/>
                <w:sz w:val="22"/>
                <w:szCs w:val="22"/>
              </w:rPr>
              <w:t>8</w:t>
            </w:r>
            <w:r w:rsidR="0062272F" w:rsidRPr="001D200B">
              <w:rPr>
                <w:rFonts w:cstheme="minorHAnsi"/>
                <w:sz w:val="22"/>
                <w:szCs w:val="22"/>
              </w:rPr>
              <w:t>,</w:t>
            </w:r>
            <w:r w:rsidR="00C14EF3" w:rsidRPr="001D200B">
              <w:rPr>
                <w:rFonts w:cstheme="minorHAnsi"/>
                <w:sz w:val="22"/>
                <w:szCs w:val="22"/>
              </w:rPr>
              <w:t>5</w:t>
            </w:r>
          </w:p>
        </w:tc>
        <w:tc>
          <w:tcPr>
            <w:tcW w:w="2694" w:type="dxa"/>
            <w:vAlign w:val="center"/>
          </w:tcPr>
          <w:p w:rsidR="00D517E7" w:rsidRPr="001D200B" w:rsidRDefault="00D267C3" w:rsidP="000717EF">
            <w:pPr>
              <w:spacing w:before="0" w:after="0" w:line="240" w:lineRule="auto"/>
              <w:jc w:val="center"/>
              <w:rPr>
                <w:rFonts w:cstheme="minorHAnsi"/>
                <w:sz w:val="22"/>
                <w:szCs w:val="22"/>
              </w:rPr>
            </w:pPr>
            <w:r w:rsidRPr="001D200B">
              <w:rPr>
                <w:rFonts w:cstheme="minorHAnsi"/>
                <w:sz w:val="22"/>
                <w:szCs w:val="22"/>
              </w:rPr>
              <w:t>Zasilanie z sieci ciepłowniczej PGK sp. z o.o. w Połańcu</w:t>
            </w:r>
          </w:p>
        </w:tc>
        <w:tc>
          <w:tcPr>
            <w:tcW w:w="2055" w:type="dxa"/>
            <w:vAlign w:val="center"/>
          </w:tcPr>
          <w:p w:rsidR="00027CC4" w:rsidRPr="001D200B" w:rsidRDefault="0062272F" w:rsidP="00D267C3">
            <w:pPr>
              <w:spacing w:before="0" w:after="0" w:line="240" w:lineRule="auto"/>
              <w:jc w:val="center"/>
              <w:rPr>
                <w:rFonts w:cstheme="minorHAnsi"/>
                <w:sz w:val="22"/>
                <w:szCs w:val="22"/>
              </w:rPr>
            </w:pPr>
            <w:r w:rsidRPr="001D200B">
              <w:rPr>
                <w:rFonts w:cstheme="minorHAnsi"/>
                <w:sz w:val="22"/>
                <w:szCs w:val="22"/>
              </w:rPr>
              <w:t>37</w:t>
            </w:r>
            <w:r w:rsidR="00D267C3" w:rsidRPr="001D200B">
              <w:rPr>
                <w:rFonts w:cstheme="minorHAnsi"/>
                <w:sz w:val="22"/>
                <w:szCs w:val="22"/>
              </w:rPr>
              <w:t>0</w:t>
            </w:r>
            <w:r w:rsidRPr="001D200B">
              <w:rPr>
                <w:rFonts w:cstheme="minorHAnsi"/>
                <w:sz w:val="22"/>
                <w:szCs w:val="22"/>
              </w:rPr>
              <w:t xml:space="preserve"> </w:t>
            </w:r>
          </w:p>
        </w:tc>
      </w:tr>
      <w:tr w:rsidR="00027CC4" w:rsidRPr="001D200B" w:rsidTr="00931F90">
        <w:trPr>
          <w:trHeight w:val="255"/>
          <w:jc w:val="center"/>
        </w:trPr>
        <w:tc>
          <w:tcPr>
            <w:tcW w:w="419" w:type="dxa"/>
            <w:vAlign w:val="center"/>
          </w:tcPr>
          <w:p w:rsidR="00027CC4" w:rsidRPr="001D200B" w:rsidRDefault="00D267C3" w:rsidP="000717EF">
            <w:pPr>
              <w:spacing w:before="0" w:after="0" w:line="240" w:lineRule="auto"/>
              <w:rPr>
                <w:rFonts w:cstheme="minorHAnsi"/>
                <w:sz w:val="22"/>
                <w:szCs w:val="22"/>
              </w:rPr>
            </w:pPr>
            <w:r w:rsidRPr="001D200B">
              <w:rPr>
                <w:rFonts w:cstheme="minorHAnsi"/>
                <w:sz w:val="22"/>
                <w:szCs w:val="22"/>
              </w:rPr>
              <w:t>6</w:t>
            </w:r>
            <w:r w:rsidR="00B031C0" w:rsidRPr="001D200B">
              <w:rPr>
                <w:rFonts w:cstheme="minorHAnsi"/>
                <w:sz w:val="22"/>
                <w:szCs w:val="22"/>
              </w:rPr>
              <w:t>.</w:t>
            </w:r>
          </w:p>
        </w:tc>
        <w:tc>
          <w:tcPr>
            <w:tcW w:w="2916" w:type="dxa"/>
            <w:noWrap/>
            <w:vAlign w:val="center"/>
          </w:tcPr>
          <w:p w:rsidR="000C4483" w:rsidRPr="001D200B" w:rsidRDefault="000C4483" w:rsidP="000B4A28">
            <w:pPr>
              <w:spacing w:before="0" w:after="0" w:line="240" w:lineRule="auto"/>
              <w:jc w:val="left"/>
              <w:rPr>
                <w:rFonts w:cstheme="minorHAnsi"/>
                <w:sz w:val="22"/>
                <w:szCs w:val="22"/>
              </w:rPr>
            </w:pPr>
            <w:r w:rsidRPr="001D200B">
              <w:rPr>
                <w:rFonts w:cstheme="minorHAnsi"/>
                <w:sz w:val="22"/>
                <w:szCs w:val="22"/>
              </w:rPr>
              <w:t>Centrum Kultury i Sztuki w Połańcu</w:t>
            </w:r>
            <w:r w:rsidR="000B4A28" w:rsidRPr="001D200B">
              <w:rPr>
                <w:rFonts w:cstheme="minorHAnsi"/>
                <w:sz w:val="22"/>
                <w:szCs w:val="22"/>
              </w:rPr>
              <w:t xml:space="preserve"> </w:t>
            </w:r>
            <w:r w:rsidRPr="001D200B">
              <w:rPr>
                <w:rFonts w:cstheme="minorHAnsi"/>
                <w:sz w:val="22"/>
                <w:szCs w:val="22"/>
              </w:rPr>
              <w:t xml:space="preserve">ul. S. Czarnieckiego </w:t>
            </w:r>
            <w:r w:rsidR="0062272F" w:rsidRPr="001D200B">
              <w:rPr>
                <w:rFonts w:cstheme="minorHAnsi"/>
                <w:sz w:val="22"/>
                <w:szCs w:val="22"/>
              </w:rPr>
              <w:t>5</w:t>
            </w:r>
          </w:p>
        </w:tc>
        <w:tc>
          <w:tcPr>
            <w:tcW w:w="1417" w:type="dxa"/>
            <w:vAlign w:val="center"/>
          </w:tcPr>
          <w:p w:rsidR="00027CC4" w:rsidRPr="001D200B" w:rsidRDefault="0062272F" w:rsidP="000717EF">
            <w:pPr>
              <w:spacing w:before="0" w:after="0" w:line="240" w:lineRule="auto"/>
              <w:jc w:val="center"/>
              <w:rPr>
                <w:rFonts w:cstheme="minorHAnsi"/>
                <w:sz w:val="22"/>
                <w:szCs w:val="22"/>
              </w:rPr>
            </w:pPr>
            <w:r w:rsidRPr="001D200B">
              <w:rPr>
                <w:rFonts w:cstheme="minorHAnsi"/>
                <w:sz w:val="22"/>
                <w:szCs w:val="22"/>
              </w:rPr>
              <w:t>3094,3</w:t>
            </w:r>
          </w:p>
        </w:tc>
        <w:tc>
          <w:tcPr>
            <w:tcW w:w="2694" w:type="dxa"/>
            <w:vAlign w:val="center"/>
          </w:tcPr>
          <w:p w:rsidR="00027CC4" w:rsidRPr="001D200B" w:rsidRDefault="00D267C3" w:rsidP="000717EF">
            <w:pPr>
              <w:spacing w:before="0" w:after="0" w:line="240" w:lineRule="auto"/>
              <w:jc w:val="center"/>
              <w:rPr>
                <w:rFonts w:cstheme="minorHAnsi"/>
                <w:sz w:val="22"/>
                <w:szCs w:val="22"/>
              </w:rPr>
            </w:pPr>
            <w:r w:rsidRPr="001D200B">
              <w:rPr>
                <w:rFonts w:cstheme="minorHAnsi"/>
                <w:sz w:val="22"/>
                <w:szCs w:val="22"/>
              </w:rPr>
              <w:t>Zasilanie z sieci ciepłowniczej PGK sp. z o.o. w Połańcu</w:t>
            </w:r>
          </w:p>
        </w:tc>
        <w:tc>
          <w:tcPr>
            <w:tcW w:w="2055" w:type="dxa"/>
            <w:vAlign w:val="center"/>
          </w:tcPr>
          <w:p w:rsidR="00027CC4" w:rsidRPr="001D200B" w:rsidRDefault="0062272F" w:rsidP="00D267C3">
            <w:pPr>
              <w:spacing w:before="0" w:after="0" w:line="240" w:lineRule="auto"/>
              <w:jc w:val="center"/>
              <w:rPr>
                <w:rFonts w:cstheme="minorHAnsi"/>
                <w:sz w:val="22"/>
                <w:szCs w:val="22"/>
              </w:rPr>
            </w:pPr>
            <w:r w:rsidRPr="001D200B">
              <w:rPr>
                <w:rFonts w:cstheme="minorHAnsi"/>
                <w:sz w:val="22"/>
                <w:szCs w:val="22"/>
              </w:rPr>
              <w:t>7</w:t>
            </w:r>
            <w:r w:rsidR="00D267C3" w:rsidRPr="001D200B">
              <w:rPr>
                <w:rFonts w:cstheme="minorHAnsi"/>
                <w:sz w:val="22"/>
                <w:szCs w:val="22"/>
              </w:rPr>
              <w:t>00</w:t>
            </w:r>
            <w:r w:rsidRPr="001D200B">
              <w:rPr>
                <w:rFonts w:cstheme="minorHAnsi"/>
                <w:sz w:val="22"/>
                <w:szCs w:val="22"/>
              </w:rPr>
              <w:t xml:space="preserve"> </w:t>
            </w:r>
          </w:p>
        </w:tc>
      </w:tr>
      <w:tr w:rsidR="000C4483" w:rsidRPr="001D200B" w:rsidTr="00931F90">
        <w:trPr>
          <w:trHeight w:val="255"/>
          <w:jc w:val="center"/>
        </w:trPr>
        <w:tc>
          <w:tcPr>
            <w:tcW w:w="419" w:type="dxa"/>
            <w:vAlign w:val="center"/>
          </w:tcPr>
          <w:p w:rsidR="000C4483" w:rsidRPr="001D200B" w:rsidRDefault="000B4A28" w:rsidP="000717EF">
            <w:pPr>
              <w:spacing w:before="0" w:after="0" w:line="240" w:lineRule="auto"/>
              <w:rPr>
                <w:rFonts w:cstheme="minorHAnsi"/>
                <w:sz w:val="22"/>
                <w:szCs w:val="22"/>
              </w:rPr>
            </w:pPr>
            <w:r w:rsidRPr="001D200B">
              <w:rPr>
                <w:rFonts w:cstheme="minorHAnsi"/>
                <w:sz w:val="22"/>
                <w:szCs w:val="22"/>
              </w:rPr>
              <w:t>7</w:t>
            </w:r>
            <w:r w:rsidR="000C4483" w:rsidRPr="001D200B">
              <w:rPr>
                <w:rFonts w:cstheme="minorHAnsi"/>
                <w:sz w:val="22"/>
                <w:szCs w:val="22"/>
              </w:rPr>
              <w:t>.</w:t>
            </w:r>
          </w:p>
        </w:tc>
        <w:tc>
          <w:tcPr>
            <w:tcW w:w="2916" w:type="dxa"/>
            <w:noWrap/>
            <w:vAlign w:val="center"/>
          </w:tcPr>
          <w:p w:rsidR="000C4483" w:rsidRPr="001D200B" w:rsidRDefault="000C4483" w:rsidP="000B4A28">
            <w:pPr>
              <w:spacing w:before="0" w:after="0" w:line="240" w:lineRule="auto"/>
              <w:jc w:val="left"/>
              <w:rPr>
                <w:rFonts w:cstheme="minorHAnsi"/>
                <w:sz w:val="22"/>
                <w:szCs w:val="22"/>
              </w:rPr>
            </w:pPr>
            <w:r w:rsidRPr="001D200B">
              <w:rPr>
                <w:rFonts w:cstheme="minorHAnsi"/>
                <w:sz w:val="22"/>
                <w:szCs w:val="22"/>
              </w:rPr>
              <w:t xml:space="preserve">Samodzielny Publiczny ZOZ Przychodnia Zdrowia </w:t>
            </w:r>
          </w:p>
        </w:tc>
        <w:tc>
          <w:tcPr>
            <w:tcW w:w="1417" w:type="dxa"/>
            <w:vAlign w:val="center"/>
          </w:tcPr>
          <w:p w:rsidR="000C4483" w:rsidRPr="001D200B" w:rsidRDefault="0062272F" w:rsidP="000717EF">
            <w:pPr>
              <w:spacing w:before="0" w:after="0" w:line="240" w:lineRule="auto"/>
              <w:jc w:val="center"/>
              <w:rPr>
                <w:rFonts w:cstheme="minorHAnsi"/>
                <w:sz w:val="22"/>
                <w:szCs w:val="22"/>
              </w:rPr>
            </w:pPr>
            <w:r w:rsidRPr="001D200B">
              <w:rPr>
                <w:rFonts w:cstheme="minorHAnsi"/>
                <w:sz w:val="22"/>
                <w:szCs w:val="22"/>
              </w:rPr>
              <w:t>720</w:t>
            </w:r>
            <w:r w:rsidR="00F87DF1" w:rsidRPr="001D200B">
              <w:rPr>
                <w:rFonts w:cstheme="minorHAnsi"/>
                <w:sz w:val="22"/>
                <w:szCs w:val="22"/>
              </w:rPr>
              <w:t>,0</w:t>
            </w:r>
          </w:p>
        </w:tc>
        <w:tc>
          <w:tcPr>
            <w:tcW w:w="2694" w:type="dxa"/>
            <w:vAlign w:val="center"/>
          </w:tcPr>
          <w:p w:rsidR="000C4483" w:rsidRPr="001D200B" w:rsidRDefault="00D267C3" w:rsidP="000717EF">
            <w:pPr>
              <w:spacing w:before="0" w:after="0" w:line="240" w:lineRule="auto"/>
              <w:jc w:val="center"/>
              <w:rPr>
                <w:rFonts w:cstheme="minorHAnsi"/>
                <w:sz w:val="22"/>
                <w:szCs w:val="22"/>
              </w:rPr>
            </w:pPr>
            <w:r w:rsidRPr="001D200B">
              <w:rPr>
                <w:rFonts w:cstheme="minorHAnsi"/>
                <w:sz w:val="22"/>
                <w:szCs w:val="22"/>
              </w:rPr>
              <w:t>Zasilanie z sieci ciepłowniczej PGK sp. z o.o. w Połańcu</w:t>
            </w:r>
          </w:p>
        </w:tc>
        <w:tc>
          <w:tcPr>
            <w:tcW w:w="2055" w:type="dxa"/>
            <w:vAlign w:val="center"/>
          </w:tcPr>
          <w:p w:rsidR="000C4483" w:rsidRPr="001D200B" w:rsidRDefault="0062272F" w:rsidP="002874EE">
            <w:pPr>
              <w:spacing w:before="0" w:after="0" w:line="240" w:lineRule="auto"/>
              <w:jc w:val="center"/>
              <w:rPr>
                <w:rFonts w:cstheme="minorHAnsi"/>
                <w:sz w:val="22"/>
                <w:szCs w:val="22"/>
              </w:rPr>
            </w:pPr>
            <w:r w:rsidRPr="001D200B">
              <w:rPr>
                <w:rFonts w:cstheme="minorHAnsi"/>
                <w:sz w:val="22"/>
                <w:szCs w:val="22"/>
              </w:rPr>
              <w:t>45</w:t>
            </w:r>
            <w:r w:rsidR="00D267C3" w:rsidRPr="001D200B">
              <w:rPr>
                <w:rFonts w:cstheme="minorHAnsi"/>
                <w:sz w:val="22"/>
                <w:szCs w:val="22"/>
              </w:rPr>
              <w:t>0</w:t>
            </w:r>
          </w:p>
        </w:tc>
      </w:tr>
      <w:tr w:rsidR="000C4483" w:rsidRPr="001D200B" w:rsidTr="00931F90">
        <w:trPr>
          <w:trHeight w:val="255"/>
          <w:jc w:val="center"/>
        </w:trPr>
        <w:tc>
          <w:tcPr>
            <w:tcW w:w="419" w:type="dxa"/>
            <w:vAlign w:val="center"/>
          </w:tcPr>
          <w:p w:rsidR="000C4483" w:rsidRPr="001D200B" w:rsidRDefault="000B4A28" w:rsidP="000717EF">
            <w:pPr>
              <w:spacing w:before="0" w:after="0" w:line="240" w:lineRule="auto"/>
              <w:rPr>
                <w:rFonts w:cstheme="minorHAnsi"/>
                <w:sz w:val="22"/>
                <w:szCs w:val="22"/>
              </w:rPr>
            </w:pPr>
            <w:r w:rsidRPr="001D200B">
              <w:rPr>
                <w:rFonts w:cstheme="minorHAnsi"/>
                <w:sz w:val="22"/>
                <w:szCs w:val="22"/>
              </w:rPr>
              <w:t>8</w:t>
            </w:r>
            <w:r w:rsidR="000C4483" w:rsidRPr="001D200B">
              <w:rPr>
                <w:rFonts w:cstheme="minorHAnsi"/>
                <w:sz w:val="22"/>
                <w:szCs w:val="22"/>
              </w:rPr>
              <w:t>.</w:t>
            </w:r>
          </w:p>
        </w:tc>
        <w:tc>
          <w:tcPr>
            <w:tcW w:w="2916" w:type="dxa"/>
            <w:noWrap/>
            <w:vAlign w:val="center"/>
          </w:tcPr>
          <w:p w:rsidR="000C4483" w:rsidRPr="001D200B" w:rsidRDefault="000C4483" w:rsidP="000B4A28">
            <w:pPr>
              <w:spacing w:before="0" w:after="0" w:line="240" w:lineRule="auto"/>
              <w:jc w:val="left"/>
              <w:rPr>
                <w:rFonts w:cstheme="minorHAnsi"/>
                <w:sz w:val="22"/>
                <w:szCs w:val="22"/>
              </w:rPr>
            </w:pPr>
            <w:r w:rsidRPr="001D200B">
              <w:rPr>
                <w:rFonts w:cstheme="minorHAnsi"/>
                <w:sz w:val="22"/>
                <w:szCs w:val="22"/>
              </w:rPr>
              <w:t>Niepubliczny Zakład Opieki Zdrowotnej Centrum Medyczne Sp. z o.o. Zawada 24</w:t>
            </w:r>
          </w:p>
        </w:tc>
        <w:tc>
          <w:tcPr>
            <w:tcW w:w="1417" w:type="dxa"/>
            <w:vAlign w:val="center"/>
          </w:tcPr>
          <w:p w:rsidR="000C4483" w:rsidRPr="001D200B" w:rsidRDefault="0051280A" w:rsidP="000717EF">
            <w:pPr>
              <w:spacing w:before="0" w:after="0" w:line="240" w:lineRule="auto"/>
              <w:jc w:val="center"/>
              <w:rPr>
                <w:rFonts w:cstheme="minorHAnsi"/>
                <w:sz w:val="22"/>
                <w:szCs w:val="22"/>
              </w:rPr>
            </w:pPr>
            <w:r w:rsidRPr="001D200B">
              <w:rPr>
                <w:rFonts w:cstheme="minorHAnsi"/>
                <w:sz w:val="22"/>
                <w:szCs w:val="22"/>
              </w:rPr>
              <w:t>brak danych</w:t>
            </w:r>
          </w:p>
        </w:tc>
        <w:tc>
          <w:tcPr>
            <w:tcW w:w="2694" w:type="dxa"/>
            <w:vAlign w:val="center"/>
          </w:tcPr>
          <w:p w:rsidR="000C4483" w:rsidRPr="001D200B" w:rsidRDefault="000B4A28" w:rsidP="000717EF">
            <w:pPr>
              <w:spacing w:before="0" w:after="0" w:line="240" w:lineRule="auto"/>
              <w:jc w:val="center"/>
              <w:rPr>
                <w:rFonts w:cstheme="minorHAnsi"/>
                <w:sz w:val="22"/>
                <w:szCs w:val="22"/>
              </w:rPr>
            </w:pPr>
            <w:r w:rsidRPr="001D200B">
              <w:rPr>
                <w:rFonts w:cstheme="minorHAnsi"/>
                <w:sz w:val="22"/>
                <w:szCs w:val="22"/>
              </w:rPr>
              <w:t>Zasilanie z sieci ciepłowniczej PGK sp. z o.o. w Połańcu</w:t>
            </w:r>
          </w:p>
        </w:tc>
        <w:tc>
          <w:tcPr>
            <w:tcW w:w="2055" w:type="dxa"/>
            <w:vAlign w:val="center"/>
          </w:tcPr>
          <w:p w:rsidR="000C4483" w:rsidRPr="001D200B" w:rsidRDefault="0051280A" w:rsidP="000717EF">
            <w:pPr>
              <w:spacing w:before="0" w:after="0" w:line="240" w:lineRule="auto"/>
              <w:jc w:val="center"/>
              <w:rPr>
                <w:rFonts w:cstheme="minorHAnsi"/>
                <w:sz w:val="22"/>
                <w:szCs w:val="22"/>
              </w:rPr>
            </w:pPr>
            <w:r w:rsidRPr="001D200B">
              <w:rPr>
                <w:rFonts w:cstheme="minorHAnsi"/>
                <w:sz w:val="22"/>
                <w:szCs w:val="22"/>
              </w:rPr>
              <w:t>Brak danych</w:t>
            </w:r>
          </w:p>
        </w:tc>
      </w:tr>
      <w:tr w:rsidR="00F87DF1" w:rsidRPr="001D200B" w:rsidTr="00931F90">
        <w:trPr>
          <w:trHeight w:val="255"/>
          <w:jc w:val="center"/>
        </w:trPr>
        <w:tc>
          <w:tcPr>
            <w:tcW w:w="419" w:type="dxa"/>
            <w:vAlign w:val="center"/>
          </w:tcPr>
          <w:p w:rsidR="00F87DF1" w:rsidRPr="001D200B" w:rsidRDefault="000B4A28" w:rsidP="00AF7BBB">
            <w:pPr>
              <w:spacing w:before="0" w:after="0" w:line="240" w:lineRule="auto"/>
              <w:rPr>
                <w:rFonts w:cstheme="minorHAnsi"/>
                <w:sz w:val="22"/>
                <w:szCs w:val="22"/>
              </w:rPr>
            </w:pPr>
            <w:r w:rsidRPr="001D200B">
              <w:rPr>
                <w:rFonts w:cstheme="minorHAnsi"/>
                <w:sz w:val="22"/>
                <w:szCs w:val="22"/>
              </w:rPr>
              <w:t>9</w:t>
            </w:r>
            <w:r w:rsidR="00F87DF1" w:rsidRPr="001D200B">
              <w:rPr>
                <w:rFonts w:cstheme="minorHAnsi"/>
                <w:sz w:val="22"/>
                <w:szCs w:val="22"/>
              </w:rPr>
              <w:t>.</w:t>
            </w:r>
          </w:p>
        </w:tc>
        <w:tc>
          <w:tcPr>
            <w:tcW w:w="2916" w:type="dxa"/>
            <w:noWrap/>
            <w:vAlign w:val="center"/>
          </w:tcPr>
          <w:p w:rsidR="00F87DF1" w:rsidRPr="001D200B" w:rsidRDefault="00F87DF1" w:rsidP="00AF7BBB">
            <w:pPr>
              <w:spacing w:before="0" w:after="0" w:line="240" w:lineRule="auto"/>
              <w:jc w:val="left"/>
              <w:rPr>
                <w:rFonts w:cstheme="minorHAnsi"/>
                <w:sz w:val="22"/>
                <w:szCs w:val="22"/>
              </w:rPr>
            </w:pPr>
            <w:r w:rsidRPr="001D200B">
              <w:rPr>
                <w:rFonts w:cstheme="minorHAnsi"/>
                <w:sz w:val="22"/>
                <w:szCs w:val="22"/>
              </w:rPr>
              <w:t xml:space="preserve">Zespół Szkół w Połańcu im. Oddziału Partyzanckiego </w:t>
            </w:r>
          </w:p>
          <w:p w:rsidR="00F87DF1" w:rsidRPr="001D200B" w:rsidRDefault="00F87DF1" w:rsidP="00AF7BBB">
            <w:pPr>
              <w:spacing w:before="0" w:after="0" w:line="240" w:lineRule="auto"/>
              <w:jc w:val="left"/>
              <w:rPr>
                <w:rFonts w:cstheme="minorHAnsi"/>
                <w:sz w:val="22"/>
                <w:szCs w:val="22"/>
              </w:rPr>
            </w:pPr>
            <w:r w:rsidRPr="001D200B">
              <w:rPr>
                <w:rFonts w:cstheme="minorHAnsi"/>
                <w:sz w:val="22"/>
                <w:szCs w:val="22"/>
              </w:rPr>
              <w:lastRenderedPageBreak/>
              <w:t>AK „Jędrusie”</w:t>
            </w:r>
          </w:p>
          <w:p w:rsidR="00F87DF1" w:rsidRPr="001D200B" w:rsidRDefault="00F87DF1" w:rsidP="00AF7BBB">
            <w:pPr>
              <w:spacing w:before="0" w:after="0" w:line="240" w:lineRule="auto"/>
              <w:jc w:val="left"/>
              <w:rPr>
                <w:rFonts w:cstheme="minorHAnsi"/>
                <w:sz w:val="22"/>
                <w:szCs w:val="22"/>
              </w:rPr>
            </w:pPr>
            <w:r w:rsidRPr="001D200B">
              <w:rPr>
                <w:rFonts w:cstheme="minorHAnsi"/>
                <w:sz w:val="22"/>
                <w:szCs w:val="22"/>
              </w:rPr>
              <w:t>ul. Ruszczańska 23</w:t>
            </w:r>
          </w:p>
        </w:tc>
        <w:tc>
          <w:tcPr>
            <w:tcW w:w="1417" w:type="dxa"/>
            <w:vAlign w:val="center"/>
          </w:tcPr>
          <w:p w:rsidR="00F87DF1" w:rsidRPr="001D200B" w:rsidRDefault="00947F7E" w:rsidP="00AF7BBB">
            <w:pPr>
              <w:spacing w:before="0" w:after="0" w:line="240" w:lineRule="auto"/>
              <w:jc w:val="center"/>
              <w:rPr>
                <w:rFonts w:cstheme="minorHAnsi"/>
                <w:sz w:val="22"/>
                <w:szCs w:val="22"/>
              </w:rPr>
            </w:pPr>
            <w:r w:rsidRPr="001D200B">
              <w:rPr>
                <w:rFonts w:cstheme="minorHAnsi"/>
                <w:sz w:val="22"/>
                <w:szCs w:val="22"/>
              </w:rPr>
              <w:lastRenderedPageBreak/>
              <w:t>7 460,63</w:t>
            </w:r>
          </w:p>
        </w:tc>
        <w:tc>
          <w:tcPr>
            <w:tcW w:w="2694" w:type="dxa"/>
            <w:vAlign w:val="center"/>
          </w:tcPr>
          <w:p w:rsidR="00F87DF1" w:rsidRPr="001D200B" w:rsidRDefault="000B4A28" w:rsidP="00AF7BBB">
            <w:pPr>
              <w:spacing w:before="0" w:after="0" w:line="240" w:lineRule="auto"/>
              <w:jc w:val="center"/>
              <w:rPr>
                <w:rFonts w:cstheme="minorHAnsi"/>
                <w:sz w:val="22"/>
                <w:szCs w:val="22"/>
              </w:rPr>
            </w:pPr>
            <w:r w:rsidRPr="001D200B">
              <w:rPr>
                <w:rFonts w:cstheme="minorHAnsi"/>
                <w:sz w:val="22"/>
                <w:szCs w:val="22"/>
              </w:rPr>
              <w:t xml:space="preserve">Zasilanie z sieci ciepłowniczej PGK sp. z o.o. </w:t>
            </w:r>
            <w:r w:rsidRPr="001D200B">
              <w:rPr>
                <w:rFonts w:cstheme="minorHAnsi"/>
                <w:sz w:val="22"/>
                <w:szCs w:val="22"/>
              </w:rPr>
              <w:lastRenderedPageBreak/>
              <w:t>w Połańcu</w:t>
            </w:r>
          </w:p>
        </w:tc>
        <w:tc>
          <w:tcPr>
            <w:tcW w:w="2055" w:type="dxa"/>
            <w:vAlign w:val="center"/>
          </w:tcPr>
          <w:p w:rsidR="00F87DF1" w:rsidRPr="001D200B" w:rsidRDefault="00947F7E" w:rsidP="00AF7BBB">
            <w:pPr>
              <w:spacing w:before="0" w:after="0" w:line="240" w:lineRule="auto"/>
              <w:jc w:val="center"/>
              <w:rPr>
                <w:rFonts w:cstheme="minorHAnsi"/>
                <w:sz w:val="22"/>
                <w:szCs w:val="22"/>
              </w:rPr>
            </w:pPr>
            <w:r w:rsidRPr="001D200B">
              <w:rPr>
                <w:rFonts w:cstheme="minorHAnsi"/>
                <w:sz w:val="22"/>
                <w:szCs w:val="22"/>
              </w:rPr>
              <w:lastRenderedPageBreak/>
              <w:t>2 368,2</w:t>
            </w:r>
            <w:r w:rsidR="00F87DF1" w:rsidRPr="001D200B">
              <w:rPr>
                <w:rFonts w:cstheme="minorHAnsi"/>
                <w:sz w:val="22"/>
                <w:szCs w:val="22"/>
              </w:rPr>
              <w:t xml:space="preserve"> </w:t>
            </w:r>
          </w:p>
        </w:tc>
      </w:tr>
      <w:tr w:rsidR="00C14EF3" w:rsidRPr="001D200B" w:rsidTr="00931F90">
        <w:trPr>
          <w:trHeight w:val="255"/>
          <w:jc w:val="center"/>
        </w:trPr>
        <w:tc>
          <w:tcPr>
            <w:tcW w:w="419" w:type="dxa"/>
            <w:vAlign w:val="center"/>
          </w:tcPr>
          <w:p w:rsidR="00C14EF3" w:rsidRPr="001D200B" w:rsidRDefault="00C14EF3" w:rsidP="00AF7BBB">
            <w:pPr>
              <w:spacing w:before="0" w:after="0" w:line="240" w:lineRule="auto"/>
              <w:rPr>
                <w:rFonts w:cstheme="minorHAnsi"/>
                <w:sz w:val="22"/>
                <w:szCs w:val="22"/>
              </w:rPr>
            </w:pPr>
            <w:r w:rsidRPr="001D200B">
              <w:rPr>
                <w:rFonts w:cstheme="minorHAnsi"/>
                <w:sz w:val="22"/>
                <w:szCs w:val="22"/>
              </w:rPr>
              <w:lastRenderedPageBreak/>
              <w:t>1</w:t>
            </w:r>
            <w:r w:rsidR="000B4A28" w:rsidRPr="001D200B">
              <w:rPr>
                <w:rFonts w:cstheme="minorHAnsi"/>
                <w:sz w:val="22"/>
                <w:szCs w:val="22"/>
              </w:rPr>
              <w:t>0</w:t>
            </w:r>
            <w:r w:rsidRPr="001D200B">
              <w:rPr>
                <w:rFonts w:cstheme="minorHAnsi"/>
                <w:sz w:val="22"/>
                <w:szCs w:val="22"/>
              </w:rPr>
              <w:t>.</w:t>
            </w:r>
          </w:p>
        </w:tc>
        <w:tc>
          <w:tcPr>
            <w:tcW w:w="2916" w:type="dxa"/>
            <w:noWrap/>
            <w:vAlign w:val="center"/>
          </w:tcPr>
          <w:p w:rsidR="00C14EF3" w:rsidRPr="001D200B" w:rsidRDefault="00C14EF3" w:rsidP="00504C04">
            <w:pPr>
              <w:spacing w:before="0" w:after="0" w:line="240" w:lineRule="auto"/>
              <w:jc w:val="left"/>
              <w:rPr>
                <w:rFonts w:cstheme="minorHAnsi"/>
                <w:sz w:val="22"/>
                <w:szCs w:val="22"/>
              </w:rPr>
            </w:pPr>
            <w:r w:rsidRPr="001D200B">
              <w:rPr>
                <w:rFonts w:cstheme="minorHAnsi"/>
                <w:sz w:val="22"/>
                <w:szCs w:val="22"/>
              </w:rPr>
              <w:t>Urząd Miasta i Gminy Połaniec</w:t>
            </w:r>
            <w:r w:rsidR="00504C04" w:rsidRPr="001D200B">
              <w:rPr>
                <w:rFonts w:cstheme="minorHAnsi"/>
                <w:sz w:val="22"/>
                <w:szCs w:val="22"/>
              </w:rPr>
              <w:t xml:space="preserve">, </w:t>
            </w:r>
            <w:r w:rsidRPr="001D200B">
              <w:rPr>
                <w:rFonts w:cstheme="minorHAnsi"/>
                <w:sz w:val="22"/>
                <w:szCs w:val="22"/>
              </w:rPr>
              <w:t>ul. Ruszczańska 27</w:t>
            </w:r>
          </w:p>
        </w:tc>
        <w:tc>
          <w:tcPr>
            <w:tcW w:w="1417" w:type="dxa"/>
            <w:vAlign w:val="center"/>
          </w:tcPr>
          <w:p w:rsidR="00C14EF3" w:rsidRPr="001D200B" w:rsidRDefault="007961D3" w:rsidP="00AF7BBB">
            <w:pPr>
              <w:spacing w:before="0" w:after="0" w:line="240" w:lineRule="auto"/>
              <w:jc w:val="center"/>
              <w:rPr>
                <w:rFonts w:cstheme="minorHAnsi"/>
                <w:sz w:val="22"/>
                <w:szCs w:val="22"/>
              </w:rPr>
            </w:pPr>
            <w:r w:rsidRPr="001D200B">
              <w:rPr>
                <w:rFonts w:cstheme="minorHAnsi"/>
                <w:sz w:val="22"/>
                <w:szCs w:val="22"/>
              </w:rPr>
              <w:t>1620</w:t>
            </w:r>
          </w:p>
        </w:tc>
        <w:tc>
          <w:tcPr>
            <w:tcW w:w="2694" w:type="dxa"/>
            <w:vAlign w:val="center"/>
          </w:tcPr>
          <w:p w:rsidR="00C14EF3" w:rsidRPr="001D200B" w:rsidRDefault="000B4A28" w:rsidP="00AF7BBB">
            <w:pPr>
              <w:spacing w:before="0" w:after="0" w:line="240" w:lineRule="auto"/>
              <w:jc w:val="center"/>
              <w:rPr>
                <w:rFonts w:cstheme="minorHAnsi"/>
                <w:sz w:val="22"/>
                <w:szCs w:val="22"/>
              </w:rPr>
            </w:pPr>
            <w:r w:rsidRPr="001D200B">
              <w:rPr>
                <w:rFonts w:cstheme="minorHAnsi"/>
                <w:sz w:val="22"/>
                <w:szCs w:val="22"/>
              </w:rPr>
              <w:t>Zasilanie z sieci ciepłowniczej PGK sp. z o.o. w Połańcu</w:t>
            </w:r>
          </w:p>
        </w:tc>
        <w:tc>
          <w:tcPr>
            <w:tcW w:w="2055" w:type="dxa"/>
            <w:vAlign w:val="center"/>
          </w:tcPr>
          <w:p w:rsidR="00C14EF3" w:rsidRPr="001D200B" w:rsidRDefault="007961D3" w:rsidP="002874EE">
            <w:pPr>
              <w:spacing w:before="0" w:after="0" w:line="240" w:lineRule="auto"/>
              <w:jc w:val="center"/>
              <w:rPr>
                <w:rFonts w:cstheme="minorHAnsi"/>
                <w:sz w:val="22"/>
                <w:szCs w:val="22"/>
              </w:rPr>
            </w:pPr>
            <w:r w:rsidRPr="001D200B">
              <w:rPr>
                <w:rFonts w:cstheme="minorHAnsi"/>
                <w:sz w:val="22"/>
                <w:szCs w:val="22"/>
              </w:rPr>
              <w:t>70</w:t>
            </w:r>
            <w:r w:rsidR="000B4A28" w:rsidRPr="001D200B">
              <w:rPr>
                <w:rFonts w:cstheme="minorHAnsi"/>
                <w:sz w:val="22"/>
                <w:szCs w:val="22"/>
              </w:rPr>
              <w:t>0</w:t>
            </w:r>
            <w:r w:rsidRPr="001D200B">
              <w:rPr>
                <w:rFonts w:cstheme="minorHAnsi"/>
                <w:sz w:val="22"/>
                <w:szCs w:val="22"/>
              </w:rPr>
              <w:t xml:space="preserve"> </w:t>
            </w:r>
          </w:p>
        </w:tc>
      </w:tr>
      <w:tr w:rsidR="000F2EE8" w:rsidRPr="001D200B" w:rsidTr="00931F90">
        <w:trPr>
          <w:trHeight w:val="255"/>
          <w:jc w:val="center"/>
        </w:trPr>
        <w:tc>
          <w:tcPr>
            <w:tcW w:w="419" w:type="dxa"/>
            <w:vAlign w:val="center"/>
          </w:tcPr>
          <w:p w:rsidR="000F2EE8" w:rsidRPr="001D200B" w:rsidRDefault="000F2EE8" w:rsidP="00AF7BBB">
            <w:pPr>
              <w:spacing w:before="0" w:after="0" w:line="240" w:lineRule="auto"/>
              <w:rPr>
                <w:rFonts w:cstheme="minorHAnsi"/>
                <w:sz w:val="22"/>
                <w:szCs w:val="22"/>
              </w:rPr>
            </w:pPr>
            <w:r w:rsidRPr="001D200B">
              <w:rPr>
                <w:rFonts w:cstheme="minorHAnsi"/>
                <w:sz w:val="22"/>
                <w:szCs w:val="22"/>
              </w:rPr>
              <w:t>1</w:t>
            </w:r>
            <w:r w:rsidR="000B4A28" w:rsidRPr="001D200B">
              <w:rPr>
                <w:rFonts w:cstheme="minorHAnsi"/>
                <w:sz w:val="22"/>
                <w:szCs w:val="22"/>
              </w:rPr>
              <w:t>1</w:t>
            </w:r>
            <w:r w:rsidRPr="001D200B">
              <w:rPr>
                <w:rFonts w:cstheme="minorHAnsi"/>
                <w:sz w:val="22"/>
                <w:szCs w:val="22"/>
              </w:rPr>
              <w:t xml:space="preserve">. </w:t>
            </w:r>
          </w:p>
        </w:tc>
        <w:tc>
          <w:tcPr>
            <w:tcW w:w="2916" w:type="dxa"/>
            <w:noWrap/>
            <w:vAlign w:val="center"/>
          </w:tcPr>
          <w:p w:rsidR="000F2EE8" w:rsidRPr="001D200B" w:rsidRDefault="000F2EE8" w:rsidP="00AF7BBB">
            <w:pPr>
              <w:spacing w:before="0" w:after="0" w:line="240" w:lineRule="auto"/>
              <w:jc w:val="left"/>
              <w:rPr>
                <w:rFonts w:cstheme="minorHAnsi"/>
                <w:sz w:val="22"/>
                <w:szCs w:val="22"/>
              </w:rPr>
            </w:pPr>
            <w:r w:rsidRPr="001D200B">
              <w:rPr>
                <w:rFonts w:cstheme="minorHAnsi"/>
                <w:sz w:val="22"/>
                <w:szCs w:val="22"/>
              </w:rPr>
              <w:t xml:space="preserve">Kryta pływalnia „Delfin” </w:t>
            </w:r>
          </w:p>
          <w:p w:rsidR="00417C83" w:rsidRPr="001D200B" w:rsidRDefault="0051280A" w:rsidP="00AF7BBB">
            <w:pPr>
              <w:spacing w:before="0" w:after="0" w:line="240" w:lineRule="auto"/>
              <w:jc w:val="left"/>
              <w:rPr>
                <w:rFonts w:cstheme="minorHAnsi"/>
                <w:sz w:val="22"/>
                <w:szCs w:val="22"/>
              </w:rPr>
            </w:pPr>
            <w:r w:rsidRPr="001D200B">
              <w:rPr>
                <w:rFonts w:cstheme="minorHAnsi"/>
                <w:sz w:val="22"/>
                <w:szCs w:val="22"/>
              </w:rPr>
              <w:t xml:space="preserve">ul. W. Witosa 1 </w:t>
            </w:r>
            <w:r w:rsidR="000B4A28" w:rsidRPr="001D200B">
              <w:rPr>
                <w:rFonts w:cstheme="minorHAnsi"/>
                <w:sz w:val="22"/>
                <w:szCs w:val="22"/>
              </w:rPr>
              <w:t>Połaniec</w:t>
            </w:r>
          </w:p>
        </w:tc>
        <w:tc>
          <w:tcPr>
            <w:tcW w:w="1417" w:type="dxa"/>
            <w:vAlign w:val="center"/>
          </w:tcPr>
          <w:p w:rsidR="000F2EE8" w:rsidRPr="001D200B" w:rsidRDefault="0051280A" w:rsidP="00AF7BBB">
            <w:pPr>
              <w:spacing w:before="0" w:after="0" w:line="240" w:lineRule="auto"/>
              <w:jc w:val="center"/>
              <w:rPr>
                <w:rFonts w:cstheme="minorHAnsi"/>
                <w:sz w:val="22"/>
                <w:szCs w:val="22"/>
              </w:rPr>
            </w:pPr>
            <w:r w:rsidRPr="001D200B">
              <w:rPr>
                <w:rFonts w:cstheme="minorHAnsi"/>
                <w:sz w:val="22"/>
                <w:szCs w:val="22"/>
              </w:rPr>
              <w:t>2 565</w:t>
            </w:r>
          </w:p>
        </w:tc>
        <w:tc>
          <w:tcPr>
            <w:tcW w:w="2694" w:type="dxa"/>
            <w:vAlign w:val="center"/>
          </w:tcPr>
          <w:p w:rsidR="000F2EE8" w:rsidRPr="001D200B" w:rsidRDefault="000B4A28" w:rsidP="00AF7BBB">
            <w:pPr>
              <w:spacing w:before="0" w:after="0" w:line="240" w:lineRule="auto"/>
              <w:jc w:val="center"/>
              <w:rPr>
                <w:rFonts w:cstheme="minorHAnsi"/>
                <w:sz w:val="22"/>
                <w:szCs w:val="22"/>
              </w:rPr>
            </w:pPr>
            <w:r w:rsidRPr="001D200B">
              <w:rPr>
                <w:rFonts w:cstheme="minorHAnsi"/>
                <w:sz w:val="22"/>
                <w:szCs w:val="22"/>
              </w:rPr>
              <w:t>Zasilanie z sieci ciepłowniczej PGK sp. z o.o. w Połańcu</w:t>
            </w:r>
          </w:p>
        </w:tc>
        <w:tc>
          <w:tcPr>
            <w:tcW w:w="2055" w:type="dxa"/>
            <w:vAlign w:val="center"/>
          </w:tcPr>
          <w:p w:rsidR="000F2EE8" w:rsidRPr="001D200B" w:rsidRDefault="0051280A" w:rsidP="00AF7BBB">
            <w:pPr>
              <w:spacing w:before="0" w:after="0" w:line="240" w:lineRule="auto"/>
              <w:jc w:val="center"/>
              <w:rPr>
                <w:rFonts w:cstheme="minorHAnsi"/>
                <w:sz w:val="22"/>
                <w:szCs w:val="22"/>
              </w:rPr>
            </w:pPr>
            <w:r w:rsidRPr="001D200B">
              <w:rPr>
                <w:rFonts w:cstheme="minorHAnsi"/>
                <w:sz w:val="22"/>
                <w:szCs w:val="22"/>
              </w:rPr>
              <w:t>34</w:t>
            </w:r>
            <w:r w:rsidR="000B4A28" w:rsidRPr="001D200B">
              <w:rPr>
                <w:rFonts w:cstheme="minorHAnsi"/>
                <w:sz w:val="22"/>
                <w:szCs w:val="22"/>
              </w:rPr>
              <w:t>00</w:t>
            </w:r>
            <w:r w:rsidRPr="001D200B">
              <w:rPr>
                <w:rFonts w:cstheme="minorHAnsi"/>
                <w:sz w:val="22"/>
                <w:szCs w:val="22"/>
              </w:rPr>
              <w:t xml:space="preserve"> </w:t>
            </w:r>
          </w:p>
        </w:tc>
      </w:tr>
      <w:tr w:rsidR="008025E0" w:rsidRPr="001D200B" w:rsidTr="00931F90">
        <w:trPr>
          <w:trHeight w:val="255"/>
          <w:jc w:val="center"/>
        </w:trPr>
        <w:tc>
          <w:tcPr>
            <w:tcW w:w="419" w:type="dxa"/>
            <w:vAlign w:val="center"/>
          </w:tcPr>
          <w:p w:rsidR="008025E0" w:rsidRPr="001D200B" w:rsidRDefault="008025E0" w:rsidP="00AF7BBB">
            <w:pPr>
              <w:spacing w:before="0" w:after="0" w:line="240" w:lineRule="auto"/>
              <w:rPr>
                <w:rFonts w:cstheme="minorHAnsi"/>
                <w:sz w:val="22"/>
                <w:szCs w:val="22"/>
              </w:rPr>
            </w:pPr>
            <w:r w:rsidRPr="001D200B">
              <w:rPr>
                <w:rFonts w:cstheme="minorHAnsi"/>
                <w:sz w:val="22"/>
                <w:szCs w:val="22"/>
              </w:rPr>
              <w:t>1</w:t>
            </w:r>
            <w:r w:rsidR="000B4A28" w:rsidRPr="001D200B">
              <w:rPr>
                <w:rFonts w:cstheme="minorHAnsi"/>
                <w:sz w:val="22"/>
                <w:szCs w:val="22"/>
              </w:rPr>
              <w:t>2</w:t>
            </w:r>
            <w:r w:rsidRPr="001D200B">
              <w:rPr>
                <w:rFonts w:cstheme="minorHAnsi"/>
                <w:sz w:val="22"/>
                <w:szCs w:val="22"/>
              </w:rPr>
              <w:t>.</w:t>
            </w:r>
          </w:p>
        </w:tc>
        <w:tc>
          <w:tcPr>
            <w:tcW w:w="2916" w:type="dxa"/>
            <w:noWrap/>
            <w:vAlign w:val="center"/>
          </w:tcPr>
          <w:p w:rsidR="008025E0" w:rsidRPr="001D200B" w:rsidRDefault="008025E0" w:rsidP="00AF7BBB">
            <w:pPr>
              <w:spacing w:before="0" w:after="0" w:line="240" w:lineRule="auto"/>
              <w:jc w:val="left"/>
              <w:rPr>
                <w:rFonts w:cstheme="minorHAnsi"/>
                <w:sz w:val="22"/>
                <w:szCs w:val="22"/>
              </w:rPr>
            </w:pPr>
            <w:r w:rsidRPr="001D200B">
              <w:rPr>
                <w:rFonts w:cstheme="minorHAnsi"/>
                <w:sz w:val="22"/>
                <w:szCs w:val="22"/>
              </w:rPr>
              <w:t>Warsztat Terapii Zajęciowej w Połańcu</w:t>
            </w:r>
            <w:r w:rsidR="00B21B9B" w:rsidRPr="001D200B">
              <w:rPr>
                <w:rFonts w:cstheme="minorHAnsi"/>
                <w:sz w:val="22"/>
                <w:szCs w:val="22"/>
              </w:rPr>
              <w:t xml:space="preserve"> </w:t>
            </w:r>
            <w:r w:rsidRPr="001D200B">
              <w:rPr>
                <w:rFonts w:cstheme="minorHAnsi"/>
                <w:sz w:val="22"/>
                <w:szCs w:val="22"/>
              </w:rPr>
              <w:t>ul. Lipowa 20</w:t>
            </w:r>
          </w:p>
        </w:tc>
        <w:tc>
          <w:tcPr>
            <w:tcW w:w="1417" w:type="dxa"/>
            <w:vAlign w:val="center"/>
          </w:tcPr>
          <w:p w:rsidR="008025E0" w:rsidRPr="001D200B" w:rsidRDefault="00417C83" w:rsidP="00AF7BBB">
            <w:pPr>
              <w:spacing w:before="0" w:after="0" w:line="240" w:lineRule="auto"/>
              <w:jc w:val="center"/>
              <w:rPr>
                <w:rFonts w:cstheme="minorHAnsi"/>
                <w:sz w:val="22"/>
                <w:szCs w:val="22"/>
              </w:rPr>
            </w:pPr>
            <w:r w:rsidRPr="001D200B">
              <w:rPr>
                <w:rFonts w:cstheme="minorHAnsi"/>
                <w:sz w:val="22"/>
                <w:szCs w:val="22"/>
              </w:rPr>
              <w:t>262,2</w:t>
            </w:r>
          </w:p>
        </w:tc>
        <w:tc>
          <w:tcPr>
            <w:tcW w:w="2694" w:type="dxa"/>
            <w:vAlign w:val="center"/>
          </w:tcPr>
          <w:p w:rsidR="008025E0" w:rsidRPr="001D200B" w:rsidRDefault="00B21B9B" w:rsidP="00AF7BBB">
            <w:pPr>
              <w:spacing w:before="0" w:after="0" w:line="240" w:lineRule="auto"/>
              <w:jc w:val="center"/>
              <w:rPr>
                <w:rFonts w:cstheme="minorHAnsi"/>
                <w:sz w:val="22"/>
                <w:szCs w:val="22"/>
              </w:rPr>
            </w:pPr>
            <w:r w:rsidRPr="001D200B">
              <w:rPr>
                <w:rFonts w:cstheme="minorHAnsi"/>
                <w:sz w:val="22"/>
                <w:szCs w:val="22"/>
              </w:rPr>
              <w:t>Zasilanie z sieci ciepłowniczej PGK sp. z o.o. w Połańcu</w:t>
            </w:r>
          </w:p>
        </w:tc>
        <w:tc>
          <w:tcPr>
            <w:tcW w:w="2055" w:type="dxa"/>
            <w:vAlign w:val="center"/>
          </w:tcPr>
          <w:p w:rsidR="008025E0" w:rsidRPr="001D200B" w:rsidRDefault="00417C83" w:rsidP="00AF7BBB">
            <w:pPr>
              <w:spacing w:before="0" w:after="0" w:line="240" w:lineRule="auto"/>
              <w:jc w:val="center"/>
              <w:rPr>
                <w:rFonts w:cstheme="minorHAnsi"/>
                <w:sz w:val="22"/>
                <w:szCs w:val="22"/>
              </w:rPr>
            </w:pPr>
            <w:r w:rsidRPr="001D200B">
              <w:rPr>
                <w:rFonts w:cstheme="minorHAnsi"/>
                <w:sz w:val="22"/>
                <w:szCs w:val="22"/>
              </w:rPr>
              <w:t>30</w:t>
            </w:r>
            <w:r w:rsidR="00B21B9B" w:rsidRPr="001D200B">
              <w:rPr>
                <w:rFonts w:cstheme="minorHAnsi"/>
                <w:sz w:val="22"/>
                <w:szCs w:val="22"/>
              </w:rPr>
              <w:t>0</w:t>
            </w:r>
            <w:r w:rsidRPr="001D200B">
              <w:rPr>
                <w:rFonts w:cstheme="minorHAnsi"/>
                <w:sz w:val="22"/>
                <w:szCs w:val="22"/>
              </w:rPr>
              <w:t xml:space="preserve"> </w:t>
            </w:r>
          </w:p>
        </w:tc>
      </w:tr>
      <w:tr w:rsidR="00B21B9B" w:rsidRPr="001D200B" w:rsidTr="00931F90">
        <w:trPr>
          <w:trHeight w:val="255"/>
          <w:jc w:val="center"/>
        </w:trPr>
        <w:tc>
          <w:tcPr>
            <w:tcW w:w="419" w:type="dxa"/>
            <w:vAlign w:val="center"/>
          </w:tcPr>
          <w:p w:rsidR="00B21B9B" w:rsidRPr="001D200B" w:rsidRDefault="00B43AA4" w:rsidP="00AF7BBB">
            <w:pPr>
              <w:spacing w:before="0" w:after="0" w:line="240" w:lineRule="auto"/>
              <w:rPr>
                <w:rFonts w:cstheme="minorHAnsi"/>
                <w:sz w:val="22"/>
                <w:szCs w:val="22"/>
              </w:rPr>
            </w:pPr>
            <w:r w:rsidRPr="001D200B">
              <w:rPr>
                <w:rFonts w:cstheme="minorHAnsi"/>
                <w:sz w:val="22"/>
                <w:szCs w:val="22"/>
              </w:rPr>
              <w:t>13.</w:t>
            </w:r>
          </w:p>
        </w:tc>
        <w:tc>
          <w:tcPr>
            <w:tcW w:w="2916" w:type="dxa"/>
            <w:noWrap/>
            <w:vAlign w:val="center"/>
          </w:tcPr>
          <w:p w:rsidR="00B43AA4" w:rsidRPr="001D200B" w:rsidRDefault="00B43AA4" w:rsidP="00AF7BBB">
            <w:pPr>
              <w:spacing w:before="0" w:after="0" w:line="240" w:lineRule="auto"/>
              <w:jc w:val="left"/>
              <w:rPr>
                <w:rFonts w:cstheme="minorHAnsi"/>
                <w:sz w:val="22"/>
                <w:szCs w:val="22"/>
              </w:rPr>
            </w:pPr>
            <w:r w:rsidRPr="001D200B">
              <w:rPr>
                <w:rFonts w:cstheme="minorHAnsi"/>
                <w:sz w:val="22"/>
                <w:szCs w:val="22"/>
              </w:rPr>
              <w:t>Budynek administracyjno – biurowy ul. Czarneckiego 6D, 28-230 Połaniec</w:t>
            </w:r>
          </w:p>
        </w:tc>
        <w:tc>
          <w:tcPr>
            <w:tcW w:w="1417" w:type="dxa"/>
            <w:vAlign w:val="center"/>
          </w:tcPr>
          <w:p w:rsidR="00B21B9B" w:rsidRPr="001D200B" w:rsidRDefault="00B43AA4" w:rsidP="00AF7BBB">
            <w:pPr>
              <w:spacing w:before="0" w:after="0" w:line="240" w:lineRule="auto"/>
              <w:jc w:val="center"/>
              <w:rPr>
                <w:rFonts w:cstheme="minorHAnsi"/>
                <w:sz w:val="22"/>
                <w:szCs w:val="22"/>
              </w:rPr>
            </w:pPr>
            <w:r w:rsidRPr="001D200B">
              <w:rPr>
                <w:rFonts w:cstheme="minorHAnsi"/>
                <w:sz w:val="22"/>
                <w:szCs w:val="22"/>
              </w:rPr>
              <w:t>448,5</w:t>
            </w:r>
          </w:p>
        </w:tc>
        <w:tc>
          <w:tcPr>
            <w:tcW w:w="2694" w:type="dxa"/>
            <w:vAlign w:val="center"/>
          </w:tcPr>
          <w:p w:rsidR="00B21B9B" w:rsidRPr="001D200B" w:rsidRDefault="00B43AA4" w:rsidP="00AF7BBB">
            <w:pPr>
              <w:spacing w:before="0" w:after="0" w:line="240" w:lineRule="auto"/>
              <w:jc w:val="center"/>
              <w:rPr>
                <w:rFonts w:cstheme="minorHAnsi"/>
                <w:sz w:val="22"/>
                <w:szCs w:val="22"/>
              </w:rPr>
            </w:pPr>
            <w:r w:rsidRPr="001D200B">
              <w:rPr>
                <w:rFonts w:cstheme="minorHAnsi"/>
                <w:sz w:val="22"/>
                <w:szCs w:val="22"/>
              </w:rPr>
              <w:t>Zasilanie z sieci ciepłowniczej PGK sp. z o.o. w Połańcu</w:t>
            </w:r>
          </w:p>
        </w:tc>
        <w:tc>
          <w:tcPr>
            <w:tcW w:w="2055" w:type="dxa"/>
            <w:vAlign w:val="center"/>
          </w:tcPr>
          <w:p w:rsidR="00B21B9B" w:rsidRPr="001D200B" w:rsidRDefault="00B43AA4" w:rsidP="00AF7BBB">
            <w:pPr>
              <w:spacing w:before="0" w:after="0" w:line="240" w:lineRule="auto"/>
              <w:jc w:val="center"/>
              <w:rPr>
                <w:rFonts w:cstheme="minorHAnsi"/>
                <w:sz w:val="22"/>
                <w:szCs w:val="22"/>
              </w:rPr>
            </w:pPr>
            <w:r w:rsidRPr="001D200B">
              <w:rPr>
                <w:rFonts w:cstheme="minorHAnsi"/>
                <w:sz w:val="22"/>
                <w:szCs w:val="22"/>
              </w:rPr>
              <w:t>Brak danych</w:t>
            </w:r>
          </w:p>
        </w:tc>
      </w:tr>
      <w:tr w:rsidR="00B21B9B" w:rsidRPr="001D200B" w:rsidTr="00931F90">
        <w:trPr>
          <w:trHeight w:val="255"/>
          <w:jc w:val="center"/>
        </w:trPr>
        <w:tc>
          <w:tcPr>
            <w:tcW w:w="419" w:type="dxa"/>
            <w:vAlign w:val="center"/>
          </w:tcPr>
          <w:p w:rsidR="00B21B9B" w:rsidRPr="001D200B" w:rsidRDefault="00B43AA4" w:rsidP="00AF7BBB">
            <w:pPr>
              <w:spacing w:before="0" w:after="0" w:line="240" w:lineRule="auto"/>
              <w:rPr>
                <w:rFonts w:cstheme="minorHAnsi"/>
                <w:sz w:val="22"/>
                <w:szCs w:val="22"/>
              </w:rPr>
            </w:pPr>
            <w:r w:rsidRPr="001D200B">
              <w:rPr>
                <w:rFonts w:cstheme="minorHAnsi"/>
                <w:sz w:val="22"/>
                <w:szCs w:val="22"/>
              </w:rPr>
              <w:t>14.</w:t>
            </w:r>
          </w:p>
        </w:tc>
        <w:tc>
          <w:tcPr>
            <w:tcW w:w="2916" w:type="dxa"/>
            <w:noWrap/>
            <w:vAlign w:val="center"/>
          </w:tcPr>
          <w:p w:rsidR="00B21B9B" w:rsidRPr="001D200B" w:rsidRDefault="00B43AA4" w:rsidP="00AF7BBB">
            <w:pPr>
              <w:spacing w:before="0" w:after="0" w:line="240" w:lineRule="auto"/>
              <w:jc w:val="left"/>
              <w:rPr>
                <w:rFonts w:cstheme="minorHAnsi"/>
                <w:sz w:val="22"/>
                <w:szCs w:val="22"/>
              </w:rPr>
            </w:pPr>
            <w:r w:rsidRPr="001D200B">
              <w:rPr>
                <w:rFonts w:cstheme="minorHAnsi"/>
                <w:sz w:val="22"/>
                <w:szCs w:val="22"/>
              </w:rPr>
              <w:t xml:space="preserve">Świetlica Brzozowa </w:t>
            </w:r>
          </w:p>
        </w:tc>
        <w:tc>
          <w:tcPr>
            <w:tcW w:w="1417" w:type="dxa"/>
            <w:vAlign w:val="center"/>
          </w:tcPr>
          <w:p w:rsidR="00B21B9B" w:rsidRPr="001D200B" w:rsidRDefault="00B43AA4" w:rsidP="00AF7BBB">
            <w:pPr>
              <w:spacing w:before="0" w:after="0" w:line="240" w:lineRule="auto"/>
              <w:jc w:val="center"/>
              <w:rPr>
                <w:rFonts w:cstheme="minorHAnsi"/>
                <w:sz w:val="22"/>
                <w:szCs w:val="22"/>
              </w:rPr>
            </w:pPr>
            <w:r w:rsidRPr="001D200B">
              <w:rPr>
                <w:rFonts w:cstheme="minorHAnsi"/>
                <w:sz w:val="22"/>
                <w:szCs w:val="22"/>
              </w:rPr>
              <w:t>44,8</w:t>
            </w:r>
          </w:p>
        </w:tc>
        <w:tc>
          <w:tcPr>
            <w:tcW w:w="2694" w:type="dxa"/>
            <w:vAlign w:val="center"/>
          </w:tcPr>
          <w:p w:rsidR="00B21B9B" w:rsidRPr="001D200B" w:rsidRDefault="00B43AA4" w:rsidP="00AF7BBB">
            <w:pPr>
              <w:spacing w:before="0" w:after="0" w:line="240" w:lineRule="auto"/>
              <w:jc w:val="center"/>
              <w:rPr>
                <w:rFonts w:cstheme="minorHAnsi"/>
                <w:sz w:val="22"/>
                <w:szCs w:val="22"/>
              </w:rPr>
            </w:pPr>
            <w:r w:rsidRPr="001D200B">
              <w:rPr>
                <w:rFonts w:cstheme="minorHAnsi"/>
                <w:sz w:val="22"/>
                <w:szCs w:val="22"/>
              </w:rPr>
              <w:t>Ogrzewanie energią elektryczną</w:t>
            </w:r>
          </w:p>
        </w:tc>
        <w:tc>
          <w:tcPr>
            <w:tcW w:w="2055" w:type="dxa"/>
            <w:vAlign w:val="center"/>
          </w:tcPr>
          <w:p w:rsidR="00B21B9B" w:rsidRPr="001D200B" w:rsidRDefault="00B43AA4" w:rsidP="00AF7BBB">
            <w:pPr>
              <w:spacing w:before="0" w:after="0" w:line="240" w:lineRule="auto"/>
              <w:jc w:val="center"/>
              <w:rPr>
                <w:rFonts w:cstheme="minorHAnsi"/>
                <w:sz w:val="22"/>
                <w:szCs w:val="22"/>
              </w:rPr>
            </w:pPr>
            <w:r w:rsidRPr="001D200B">
              <w:rPr>
                <w:rFonts w:cstheme="minorHAnsi"/>
                <w:sz w:val="22"/>
                <w:szCs w:val="22"/>
              </w:rPr>
              <w:t>12,6</w:t>
            </w:r>
          </w:p>
        </w:tc>
      </w:tr>
      <w:tr w:rsidR="00B21B9B" w:rsidRPr="001D200B" w:rsidTr="00931F90">
        <w:trPr>
          <w:trHeight w:val="255"/>
          <w:jc w:val="center"/>
        </w:trPr>
        <w:tc>
          <w:tcPr>
            <w:tcW w:w="419" w:type="dxa"/>
            <w:vAlign w:val="center"/>
          </w:tcPr>
          <w:p w:rsidR="00B21B9B" w:rsidRPr="001D200B" w:rsidRDefault="00B43AA4" w:rsidP="00AF7BBB">
            <w:pPr>
              <w:spacing w:before="0" w:after="0" w:line="240" w:lineRule="auto"/>
              <w:rPr>
                <w:rFonts w:cstheme="minorHAnsi"/>
                <w:sz w:val="22"/>
                <w:szCs w:val="22"/>
              </w:rPr>
            </w:pPr>
            <w:r w:rsidRPr="001D200B">
              <w:rPr>
                <w:rFonts w:cstheme="minorHAnsi"/>
                <w:sz w:val="22"/>
                <w:szCs w:val="22"/>
              </w:rPr>
              <w:t>15.</w:t>
            </w:r>
          </w:p>
        </w:tc>
        <w:tc>
          <w:tcPr>
            <w:tcW w:w="2916" w:type="dxa"/>
            <w:noWrap/>
            <w:vAlign w:val="center"/>
          </w:tcPr>
          <w:p w:rsidR="00B21B9B" w:rsidRPr="001D200B" w:rsidRDefault="00B43AA4" w:rsidP="00AF7BBB">
            <w:pPr>
              <w:spacing w:before="0" w:after="0" w:line="240" w:lineRule="auto"/>
              <w:jc w:val="left"/>
              <w:rPr>
                <w:rFonts w:cstheme="minorHAnsi"/>
                <w:sz w:val="22"/>
                <w:szCs w:val="22"/>
              </w:rPr>
            </w:pPr>
            <w:r w:rsidRPr="001D200B">
              <w:rPr>
                <w:rFonts w:cstheme="minorHAnsi"/>
                <w:sz w:val="22"/>
                <w:szCs w:val="22"/>
              </w:rPr>
              <w:t xml:space="preserve">Świetlica Kamieniec </w:t>
            </w:r>
          </w:p>
        </w:tc>
        <w:tc>
          <w:tcPr>
            <w:tcW w:w="1417" w:type="dxa"/>
            <w:vAlign w:val="center"/>
          </w:tcPr>
          <w:p w:rsidR="00B21B9B" w:rsidRPr="001D200B" w:rsidRDefault="00B43AA4" w:rsidP="00AF7BBB">
            <w:pPr>
              <w:spacing w:before="0" w:after="0" w:line="240" w:lineRule="auto"/>
              <w:jc w:val="center"/>
              <w:rPr>
                <w:rFonts w:cstheme="minorHAnsi"/>
                <w:sz w:val="22"/>
                <w:szCs w:val="22"/>
              </w:rPr>
            </w:pPr>
            <w:r w:rsidRPr="001D200B">
              <w:rPr>
                <w:rFonts w:cstheme="minorHAnsi"/>
                <w:sz w:val="22"/>
                <w:szCs w:val="22"/>
              </w:rPr>
              <w:t>48,3</w:t>
            </w:r>
          </w:p>
        </w:tc>
        <w:tc>
          <w:tcPr>
            <w:tcW w:w="2694" w:type="dxa"/>
            <w:vAlign w:val="center"/>
          </w:tcPr>
          <w:p w:rsidR="00B21B9B" w:rsidRPr="001D200B" w:rsidRDefault="00B43AA4" w:rsidP="00AF7BBB">
            <w:pPr>
              <w:spacing w:before="0" w:after="0" w:line="240" w:lineRule="auto"/>
              <w:jc w:val="center"/>
              <w:rPr>
                <w:rFonts w:cstheme="minorHAnsi"/>
                <w:sz w:val="22"/>
                <w:szCs w:val="22"/>
              </w:rPr>
            </w:pPr>
            <w:r w:rsidRPr="001D200B">
              <w:rPr>
                <w:rFonts w:cstheme="minorHAnsi"/>
                <w:sz w:val="22"/>
                <w:szCs w:val="22"/>
              </w:rPr>
              <w:t>Ogrzewanie energią elektryczną</w:t>
            </w:r>
          </w:p>
        </w:tc>
        <w:tc>
          <w:tcPr>
            <w:tcW w:w="2055" w:type="dxa"/>
            <w:vAlign w:val="center"/>
          </w:tcPr>
          <w:p w:rsidR="00B21B9B" w:rsidRPr="001D200B" w:rsidRDefault="00815558" w:rsidP="00AF7BBB">
            <w:pPr>
              <w:spacing w:before="0" w:after="0" w:line="240" w:lineRule="auto"/>
              <w:jc w:val="center"/>
              <w:rPr>
                <w:rFonts w:cstheme="minorHAnsi"/>
                <w:sz w:val="22"/>
                <w:szCs w:val="22"/>
              </w:rPr>
            </w:pPr>
            <w:r w:rsidRPr="001D200B">
              <w:rPr>
                <w:rFonts w:cstheme="minorHAnsi"/>
                <w:sz w:val="22"/>
                <w:szCs w:val="22"/>
              </w:rPr>
              <w:t>1,0</w:t>
            </w:r>
          </w:p>
        </w:tc>
      </w:tr>
      <w:tr w:rsidR="00B21B9B" w:rsidRPr="001D200B" w:rsidTr="00931F90">
        <w:trPr>
          <w:trHeight w:val="255"/>
          <w:jc w:val="center"/>
        </w:trPr>
        <w:tc>
          <w:tcPr>
            <w:tcW w:w="419" w:type="dxa"/>
            <w:vAlign w:val="center"/>
          </w:tcPr>
          <w:p w:rsidR="00B21B9B" w:rsidRPr="001D200B" w:rsidRDefault="00B43AA4" w:rsidP="00AF7BBB">
            <w:pPr>
              <w:spacing w:before="0" w:after="0" w:line="240" w:lineRule="auto"/>
              <w:rPr>
                <w:rFonts w:cstheme="minorHAnsi"/>
                <w:sz w:val="22"/>
                <w:szCs w:val="22"/>
              </w:rPr>
            </w:pPr>
            <w:r w:rsidRPr="001D200B">
              <w:rPr>
                <w:rFonts w:cstheme="minorHAnsi"/>
                <w:sz w:val="22"/>
                <w:szCs w:val="22"/>
              </w:rPr>
              <w:t>16.</w:t>
            </w:r>
          </w:p>
        </w:tc>
        <w:tc>
          <w:tcPr>
            <w:tcW w:w="2916" w:type="dxa"/>
            <w:noWrap/>
            <w:vAlign w:val="center"/>
          </w:tcPr>
          <w:p w:rsidR="00B21B9B" w:rsidRPr="001D200B" w:rsidRDefault="00B43AA4" w:rsidP="00AF7BBB">
            <w:pPr>
              <w:spacing w:before="0" w:after="0" w:line="240" w:lineRule="auto"/>
              <w:jc w:val="left"/>
              <w:rPr>
                <w:rFonts w:cstheme="minorHAnsi"/>
                <w:sz w:val="22"/>
                <w:szCs w:val="22"/>
              </w:rPr>
            </w:pPr>
            <w:r w:rsidRPr="001D200B">
              <w:rPr>
                <w:rFonts w:cstheme="minorHAnsi"/>
                <w:sz w:val="22"/>
                <w:szCs w:val="22"/>
              </w:rPr>
              <w:t>Świetlica Łęg</w:t>
            </w:r>
          </w:p>
        </w:tc>
        <w:tc>
          <w:tcPr>
            <w:tcW w:w="1417" w:type="dxa"/>
            <w:vAlign w:val="center"/>
          </w:tcPr>
          <w:p w:rsidR="00B21B9B" w:rsidRPr="001D200B" w:rsidRDefault="00B43AA4" w:rsidP="00AF7BBB">
            <w:pPr>
              <w:spacing w:before="0" w:after="0" w:line="240" w:lineRule="auto"/>
              <w:jc w:val="center"/>
              <w:rPr>
                <w:rFonts w:cstheme="minorHAnsi"/>
                <w:sz w:val="22"/>
                <w:szCs w:val="22"/>
              </w:rPr>
            </w:pPr>
            <w:r w:rsidRPr="001D200B">
              <w:rPr>
                <w:rFonts w:cstheme="minorHAnsi"/>
                <w:sz w:val="22"/>
                <w:szCs w:val="22"/>
              </w:rPr>
              <w:t>85,6</w:t>
            </w:r>
          </w:p>
        </w:tc>
        <w:tc>
          <w:tcPr>
            <w:tcW w:w="2694" w:type="dxa"/>
            <w:vAlign w:val="center"/>
          </w:tcPr>
          <w:p w:rsidR="00B21B9B" w:rsidRPr="001D200B" w:rsidRDefault="00B43AA4" w:rsidP="00AF7BBB">
            <w:pPr>
              <w:spacing w:before="0" w:after="0" w:line="240" w:lineRule="auto"/>
              <w:jc w:val="center"/>
              <w:rPr>
                <w:rFonts w:cstheme="minorHAnsi"/>
                <w:sz w:val="22"/>
                <w:szCs w:val="22"/>
              </w:rPr>
            </w:pPr>
            <w:r w:rsidRPr="001D200B">
              <w:rPr>
                <w:rFonts w:cstheme="minorHAnsi"/>
                <w:sz w:val="22"/>
                <w:szCs w:val="22"/>
              </w:rPr>
              <w:t>Ogrzewanie energią elektryczną</w:t>
            </w:r>
          </w:p>
        </w:tc>
        <w:tc>
          <w:tcPr>
            <w:tcW w:w="2055" w:type="dxa"/>
            <w:vAlign w:val="center"/>
          </w:tcPr>
          <w:p w:rsidR="00B21B9B" w:rsidRPr="001D200B" w:rsidRDefault="00B43AA4" w:rsidP="00AF7BBB">
            <w:pPr>
              <w:spacing w:before="0" w:after="0" w:line="240" w:lineRule="auto"/>
              <w:jc w:val="center"/>
              <w:rPr>
                <w:rFonts w:cstheme="minorHAnsi"/>
                <w:sz w:val="22"/>
                <w:szCs w:val="22"/>
              </w:rPr>
            </w:pPr>
            <w:r w:rsidRPr="001D200B">
              <w:rPr>
                <w:rFonts w:cstheme="minorHAnsi"/>
                <w:sz w:val="22"/>
                <w:szCs w:val="22"/>
              </w:rPr>
              <w:t>21,6</w:t>
            </w:r>
          </w:p>
        </w:tc>
      </w:tr>
      <w:tr w:rsidR="00B21B9B" w:rsidRPr="001D200B" w:rsidTr="00931F90">
        <w:trPr>
          <w:trHeight w:val="255"/>
          <w:jc w:val="center"/>
        </w:trPr>
        <w:tc>
          <w:tcPr>
            <w:tcW w:w="419" w:type="dxa"/>
            <w:vAlign w:val="center"/>
          </w:tcPr>
          <w:p w:rsidR="00B21B9B" w:rsidRPr="001D200B" w:rsidRDefault="00B43AA4" w:rsidP="00AF7BBB">
            <w:pPr>
              <w:spacing w:before="0" w:after="0" w:line="240" w:lineRule="auto"/>
              <w:rPr>
                <w:rFonts w:cstheme="minorHAnsi"/>
                <w:sz w:val="22"/>
                <w:szCs w:val="22"/>
              </w:rPr>
            </w:pPr>
            <w:r w:rsidRPr="001D200B">
              <w:rPr>
                <w:rFonts w:cstheme="minorHAnsi"/>
                <w:sz w:val="22"/>
                <w:szCs w:val="22"/>
              </w:rPr>
              <w:t>17.</w:t>
            </w:r>
          </w:p>
        </w:tc>
        <w:tc>
          <w:tcPr>
            <w:tcW w:w="2916" w:type="dxa"/>
            <w:noWrap/>
            <w:vAlign w:val="center"/>
          </w:tcPr>
          <w:p w:rsidR="00B21B9B" w:rsidRPr="001D200B" w:rsidRDefault="00B43AA4" w:rsidP="00AF7BBB">
            <w:pPr>
              <w:spacing w:before="0" w:after="0" w:line="240" w:lineRule="auto"/>
              <w:jc w:val="left"/>
              <w:rPr>
                <w:rFonts w:cstheme="minorHAnsi"/>
                <w:sz w:val="22"/>
                <w:szCs w:val="22"/>
              </w:rPr>
            </w:pPr>
            <w:r w:rsidRPr="001D200B">
              <w:rPr>
                <w:rFonts w:cstheme="minorHAnsi"/>
                <w:sz w:val="22"/>
                <w:szCs w:val="22"/>
              </w:rPr>
              <w:t>Świetlica Połaniec</w:t>
            </w:r>
          </w:p>
        </w:tc>
        <w:tc>
          <w:tcPr>
            <w:tcW w:w="1417" w:type="dxa"/>
            <w:vAlign w:val="center"/>
          </w:tcPr>
          <w:p w:rsidR="00B21B9B" w:rsidRPr="001D200B" w:rsidRDefault="00B43AA4" w:rsidP="00AF7BBB">
            <w:pPr>
              <w:spacing w:before="0" w:after="0" w:line="240" w:lineRule="auto"/>
              <w:jc w:val="center"/>
              <w:rPr>
                <w:rFonts w:cstheme="minorHAnsi"/>
                <w:sz w:val="22"/>
                <w:szCs w:val="22"/>
              </w:rPr>
            </w:pPr>
            <w:r w:rsidRPr="001D200B">
              <w:rPr>
                <w:rFonts w:cstheme="minorHAnsi"/>
                <w:sz w:val="22"/>
                <w:szCs w:val="22"/>
              </w:rPr>
              <w:t>154,4</w:t>
            </w:r>
          </w:p>
        </w:tc>
        <w:tc>
          <w:tcPr>
            <w:tcW w:w="2694" w:type="dxa"/>
            <w:vAlign w:val="center"/>
          </w:tcPr>
          <w:p w:rsidR="00B21B9B" w:rsidRPr="001D200B" w:rsidRDefault="00B43AA4" w:rsidP="00AF7BBB">
            <w:pPr>
              <w:spacing w:before="0" w:after="0" w:line="240" w:lineRule="auto"/>
              <w:jc w:val="center"/>
              <w:rPr>
                <w:rFonts w:cstheme="minorHAnsi"/>
                <w:sz w:val="22"/>
                <w:szCs w:val="22"/>
              </w:rPr>
            </w:pPr>
            <w:r w:rsidRPr="001D200B">
              <w:rPr>
                <w:rFonts w:cstheme="minorHAnsi"/>
                <w:sz w:val="22"/>
                <w:szCs w:val="22"/>
              </w:rPr>
              <w:t>Zasilanie z sieci ciepłowniczej PGK sp. z o.o. w Połańcu</w:t>
            </w:r>
          </w:p>
        </w:tc>
        <w:tc>
          <w:tcPr>
            <w:tcW w:w="2055" w:type="dxa"/>
            <w:vAlign w:val="center"/>
          </w:tcPr>
          <w:p w:rsidR="00B21B9B" w:rsidRPr="001D200B" w:rsidRDefault="00B43AA4" w:rsidP="00AF7BBB">
            <w:pPr>
              <w:spacing w:before="0" w:after="0" w:line="240" w:lineRule="auto"/>
              <w:jc w:val="center"/>
              <w:rPr>
                <w:rFonts w:cstheme="minorHAnsi"/>
                <w:sz w:val="22"/>
                <w:szCs w:val="22"/>
              </w:rPr>
            </w:pPr>
            <w:r w:rsidRPr="001D200B">
              <w:rPr>
                <w:rFonts w:cstheme="minorHAnsi"/>
                <w:sz w:val="22"/>
                <w:szCs w:val="22"/>
              </w:rPr>
              <w:t>Brak danych</w:t>
            </w:r>
          </w:p>
        </w:tc>
      </w:tr>
      <w:tr w:rsidR="00B21B9B" w:rsidRPr="001D200B" w:rsidTr="00931F90">
        <w:trPr>
          <w:trHeight w:val="578"/>
          <w:jc w:val="center"/>
        </w:trPr>
        <w:tc>
          <w:tcPr>
            <w:tcW w:w="419" w:type="dxa"/>
            <w:vAlign w:val="center"/>
          </w:tcPr>
          <w:p w:rsidR="00B21B9B" w:rsidRPr="001D200B" w:rsidRDefault="00B43AA4" w:rsidP="00AF7BBB">
            <w:pPr>
              <w:spacing w:before="0" w:after="0" w:line="240" w:lineRule="auto"/>
              <w:rPr>
                <w:rFonts w:cstheme="minorHAnsi"/>
                <w:sz w:val="22"/>
                <w:szCs w:val="22"/>
              </w:rPr>
            </w:pPr>
            <w:r w:rsidRPr="001D200B">
              <w:rPr>
                <w:rFonts w:cstheme="minorHAnsi"/>
                <w:sz w:val="22"/>
                <w:szCs w:val="22"/>
              </w:rPr>
              <w:t>18.</w:t>
            </w:r>
          </w:p>
        </w:tc>
        <w:tc>
          <w:tcPr>
            <w:tcW w:w="2916" w:type="dxa"/>
            <w:noWrap/>
            <w:vAlign w:val="center"/>
          </w:tcPr>
          <w:p w:rsidR="00B21B9B" w:rsidRPr="001D200B" w:rsidRDefault="00815558" w:rsidP="00AF7BBB">
            <w:pPr>
              <w:spacing w:before="0" w:after="0" w:line="240" w:lineRule="auto"/>
              <w:jc w:val="left"/>
              <w:rPr>
                <w:rFonts w:cstheme="minorHAnsi"/>
                <w:sz w:val="22"/>
                <w:szCs w:val="22"/>
              </w:rPr>
            </w:pPr>
            <w:r w:rsidRPr="001D200B">
              <w:rPr>
                <w:rFonts w:cstheme="minorHAnsi"/>
                <w:sz w:val="22"/>
                <w:szCs w:val="22"/>
              </w:rPr>
              <w:t>Świetlica Ruszcza Kępa</w:t>
            </w:r>
          </w:p>
        </w:tc>
        <w:tc>
          <w:tcPr>
            <w:tcW w:w="1417" w:type="dxa"/>
            <w:vAlign w:val="center"/>
          </w:tcPr>
          <w:p w:rsidR="00B21B9B" w:rsidRPr="001D200B" w:rsidRDefault="00815558" w:rsidP="00AF7BBB">
            <w:pPr>
              <w:spacing w:before="0" w:after="0" w:line="240" w:lineRule="auto"/>
              <w:jc w:val="center"/>
              <w:rPr>
                <w:rFonts w:cstheme="minorHAnsi"/>
                <w:sz w:val="22"/>
                <w:szCs w:val="22"/>
              </w:rPr>
            </w:pPr>
            <w:r w:rsidRPr="001D200B">
              <w:rPr>
                <w:rFonts w:cstheme="minorHAnsi"/>
                <w:sz w:val="22"/>
                <w:szCs w:val="22"/>
              </w:rPr>
              <w:t>44,8</w:t>
            </w:r>
          </w:p>
        </w:tc>
        <w:tc>
          <w:tcPr>
            <w:tcW w:w="2694" w:type="dxa"/>
            <w:vAlign w:val="center"/>
          </w:tcPr>
          <w:p w:rsidR="00B21B9B" w:rsidRPr="001D200B" w:rsidRDefault="00815558" w:rsidP="00AF7BBB">
            <w:pPr>
              <w:spacing w:before="0" w:after="0" w:line="240" w:lineRule="auto"/>
              <w:jc w:val="center"/>
              <w:rPr>
                <w:rFonts w:cstheme="minorHAnsi"/>
                <w:sz w:val="22"/>
                <w:szCs w:val="22"/>
              </w:rPr>
            </w:pPr>
            <w:r w:rsidRPr="001D200B">
              <w:rPr>
                <w:rFonts w:cstheme="minorHAnsi"/>
                <w:sz w:val="22"/>
                <w:szCs w:val="22"/>
              </w:rPr>
              <w:t>Ogrzewanie energią elektryczną</w:t>
            </w:r>
          </w:p>
        </w:tc>
        <w:tc>
          <w:tcPr>
            <w:tcW w:w="2055" w:type="dxa"/>
            <w:vAlign w:val="center"/>
          </w:tcPr>
          <w:p w:rsidR="00B21B9B" w:rsidRPr="001D200B" w:rsidRDefault="00815558" w:rsidP="00AF7BBB">
            <w:pPr>
              <w:spacing w:before="0" w:after="0" w:line="240" w:lineRule="auto"/>
              <w:jc w:val="center"/>
              <w:rPr>
                <w:rFonts w:cstheme="minorHAnsi"/>
                <w:sz w:val="22"/>
                <w:szCs w:val="22"/>
              </w:rPr>
            </w:pPr>
            <w:r w:rsidRPr="001D200B">
              <w:rPr>
                <w:rFonts w:cstheme="minorHAnsi"/>
                <w:sz w:val="22"/>
                <w:szCs w:val="22"/>
              </w:rPr>
              <w:t>4,32</w:t>
            </w:r>
          </w:p>
        </w:tc>
      </w:tr>
      <w:tr w:rsidR="00B21B9B" w:rsidRPr="001D200B" w:rsidTr="00931F90">
        <w:trPr>
          <w:trHeight w:val="255"/>
          <w:jc w:val="center"/>
        </w:trPr>
        <w:tc>
          <w:tcPr>
            <w:tcW w:w="419" w:type="dxa"/>
            <w:vAlign w:val="center"/>
          </w:tcPr>
          <w:p w:rsidR="00B21B9B" w:rsidRPr="001D200B" w:rsidRDefault="00815558" w:rsidP="00AF7BBB">
            <w:pPr>
              <w:spacing w:before="0" w:after="0" w:line="240" w:lineRule="auto"/>
              <w:rPr>
                <w:rFonts w:cstheme="minorHAnsi"/>
                <w:sz w:val="22"/>
                <w:szCs w:val="22"/>
              </w:rPr>
            </w:pPr>
            <w:r w:rsidRPr="001D200B">
              <w:rPr>
                <w:rFonts w:cstheme="minorHAnsi"/>
                <w:sz w:val="22"/>
                <w:szCs w:val="22"/>
              </w:rPr>
              <w:t>19.</w:t>
            </w:r>
          </w:p>
        </w:tc>
        <w:tc>
          <w:tcPr>
            <w:tcW w:w="2916" w:type="dxa"/>
            <w:noWrap/>
            <w:vAlign w:val="center"/>
          </w:tcPr>
          <w:p w:rsidR="00B21B9B" w:rsidRPr="001D200B" w:rsidRDefault="00815558" w:rsidP="00AF7BBB">
            <w:pPr>
              <w:spacing w:before="0" w:after="0" w:line="240" w:lineRule="auto"/>
              <w:jc w:val="left"/>
              <w:rPr>
                <w:rFonts w:cstheme="minorHAnsi"/>
                <w:sz w:val="22"/>
                <w:szCs w:val="22"/>
              </w:rPr>
            </w:pPr>
            <w:r w:rsidRPr="001D200B">
              <w:rPr>
                <w:rFonts w:cstheme="minorHAnsi"/>
                <w:sz w:val="22"/>
                <w:szCs w:val="22"/>
              </w:rPr>
              <w:t>Świetlica Winnica</w:t>
            </w:r>
          </w:p>
        </w:tc>
        <w:tc>
          <w:tcPr>
            <w:tcW w:w="1417" w:type="dxa"/>
            <w:vAlign w:val="center"/>
          </w:tcPr>
          <w:p w:rsidR="00B21B9B" w:rsidRPr="001D200B" w:rsidRDefault="00815558" w:rsidP="00AF7BBB">
            <w:pPr>
              <w:spacing w:before="0" w:after="0" w:line="240" w:lineRule="auto"/>
              <w:jc w:val="center"/>
              <w:rPr>
                <w:rFonts w:cstheme="minorHAnsi"/>
                <w:sz w:val="22"/>
                <w:szCs w:val="22"/>
              </w:rPr>
            </w:pPr>
            <w:r w:rsidRPr="001D200B">
              <w:rPr>
                <w:rFonts w:cstheme="minorHAnsi"/>
                <w:sz w:val="22"/>
                <w:szCs w:val="22"/>
              </w:rPr>
              <w:t>47,26</w:t>
            </w:r>
          </w:p>
        </w:tc>
        <w:tc>
          <w:tcPr>
            <w:tcW w:w="2694" w:type="dxa"/>
            <w:vAlign w:val="center"/>
          </w:tcPr>
          <w:p w:rsidR="00B21B9B" w:rsidRPr="001D200B" w:rsidRDefault="00815558" w:rsidP="00AF7BBB">
            <w:pPr>
              <w:spacing w:before="0" w:after="0" w:line="240" w:lineRule="auto"/>
              <w:jc w:val="center"/>
              <w:rPr>
                <w:rFonts w:cstheme="minorHAnsi"/>
                <w:sz w:val="22"/>
                <w:szCs w:val="22"/>
              </w:rPr>
            </w:pPr>
            <w:r w:rsidRPr="001D200B">
              <w:rPr>
                <w:rFonts w:cstheme="minorHAnsi"/>
                <w:sz w:val="22"/>
                <w:szCs w:val="22"/>
              </w:rPr>
              <w:t>Ogrzewanie energią elektryczną</w:t>
            </w:r>
          </w:p>
        </w:tc>
        <w:tc>
          <w:tcPr>
            <w:tcW w:w="2055" w:type="dxa"/>
            <w:vAlign w:val="center"/>
          </w:tcPr>
          <w:p w:rsidR="00B21B9B" w:rsidRPr="001D200B" w:rsidRDefault="00815558" w:rsidP="00AF7BBB">
            <w:pPr>
              <w:spacing w:before="0" w:after="0" w:line="240" w:lineRule="auto"/>
              <w:jc w:val="center"/>
              <w:rPr>
                <w:rFonts w:cstheme="minorHAnsi"/>
                <w:sz w:val="22"/>
                <w:szCs w:val="22"/>
              </w:rPr>
            </w:pPr>
            <w:r w:rsidRPr="001D200B">
              <w:rPr>
                <w:rFonts w:cstheme="minorHAnsi"/>
                <w:sz w:val="22"/>
                <w:szCs w:val="22"/>
              </w:rPr>
              <w:t>14,4</w:t>
            </w:r>
          </w:p>
        </w:tc>
      </w:tr>
      <w:tr w:rsidR="00B21B9B" w:rsidRPr="001D200B" w:rsidTr="00931F90">
        <w:trPr>
          <w:trHeight w:val="255"/>
          <w:jc w:val="center"/>
        </w:trPr>
        <w:tc>
          <w:tcPr>
            <w:tcW w:w="419" w:type="dxa"/>
            <w:vAlign w:val="center"/>
          </w:tcPr>
          <w:p w:rsidR="00B21B9B" w:rsidRPr="001D200B" w:rsidRDefault="00815558" w:rsidP="00AF7BBB">
            <w:pPr>
              <w:spacing w:before="0" w:after="0" w:line="240" w:lineRule="auto"/>
              <w:rPr>
                <w:rFonts w:cstheme="minorHAnsi"/>
                <w:sz w:val="22"/>
                <w:szCs w:val="22"/>
              </w:rPr>
            </w:pPr>
            <w:r w:rsidRPr="001D200B">
              <w:rPr>
                <w:rFonts w:cstheme="minorHAnsi"/>
                <w:sz w:val="22"/>
                <w:szCs w:val="22"/>
              </w:rPr>
              <w:t>20.</w:t>
            </w:r>
          </w:p>
        </w:tc>
        <w:tc>
          <w:tcPr>
            <w:tcW w:w="2916" w:type="dxa"/>
            <w:noWrap/>
            <w:vAlign w:val="center"/>
          </w:tcPr>
          <w:p w:rsidR="00B21B9B" w:rsidRPr="001D200B" w:rsidRDefault="00815558" w:rsidP="00AF7BBB">
            <w:pPr>
              <w:spacing w:before="0" w:after="0" w:line="240" w:lineRule="auto"/>
              <w:jc w:val="left"/>
              <w:rPr>
                <w:rFonts w:cstheme="minorHAnsi"/>
                <w:sz w:val="22"/>
                <w:szCs w:val="22"/>
              </w:rPr>
            </w:pPr>
            <w:r w:rsidRPr="001D200B">
              <w:rPr>
                <w:rFonts w:cstheme="minorHAnsi"/>
                <w:sz w:val="22"/>
                <w:szCs w:val="22"/>
              </w:rPr>
              <w:t>Świetlica Wymysłów</w:t>
            </w:r>
          </w:p>
        </w:tc>
        <w:tc>
          <w:tcPr>
            <w:tcW w:w="1417" w:type="dxa"/>
            <w:vAlign w:val="center"/>
          </w:tcPr>
          <w:p w:rsidR="00B21B9B" w:rsidRPr="001D200B" w:rsidRDefault="00815558" w:rsidP="00AF7BBB">
            <w:pPr>
              <w:spacing w:before="0" w:after="0" w:line="240" w:lineRule="auto"/>
              <w:jc w:val="center"/>
              <w:rPr>
                <w:rFonts w:cstheme="minorHAnsi"/>
                <w:sz w:val="22"/>
                <w:szCs w:val="22"/>
              </w:rPr>
            </w:pPr>
            <w:r w:rsidRPr="001D200B">
              <w:rPr>
                <w:rFonts w:cstheme="minorHAnsi"/>
                <w:sz w:val="22"/>
                <w:szCs w:val="22"/>
              </w:rPr>
              <w:t>45,97</w:t>
            </w:r>
          </w:p>
        </w:tc>
        <w:tc>
          <w:tcPr>
            <w:tcW w:w="2694" w:type="dxa"/>
            <w:vAlign w:val="center"/>
          </w:tcPr>
          <w:p w:rsidR="00B21B9B" w:rsidRPr="001D200B" w:rsidRDefault="00815558" w:rsidP="00AF7BBB">
            <w:pPr>
              <w:spacing w:before="0" w:after="0" w:line="240" w:lineRule="auto"/>
              <w:jc w:val="center"/>
              <w:rPr>
                <w:rFonts w:cstheme="minorHAnsi"/>
                <w:sz w:val="22"/>
                <w:szCs w:val="22"/>
              </w:rPr>
            </w:pPr>
            <w:r w:rsidRPr="001D200B">
              <w:rPr>
                <w:rFonts w:cstheme="minorHAnsi"/>
                <w:sz w:val="22"/>
                <w:szCs w:val="22"/>
              </w:rPr>
              <w:t>Ogrzewanie energią elektryczną</w:t>
            </w:r>
          </w:p>
        </w:tc>
        <w:tc>
          <w:tcPr>
            <w:tcW w:w="2055" w:type="dxa"/>
            <w:vAlign w:val="center"/>
          </w:tcPr>
          <w:p w:rsidR="00B21B9B" w:rsidRPr="001D200B" w:rsidRDefault="00815558" w:rsidP="00AF7BBB">
            <w:pPr>
              <w:spacing w:before="0" w:after="0" w:line="240" w:lineRule="auto"/>
              <w:jc w:val="center"/>
              <w:rPr>
                <w:rFonts w:cstheme="minorHAnsi"/>
                <w:sz w:val="22"/>
                <w:szCs w:val="22"/>
              </w:rPr>
            </w:pPr>
            <w:r w:rsidRPr="001D200B">
              <w:rPr>
                <w:rFonts w:cstheme="minorHAnsi"/>
                <w:sz w:val="22"/>
                <w:szCs w:val="22"/>
              </w:rPr>
              <w:t>14,40</w:t>
            </w:r>
          </w:p>
        </w:tc>
      </w:tr>
      <w:tr w:rsidR="00B21B9B" w:rsidRPr="001D200B" w:rsidTr="00931F90">
        <w:trPr>
          <w:trHeight w:val="255"/>
          <w:jc w:val="center"/>
        </w:trPr>
        <w:tc>
          <w:tcPr>
            <w:tcW w:w="419" w:type="dxa"/>
            <w:vAlign w:val="center"/>
          </w:tcPr>
          <w:p w:rsidR="00B21B9B" w:rsidRPr="001D200B" w:rsidRDefault="00815558" w:rsidP="00AF7BBB">
            <w:pPr>
              <w:spacing w:before="0" w:after="0" w:line="240" w:lineRule="auto"/>
              <w:rPr>
                <w:rFonts w:cstheme="minorHAnsi"/>
                <w:sz w:val="22"/>
                <w:szCs w:val="22"/>
              </w:rPr>
            </w:pPr>
            <w:r w:rsidRPr="001D200B">
              <w:rPr>
                <w:rFonts w:cstheme="minorHAnsi"/>
                <w:sz w:val="22"/>
                <w:szCs w:val="22"/>
              </w:rPr>
              <w:t>21.</w:t>
            </w:r>
          </w:p>
        </w:tc>
        <w:tc>
          <w:tcPr>
            <w:tcW w:w="2916" w:type="dxa"/>
            <w:noWrap/>
            <w:vAlign w:val="center"/>
          </w:tcPr>
          <w:p w:rsidR="00B21B9B" w:rsidRPr="001D200B" w:rsidRDefault="00815558" w:rsidP="00AF7BBB">
            <w:pPr>
              <w:spacing w:before="0" w:after="0" w:line="240" w:lineRule="auto"/>
              <w:jc w:val="left"/>
              <w:rPr>
                <w:rFonts w:cstheme="minorHAnsi"/>
                <w:sz w:val="22"/>
                <w:szCs w:val="22"/>
              </w:rPr>
            </w:pPr>
            <w:r w:rsidRPr="001D200B">
              <w:rPr>
                <w:rFonts w:cstheme="minorHAnsi"/>
                <w:sz w:val="22"/>
                <w:szCs w:val="22"/>
              </w:rPr>
              <w:t>Świetlica Zdzieci Nowe</w:t>
            </w:r>
          </w:p>
        </w:tc>
        <w:tc>
          <w:tcPr>
            <w:tcW w:w="1417" w:type="dxa"/>
            <w:vAlign w:val="center"/>
          </w:tcPr>
          <w:p w:rsidR="00B21B9B" w:rsidRPr="001D200B" w:rsidRDefault="00815558" w:rsidP="00AF7BBB">
            <w:pPr>
              <w:spacing w:before="0" w:after="0" w:line="240" w:lineRule="auto"/>
              <w:jc w:val="center"/>
              <w:rPr>
                <w:rFonts w:cstheme="minorHAnsi"/>
                <w:sz w:val="22"/>
                <w:szCs w:val="22"/>
              </w:rPr>
            </w:pPr>
            <w:r w:rsidRPr="001D200B">
              <w:rPr>
                <w:rFonts w:cstheme="minorHAnsi"/>
                <w:sz w:val="22"/>
                <w:szCs w:val="22"/>
              </w:rPr>
              <w:t>42,64</w:t>
            </w:r>
          </w:p>
        </w:tc>
        <w:tc>
          <w:tcPr>
            <w:tcW w:w="2694" w:type="dxa"/>
            <w:vAlign w:val="center"/>
          </w:tcPr>
          <w:p w:rsidR="00B21B9B" w:rsidRPr="001D200B" w:rsidRDefault="00815558" w:rsidP="00AF7BBB">
            <w:pPr>
              <w:spacing w:before="0" w:after="0" w:line="240" w:lineRule="auto"/>
              <w:jc w:val="center"/>
              <w:rPr>
                <w:rFonts w:cstheme="minorHAnsi"/>
                <w:sz w:val="22"/>
                <w:szCs w:val="22"/>
              </w:rPr>
            </w:pPr>
            <w:r w:rsidRPr="001D200B">
              <w:rPr>
                <w:rFonts w:cstheme="minorHAnsi"/>
                <w:sz w:val="22"/>
                <w:szCs w:val="22"/>
              </w:rPr>
              <w:t>Ogrzewanie energią elektryczną</w:t>
            </w:r>
          </w:p>
        </w:tc>
        <w:tc>
          <w:tcPr>
            <w:tcW w:w="2055" w:type="dxa"/>
            <w:vAlign w:val="center"/>
          </w:tcPr>
          <w:p w:rsidR="00B21B9B" w:rsidRPr="001D200B" w:rsidRDefault="00815558" w:rsidP="00AF7BBB">
            <w:pPr>
              <w:spacing w:before="0" w:after="0" w:line="240" w:lineRule="auto"/>
              <w:jc w:val="center"/>
              <w:rPr>
                <w:rFonts w:cstheme="minorHAnsi"/>
                <w:sz w:val="22"/>
                <w:szCs w:val="22"/>
              </w:rPr>
            </w:pPr>
            <w:r w:rsidRPr="001D200B">
              <w:rPr>
                <w:rFonts w:cstheme="minorHAnsi"/>
                <w:sz w:val="22"/>
                <w:szCs w:val="22"/>
              </w:rPr>
              <w:t>7,2</w:t>
            </w:r>
          </w:p>
        </w:tc>
      </w:tr>
      <w:tr w:rsidR="00B21B9B" w:rsidRPr="001D200B" w:rsidTr="00931F90">
        <w:trPr>
          <w:trHeight w:val="255"/>
          <w:jc w:val="center"/>
        </w:trPr>
        <w:tc>
          <w:tcPr>
            <w:tcW w:w="419" w:type="dxa"/>
            <w:vAlign w:val="center"/>
          </w:tcPr>
          <w:p w:rsidR="00B21B9B" w:rsidRPr="001D200B" w:rsidRDefault="009F7DD7" w:rsidP="00AF7BBB">
            <w:pPr>
              <w:spacing w:before="0" w:after="0" w:line="240" w:lineRule="auto"/>
              <w:rPr>
                <w:rFonts w:cstheme="minorHAnsi"/>
                <w:sz w:val="22"/>
                <w:szCs w:val="22"/>
              </w:rPr>
            </w:pPr>
            <w:r w:rsidRPr="001D200B">
              <w:rPr>
                <w:rFonts w:cstheme="minorHAnsi"/>
                <w:sz w:val="22"/>
                <w:szCs w:val="22"/>
              </w:rPr>
              <w:t>22.</w:t>
            </w:r>
          </w:p>
        </w:tc>
        <w:tc>
          <w:tcPr>
            <w:tcW w:w="2916" w:type="dxa"/>
            <w:noWrap/>
            <w:vAlign w:val="center"/>
          </w:tcPr>
          <w:p w:rsidR="00B21B9B" w:rsidRPr="001D200B" w:rsidRDefault="009F7DD7" w:rsidP="00AF7BBB">
            <w:pPr>
              <w:spacing w:before="0" w:after="0" w:line="240" w:lineRule="auto"/>
              <w:jc w:val="left"/>
              <w:rPr>
                <w:rFonts w:cstheme="minorHAnsi"/>
                <w:sz w:val="22"/>
                <w:szCs w:val="22"/>
              </w:rPr>
            </w:pPr>
            <w:r w:rsidRPr="001D200B">
              <w:rPr>
                <w:rFonts w:cstheme="minorHAnsi"/>
                <w:sz w:val="22"/>
                <w:szCs w:val="22"/>
              </w:rPr>
              <w:t>OSP Zrębin</w:t>
            </w:r>
          </w:p>
        </w:tc>
        <w:tc>
          <w:tcPr>
            <w:tcW w:w="1417" w:type="dxa"/>
            <w:vAlign w:val="center"/>
          </w:tcPr>
          <w:p w:rsidR="00B21B9B" w:rsidRPr="001D200B" w:rsidRDefault="009F7DD7" w:rsidP="00AF7BBB">
            <w:pPr>
              <w:spacing w:before="0" w:after="0" w:line="240" w:lineRule="auto"/>
              <w:jc w:val="center"/>
              <w:rPr>
                <w:rFonts w:cstheme="minorHAnsi"/>
                <w:sz w:val="22"/>
                <w:szCs w:val="22"/>
              </w:rPr>
            </w:pPr>
            <w:r w:rsidRPr="001D200B">
              <w:rPr>
                <w:rFonts w:cstheme="minorHAnsi"/>
                <w:sz w:val="22"/>
                <w:szCs w:val="22"/>
              </w:rPr>
              <w:t>536,45</w:t>
            </w:r>
          </w:p>
        </w:tc>
        <w:tc>
          <w:tcPr>
            <w:tcW w:w="2694" w:type="dxa"/>
            <w:vAlign w:val="center"/>
          </w:tcPr>
          <w:p w:rsidR="00B21B9B" w:rsidRPr="001D200B" w:rsidRDefault="009F7DD7" w:rsidP="00ED6F67">
            <w:pPr>
              <w:spacing w:before="0" w:after="0" w:line="240" w:lineRule="auto"/>
              <w:jc w:val="center"/>
              <w:rPr>
                <w:rFonts w:cstheme="minorHAnsi"/>
                <w:sz w:val="22"/>
                <w:szCs w:val="22"/>
              </w:rPr>
            </w:pPr>
            <w:r w:rsidRPr="001D200B">
              <w:rPr>
                <w:rFonts w:cstheme="minorHAnsi"/>
                <w:sz w:val="22"/>
                <w:szCs w:val="22"/>
              </w:rPr>
              <w:t>Piec opalany</w:t>
            </w:r>
            <w:r w:rsidR="00ED6F67" w:rsidRPr="001D200B">
              <w:rPr>
                <w:rFonts w:cstheme="minorHAnsi"/>
                <w:sz w:val="22"/>
                <w:szCs w:val="22"/>
              </w:rPr>
              <w:t xml:space="preserve"> węglem i </w:t>
            </w:r>
            <w:r w:rsidRPr="001D200B">
              <w:rPr>
                <w:rFonts w:cstheme="minorHAnsi"/>
                <w:sz w:val="22"/>
                <w:szCs w:val="22"/>
              </w:rPr>
              <w:t xml:space="preserve">drewnem </w:t>
            </w:r>
          </w:p>
        </w:tc>
        <w:tc>
          <w:tcPr>
            <w:tcW w:w="2055" w:type="dxa"/>
            <w:vAlign w:val="center"/>
          </w:tcPr>
          <w:p w:rsidR="00B21B9B" w:rsidRPr="001D200B" w:rsidRDefault="009F7DD7" w:rsidP="00AF7BBB">
            <w:pPr>
              <w:spacing w:before="0" w:after="0" w:line="240" w:lineRule="auto"/>
              <w:jc w:val="center"/>
              <w:rPr>
                <w:rFonts w:cstheme="minorHAnsi"/>
                <w:sz w:val="22"/>
                <w:szCs w:val="22"/>
              </w:rPr>
            </w:pPr>
            <w:r w:rsidRPr="001D200B">
              <w:rPr>
                <w:rFonts w:cstheme="minorHAnsi"/>
                <w:sz w:val="22"/>
                <w:szCs w:val="22"/>
              </w:rPr>
              <w:t>185,0</w:t>
            </w:r>
          </w:p>
        </w:tc>
      </w:tr>
      <w:tr w:rsidR="009F7DD7" w:rsidRPr="001D200B" w:rsidTr="00931F90">
        <w:trPr>
          <w:trHeight w:val="255"/>
          <w:jc w:val="center"/>
        </w:trPr>
        <w:tc>
          <w:tcPr>
            <w:tcW w:w="419" w:type="dxa"/>
            <w:vAlign w:val="center"/>
          </w:tcPr>
          <w:p w:rsidR="009F7DD7" w:rsidRPr="001D200B" w:rsidRDefault="009F7DD7" w:rsidP="00AF7BBB">
            <w:pPr>
              <w:spacing w:before="0" w:after="0" w:line="240" w:lineRule="auto"/>
              <w:rPr>
                <w:rFonts w:cstheme="minorHAnsi"/>
                <w:sz w:val="22"/>
                <w:szCs w:val="22"/>
              </w:rPr>
            </w:pPr>
            <w:r w:rsidRPr="001D200B">
              <w:rPr>
                <w:rFonts w:cstheme="minorHAnsi"/>
                <w:sz w:val="22"/>
                <w:szCs w:val="22"/>
              </w:rPr>
              <w:t>23.</w:t>
            </w:r>
          </w:p>
        </w:tc>
        <w:tc>
          <w:tcPr>
            <w:tcW w:w="2916" w:type="dxa"/>
            <w:noWrap/>
            <w:vAlign w:val="center"/>
          </w:tcPr>
          <w:p w:rsidR="009F7DD7" w:rsidRPr="001D200B" w:rsidRDefault="009F7DD7" w:rsidP="00AF7BBB">
            <w:pPr>
              <w:spacing w:before="0" w:after="0" w:line="240" w:lineRule="auto"/>
              <w:jc w:val="left"/>
              <w:rPr>
                <w:rFonts w:cstheme="minorHAnsi"/>
                <w:sz w:val="22"/>
                <w:szCs w:val="22"/>
              </w:rPr>
            </w:pPr>
            <w:r w:rsidRPr="001D200B">
              <w:rPr>
                <w:rFonts w:cstheme="minorHAnsi"/>
                <w:sz w:val="22"/>
                <w:szCs w:val="22"/>
              </w:rPr>
              <w:t>OSP Maśnik</w:t>
            </w:r>
          </w:p>
        </w:tc>
        <w:tc>
          <w:tcPr>
            <w:tcW w:w="1417" w:type="dxa"/>
            <w:vAlign w:val="center"/>
          </w:tcPr>
          <w:p w:rsidR="009F7DD7" w:rsidRPr="001D200B" w:rsidRDefault="009F7DD7" w:rsidP="00AF7BBB">
            <w:pPr>
              <w:spacing w:before="0" w:after="0" w:line="240" w:lineRule="auto"/>
              <w:jc w:val="center"/>
              <w:rPr>
                <w:rFonts w:cstheme="minorHAnsi"/>
                <w:sz w:val="22"/>
                <w:szCs w:val="22"/>
              </w:rPr>
            </w:pPr>
            <w:r w:rsidRPr="001D200B">
              <w:rPr>
                <w:rFonts w:cstheme="minorHAnsi"/>
                <w:sz w:val="22"/>
                <w:szCs w:val="22"/>
              </w:rPr>
              <w:t>396,55</w:t>
            </w:r>
          </w:p>
        </w:tc>
        <w:tc>
          <w:tcPr>
            <w:tcW w:w="2694" w:type="dxa"/>
            <w:vAlign w:val="center"/>
          </w:tcPr>
          <w:p w:rsidR="009F7DD7" w:rsidRPr="001D200B" w:rsidRDefault="009F7DD7" w:rsidP="00ED6F67">
            <w:pPr>
              <w:spacing w:before="0" w:after="0" w:line="240" w:lineRule="auto"/>
              <w:jc w:val="center"/>
              <w:rPr>
                <w:rFonts w:cstheme="minorHAnsi"/>
                <w:sz w:val="22"/>
                <w:szCs w:val="22"/>
              </w:rPr>
            </w:pPr>
            <w:r w:rsidRPr="001D200B">
              <w:rPr>
                <w:rFonts w:cstheme="minorHAnsi"/>
                <w:sz w:val="22"/>
                <w:szCs w:val="22"/>
              </w:rPr>
              <w:t xml:space="preserve">Piec opalany </w:t>
            </w:r>
            <w:r w:rsidR="00ED6F67" w:rsidRPr="001D200B">
              <w:rPr>
                <w:rFonts w:cstheme="minorHAnsi"/>
                <w:sz w:val="22"/>
                <w:szCs w:val="22"/>
              </w:rPr>
              <w:t>węglem i </w:t>
            </w:r>
            <w:r w:rsidRPr="001D200B">
              <w:rPr>
                <w:rFonts w:cstheme="minorHAnsi"/>
                <w:sz w:val="22"/>
                <w:szCs w:val="22"/>
              </w:rPr>
              <w:t>drewnem</w:t>
            </w:r>
            <w:r w:rsidR="00EF6F2C" w:rsidRPr="001D200B">
              <w:rPr>
                <w:rFonts w:cstheme="minorHAnsi"/>
                <w:sz w:val="22"/>
                <w:szCs w:val="22"/>
              </w:rPr>
              <w:t xml:space="preserve"> </w:t>
            </w:r>
          </w:p>
        </w:tc>
        <w:tc>
          <w:tcPr>
            <w:tcW w:w="2055" w:type="dxa"/>
            <w:vAlign w:val="center"/>
          </w:tcPr>
          <w:p w:rsidR="009F7DD7" w:rsidRPr="001D200B" w:rsidRDefault="00AF7BBB" w:rsidP="00AF7BBB">
            <w:pPr>
              <w:spacing w:before="0" w:after="0" w:line="240" w:lineRule="auto"/>
              <w:jc w:val="center"/>
              <w:rPr>
                <w:rFonts w:cstheme="minorHAnsi"/>
                <w:sz w:val="22"/>
                <w:szCs w:val="22"/>
              </w:rPr>
            </w:pPr>
            <w:r w:rsidRPr="001D200B">
              <w:rPr>
                <w:rFonts w:cstheme="minorHAnsi"/>
                <w:sz w:val="22"/>
                <w:szCs w:val="22"/>
              </w:rPr>
              <w:t>125,0</w:t>
            </w:r>
          </w:p>
        </w:tc>
      </w:tr>
      <w:tr w:rsidR="009F7DD7" w:rsidRPr="001D200B" w:rsidTr="00931F90">
        <w:trPr>
          <w:trHeight w:val="255"/>
          <w:jc w:val="center"/>
        </w:trPr>
        <w:tc>
          <w:tcPr>
            <w:tcW w:w="419" w:type="dxa"/>
            <w:vAlign w:val="center"/>
          </w:tcPr>
          <w:p w:rsidR="009F7DD7" w:rsidRPr="001D200B" w:rsidRDefault="009F7DD7" w:rsidP="00AF7BBB">
            <w:pPr>
              <w:spacing w:before="0" w:after="0" w:line="240" w:lineRule="auto"/>
              <w:rPr>
                <w:rFonts w:cstheme="minorHAnsi"/>
                <w:sz w:val="22"/>
                <w:szCs w:val="22"/>
              </w:rPr>
            </w:pPr>
            <w:r w:rsidRPr="001D200B">
              <w:rPr>
                <w:rFonts w:cstheme="minorHAnsi"/>
                <w:sz w:val="22"/>
                <w:szCs w:val="22"/>
              </w:rPr>
              <w:t>24.</w:t>
            </w:r>
          </w:p>
        </w:tc>
        <w:tc>
          <w:tcPr>
            <w:tcW w:w="2916" w:type="dxa"/>
            <w:noWrap/>
            <w:vAlign w:val="center"/>
          </w:tcPr>
          <w:p w:rsidR="009F7DD7" w:rsidRPr="001D200B" w:rsidRDefault="009F7DD7" w:rsidP="00AF7BBB">
            <w:pPr>
              <w:spacing w:before="0" w:after="0" w:line="240" w:lineRule="auto"/>
              <w:jc w:val="left"/>
              <w:rPr>
                <w:rFonts w:cstheme="minorHAnsi"/>
                <w:sz w:val="22"/>
                <w:szCs w:val="22"/>
              </w:rPr>
            </w:pPr>
            <w:r w:rsidRPr="001D200B">
              <w:rPr>
                <w:rFonts w:cstheme="minorHAnsi"/>
                <w:sz w:val="22"/>
                <w:szCs w:val="22"/>
              </w:rPr>
              <w:t>OSP Okrągła</w:t>
            </w:r>
          </w:p>
        </w:tc>
        <w:tc>
          <w:tcPr>
            <w:tcW w:w="1417" w:type="dxa"/>
            <w:vAlign w:val="center"/>
          </w:tcPr>
          <w:p w:rsidR="009F7DD7" w:rsidRPr="001D200B" w:rsidRDefault="009F7DD7" w:rsidP="00AF7BBB">
            <w:pPr>
              <w:spacing w:before="0" w:after="0" w:line="240" w:lineRule="auto"/>
              <w:jc w:val="center"/>
              <w:rPr>
                <w:rFonts w:cstheme="minorHAnsi"/>
                <w:sz w:val="22"/>
                <w:szCs w:val="22"/>
              </w:rPr>
            </w:pPr>
            <w:r w:rsidRPr="001D200B">
              <w:rPr>
                <w:rFonts w:cstheme="minorHAnsi"/>
                <w:sz w:val="22"/>
                <w:szCs w:val="22"/>
              </w:rPr>
              <w:t>391,28</w:t>
            </w:r>
          </w:p>
        </w:tc>
        <w:tc>
          <w:tcPr>
            <w:tcW w:w="2694" w:type="dxa"/>
            <w:vAlign w:val="center"/>
          </w:tcPr>
          <w:p w:rsidR="009F7DD7" w:rsidRPr="001D200B" w:rsidRDefault="009F7DD7" w:rsidP="00ED6F67">
            <w:pPr>
              <w:spacing w:before="0" w:after="0" w:line="240" w:lineRule="auto"/>
              <w:jc w:val="center"/>
              <w:rPr>
                <w:rFonts w:cstheme="minorHAnsi"/>
                <w:sz w:val="22"/>
                <w:szCs w:val="22"/>
              </w:rPr>
            </w:pPr>
            <w:r w:rsidRPr="001D200B">
              <w:rPr>
                <w:rFonts w:cstheme="minorHAnsi"/>
                <w:sz w:val="22"/>
                <w:szCs w:val="22"/>
              </w:rPr>
              <w:t xml:space="preserve">Piec opalany </w:t>
            </w:r>
            <w:r w:rsidR="00ED6F67" w:rsidRPr="001D200B">
              <w:rPr>
                <w:rFonts w:cstheme="minorHAnsi"/>
                <w:sz w:val="22"/>
                <w:szCs w:val="22"/>
              </w:rPr>
              <w:t>węglem i </w:t>
            </w:r>
            <w:r w:rsidRPr="001D200B">
              <w:rPr>
                <w:rFonts w:cstheme="minorHAnsi"/>
                <w:sz w:val="22"/>
                <w:szCs w:val="22"/>
              </w:rPr>
              <w:t>drewnem</w:t>
            </w:r>
          </w:p>
        </w:tc>
        <w:tc>
          <w:tcPr>
            <w:tcW w:w="2055" w:type="dxa"/>
            <w:vAlign w:val="center"/>
          </w:tcPr>
          <w:p w:rsidR="009F7DD7" w:rsidRPr="001D200B" w:rsidRDefault="00AF7BBB" w:rsidP="00AF7BBB">
            <w:pPr>
              <w:spacing w:before="0" w:after="0" w:line="240" w:lineRule="auto"/>
              <w:jc w:val="center"/>
              <w:rPr>
                <w:rFonts w:cstheme="minorHAnsi"/>
                <w:sz w:val="22"/>
                <w:szCs w:val="22"/>
              </w:rPr>
            </w:pPr>
            <w:r w:rsidRPr="001D200B">
              <w:rPr>
                <w:rFonts w:cstheme="minorHAnsi"/>
                <w:sz w:val="22"/>
                <w:szCs w:val="22"/>
              </w:rPr>
              <w:t>160,0</w:t>
            </w:r>
          </w:p>
        </w:tc>
      </w:tr>
      <w:tr w:rsidR="009F7DD7" w:rsidRPr="001D200B" w:rsidTr="00931F90">
        <w:trPr>
          <w:trHeight w:val="255"/>
          <w:jc w:val="center"/>
        </w:trPr>
        <w:tc>
          <w:tcPr>
            <w:tcW w:w="419" w:type="dxa"/>
            <w:vAlign w:val="center"/>
          </w:tcPr>
          <w:p w:rsidR="009F7DD7" w:rsidRPr="001D200B" w:rsidRDefault="009F7DD7" w:rsidP="00AF7BBB">
            <w:pPr>
              <w:spacing w:before="0" w:after="0" w:line="240" w:lineRule="auto"/>
              <w:rPr>
                <w:rFonts w:cstheme="minorHAnsi"/>
                <w:sz w:val="22"/>
                <w:szCs w:val="22"/>
              </w:rPr>
            </w:pPr>
            <w:r w:rsidRPr="001D200B">
              <w:rPr>
                <w:rFonts w:cstheme="minorHAnsi"/>
                <w:sz w:val="22"/>
                <w:szCs w:val="22"/>
              </w:rPr>
              <w:t>25.</w:t>
            </w:r>
          </w:p>
        </w:tc>
        <w:tc>
          <w:tcPr>
            <w:tcW w:w="2916" w:type="dxa"/>
            <w:noWrap/>
            <w:vAlign w:val="center"/>
          </w:tcPr>
          <w:p w:rsidR="009F7DD7" w:rsidRPr="001D200B" w:rsidRDefault="009F7DD7" w:rsidP="00AF7BBB">
            <w:pPr>
              <w:spacing w:before="0" w:after="0" w:line="240" w:lineRule="auto"/>
              <w:jc w:val="left"/>
              <w:rPr>
                <w:rFonts w:cstheme="minorHAnsi"/>
                <w:sz w:val="22"/>
                <w:szCs w:val="22"/>
              </w:rPr>
            </w:pPr>
            <w:r w:rsidRPr="001D200B">
              <w:rPr>
                <w:rFonts w:cstheme="minorHAnsi"/>
                <w:sz w:val="22"/>
                <w:szCs w:val="22"/>
              </w:rPr>
              <w:t>OSP Połaniec</w:t>
            </w:r>
          </w:p>
        </w:tc>
        <w:tc>
          <w:tcPr>
            <w:tcW w:w="1417" w:type="dxa"/>
            <w:vAlign w:val="center"/>
          </w:tcPr>
          <w:p w:rsidR="009F7DD7" w:rsidRPr="001D200B" w:rsidRDefault="009F7DD7" w:rsidP="00AF7BBB">
            <w:pPr>
              <w:spacing w:before="0" w:after="0" w:line="240" w:lineRule="auto"/>
              <w:jc w:val="center"/>
              <w:rPr>
                <w:rFonts w:cstheme="minorHAnsi"/>
                <w:sz w:val="22"/>
                <w:szCs w:val="22"/>
              </w:rPr>
            </w:pPr>
            <w:r w:rsidRPr="001D200B">
              <w:rPr>
                <w:rFonts w:cstheme="minorHAnsi"/>
                <w:sz w:val="22"/>
                <w:szCs w:val="22"/>
              </w:rPr>
              <w:t>577,82</w:t>
            </w:r>
          </w:p>
        </w:tc>
        <w:tc>
          <w:tcPr>
            <w:tcW w:w="2694" w:type="dxa"/>
            <w:vAlign w:val="center"/>
          </w:tcPr>
          <w:p w:rsidR="009F7DD7" w:rsidRPr="001D200B" w:rsidRDefault="009F7DD7" w:rsidP="00AF7BBB">
            <w:pPr>
              <w:spacing w:before="0" w:after="0" w:line="240" w:lineRule="auto"/>
              <w:jc w:val="center"/>
              <w:rPr>
                <w:rFonts w:cstheme="minorHAnsi"/>
                <w:sz w:val="22"/>
                <w:szCs w:val="22"/>
              </w:rPr>
            </w:pPr>
            <w:r w:rsidRPr="001D200B">
              <w:rPr>
                <w:rFonts w:cstheme="minorHAnsi"/>
                <w:sz w:val="22"/>
                <w:szCs w:val="22"/>
              </w:rPr>
              <w:t>ciepło sieciowe</w:t>
            </w:r>
          </w:p>
        </w:tc>
        <w:tc>
          <w:tcPr>
            <w:tcW w:w="2055" w:type="dxa"/>
            <w:vAlign w:val="center"/>
          </w:tcPr>
          <w:p w:rsidR="009F7DD7" w:rsidRPr="001D200B" w:rsidRDefault="00AF7BBB" w:rsidP="00AF7BBB">
            <w:pPr>
              <w:spacing w:before="0" w:after="0" w:line="240" w:lineRule="auto"/>
              <w:jc w:val="center"/>
              <w:rPr>
                <w:rFonts w:cstheme="minorHAnsi"/>
                <w:sz w:val="22"/>
                <w:szCs w:val="22"/>
              </w:rPr>
            </w:pPr>
            <w:r w:rsidRPr="001D200B">
              <w:rPr>
                <w:rFonts w:cstheme="minorHAnsi"/>
                <w:sz w:val="22"/>
                <w:szCs w:val="22"/>
              </w:rPr>
              <w:t>Brak danych</w:t>
            </w:r>
          </w:p>
        </w:tc>
      </w:tr>
      <w:tr w:rsidR="009F7DD7" w:rsidRPr="001D200B" w:rsidTr="00931F90">
        <w:trPr>
          <w:trHeight w:val="255"/>
          <w:jc w:val="center"/>
        </w:trPr>
        <w:tc>
          <w:tcPr>
            <w:tcW w:w="419" w:type="dxa"/>
            <w:vAlign w:val="center"/>
          </w:tcPr>
          <w:p w:rsidR="009F7DD7" w:rsidRPr="001D200B" w:rsidRDefault="009F7DD7" w:rsidP="00AF7BBB">
            <w:pPr>
              <w:spacing w:before="0" w:after="0" w:line="240" w:lineRule="auto"/>
              <w:rPr>
                <w:rFonts w:cstheme="minorHAnsi"/>
                <w:sz w:val="22"/>
                <w:szCs w:val="22"/>
              </w:rPr>
            </w:pPr>
            <w:r w:rsidRPr="001D200B">
              <w:rPr>
                <w:rFonts w:cstheme="minorHAnsi"/>
                <w:sz w:val="22"/>
                <w:szCs w:val="22"/>
              </w:rPr>
              <w:t>26.</w:t>
            </w:r>
          </w:p>
        </w:tc>
        <w:tc>
          <w:tcPr>
            <w:tcW w:w="2916" w:type="dxa"/>
            <w:noWrap/>
            <w:vAlign w:val="center"/>
          </w:tcPr>
          <w:p w:rsidR="009F7DD7" w:rsidRPr="001D200B" w:rsidRDefault="009F7DD7" w:rsidP="00AF7BBB">
            <w:pPr>
              <w:spacing w:before="0" w:after="0" w:line="240" w:lineRule="auto"/>
              <w:jc w:val="left"/>
              <w:rPr>
                <w:rFonts w:cstheme="minorHAnsi"/>
                <w:sz w:val="22"/>
                <w:szCs w:val="22"/>
              </w:rPr>
            </w:pPr>
            <w:r w:rsidRPr="001D200B">
              <w:rPr>
                <w:rFonts w:cstheme="minorHAnsi"/>
                <w:sz w:val="22"/>
                <w:szCs w:val="22"/>
              </w:rPr>
              <w:t>OSP Rudniki</w:t>
            </w:r>
          </w:p>
        </w:tc>
        <w:tc>
          <w:tcPr>
            <w:tcW w:w="1417" w:type="dxa"/>
            <w:vAlign w:val="center"/>
          </w:tcPr>
          <w:p w:rsidR="009F7DD7" w:rsidRPr="001D200B" w:rsidRDefault="009F7DD7" w:rsidP="00AF7BBB">
            <w:pPr>
              <w:spacing w:before="0" w:after="0" w:line="240" w:lineRule="auto"/>
              <w:jc w:val="center"/>
              <w:rPr>
                <w:rFonts w:cstheme="minorHAnsi"/>
                <w:sz w:val="22"/>
                <w:szCs w:val="22"/>
              </w:rPr>
            </w:pPr>
            <w:r w:rsidRPr="001D200B">
              <w:rPr>
                <w:rFonts w:cstheme="minorHAnsi"/>
                <w:sz w:val="22"/>
                <w:szCs w:val="22"/>
              </w:rPr>
              <w:t>381,8</w:t>
            </w:r>
          </w:p>
        </w:tc>
        <w:tc>
          <w:tcPr>
            <w:tcW w:w="2694" w:type="dxa"/>
            <w:vAlign w:val="center"/>
          </w:tcPr>
          <w:p w:rsidR="009F7DD7" w:rsidRPr="001D200B" w:rsidRDefault="009F7DD7" w:rsidP="00AF7BBB">
            <w:pPr>
              <w:spacing w:before="0" w:after="0" w:line="240" w:lineRule="auto"/>
              <w:jc w:val="center"/>
              <w:rPr>
                <w:rFonts w:cstheme="minorHAnsi"/>
                <w:sz w:val="22"/>
                <w:szCs w:val="22"/>
              </w:rPr>
            </w:pPr>
            <w:r w:rsidRPr="001D200B">
              <w:rPr>
                <w:rFonts w:cstheme="minorHAnsi"/>
                <w:sz w:val="22"/>
                <w:szCs w:val="22"/>
              </w:rPr>
              <w:t>Piec gazowy</w:t>
            </w:r>
          </w:p>
        </w:tc>
        <w:tc>
          <w:tcPr>
            <w:tcW w:w="2055" w:type="dxa"/>
            <w:vAlign w:val="center"/>
          </w:tcPr>
          <w:p w:rsidR="009F7DD7" w:rsidRPr="001D200B" w:rsidRDefault="00AF7BBB" w:rsidP="00AF7BBB">
            <w:pPr>
              <w:spacing w:before="0" w:after="0" w:line="240" w:lineRule="auto"/>
              <w:jc w:val="center"/>
              <w:rPr>
                <w:rFonts w:cstheme="minorHAnsi"/>
                <w:sz w:val="22"/>
                <w:szCs w:val="22"/>
              </w:rPr>
            </w:pPr>
            <w:r w:rsidRPr="001D200B">
              <w:rPr>
                <w:rFonts w:cstheme="minorHAnsi"/>
                <w:sz w:val="22"/>
                <w:szCs w:val="22"/>
              </w:rPr>
              <w:t>75,31</w:t>
            </w:r>
          </w:p>
        </w:tc>
      </w:tr>
      <w:tr w:rsidR="009F7DD7" w:rsidRPr="001D200B" w:rsidTr="00931F90">
        <w:trPr>
          <w:trHeight w:val="255"/>
          <w:jc w:val="center"/>
        </w:trPr>
        <w:tc>
          <w:tcPr>
            <w:tcW w:w="419" w:type="dxa"/>
            <w:vAlign w:val="center"/>
          </w:tcPr>
          <w:p w:rsidR="009F7DD7" w:rsidRPr="001D200B" w:rsidRDefault="009F7DD7" w:rsidP="00AF7BBB">
            <w:pPr>
              <w:spacing w:before="0" w:after="0" w:line="240" w:lineRule="auto"/>
              <w:rPr>
                <w:rFonts w:cstheme="minorHAnsi"/>
                <w:sz w:val="22"/>
                <w:szCs w:val="22"/>
              </w:rPr>
            </w:pPr>
            <w:r w:rsidRPr="001D200B">
              <w:rPr>
                <w:rFonts w:cstheme="minorHAnsi"/>
                <w:sz w:val="22"/>
                <w:szCs w:val="22"/>
              </w:rPr>
              <w:t>27.</w:t>
            </w:r>
          </w:p>
        </w:tc>
        <w:tc>
          <w:tcPr>
            <w:tcW w:w="2916" w:type="dxa"/>
            <w:noWrap/>
            <w:vAlign w:val="center"/>
          </w:tcPr>
          <w:p w:rsidR="009F7DD7" w:rsidRPr="001D200B" w:rsidRDefault="009F7DD7" w:rsidP="00AF7BBB">
            <w:pPr>
              <w:spacing w:before="0" w:after="0" w:line="240" w:lineRule="auto"/>
              <w:jc w:val="left"/>
              <w:rPr>
                <w:rFonts w:cstheme="minorHAnsi"/>
                <w:sz w:val="22"/>
                <w:szCs w:val="22"/>
              </w:rPr>
            </w:pPr>
            <w:r w:rsidRPr="001D200B">
              <w:rPr>
                <w:rFonts w:cstheme="minorHAnsi"/>
                <w:sz w:val="22"/>
                <w:szCs w:val="22"/>
              </w:rPr>
              <w:t>OSP Ruszcza</w:t>
            </w:r>
          </w:p>
        </w:tc>
        <w:tc>
          <w:tcPr>
            <w:tcW w:w="1417" w:type="dxa"/>
            <w:vAlign w:val="center"/>
          </w:tcPr>
          <w:p w:rsidR="009F7DD7" w:rsidRPr="001D200B" w:rsidRDefault="009F7DD7" w:rsidP="00AF7BBB">
            <w:pPr>
              <w:spacing w:before="0" w:after="0" w:line="240" w:lineRule="auto"/>
              <w:jc w:val="center"/>
              <w:rPr>
                <w:rFonts w:cstheme="minorHAnsi"/>
                <w:sz w:val="22"/>
                <w:szCs w:val="22"/>
              </w:rPr>
            </w:pPr>
            <w:r w:rsidRPr="001D200B">
              <w:rPr>
                <w:rFonts w:cstheme="minorHAnsi"/>
                <w:sz w:val="22"/>
                <w:szCs w:val="22"/>
              </w:rPr>
              <w:t>525,34</w:t>
            </w:r>
          </w:p>
        </w:tc>
        <w:tc>
          <w:tcPr>
            <w:tcW w:w="2694" w:type="dxa"/>
            <w:vAlign w:val="center"/>
          </w:tcPr>
          <w:p w:rsidR="009F7DD7" w:rsidRPr="001D200B" w:rsidRDefault="00AF7BBB" w:rsidP="00ED6F67">
            <w:pPr>
              <w:spacing w:before="0" w:after="0" w:line="240" w:lineRule="auto"/>
              <w:jc w:val="center"/>
              <w:rPr>
                <w:rFonts w:cstheme="minorHAnsi"/>
                <w:sz w:val="22"/>
                <w:szCs w:val="22"/>
              </w:rPr>
            </w:pPr>
            <w:r w:rsidRPr="001D200B">
              <w:rPr>
                <w:rFonts w:cstheme="minorHAnsi"/>
                <w:sz w:val="22"/>
                <w:szCs w:val="22"/>
              </w:rPr>
              <w:t xml:space="preserve">Piec opalany </w:t>
            </w:r>
            <w:r w:rsidR="009F7DD7" w:rsidRPr="001D200B">
              <w:rPr>
                <w:rFonts w:cstheme="minorHAnsi"/>
                <w:sz w:val="22"/>
                <w:szCs w:val="22"/>
              </w:rPr>
              <w:t>węgl</w:t>
            </w:r>
            <w:r w:rsidRPr="001D200B">
              <w:rPr>
                <w:rFonts w:cstheme="minorHAnsi"/>
                <w:sz w:val="22"/>
                <w:szCs w:val="22"/>
              </w:rPr>
              <w:t>em i</w:t>
            </w:r>
            <w:r w:rsidR="00ED6F67" w:rsidRPr="001D200B">
              <w:rPr>
                <w:rFonts w:cstheme="minorHAnsi"/>
                <w:sz w:val="22"/>
                <w:szCs w:val="22"/>
              </w:rPr>
              <w:t> </w:t>
            </w:r>
            <w:r w:rsidRPr="001D200B">
              <w:rPr>
                <w:rFonts w:cstheme="minorHAnsi"/>
                <w:sz w:val="22"/>
                <w:szCs w:val="22"/>
              </w:rPr>
              <w:t>drewnem</w:t>
            </w:r>
          </w:p>
        </w:tc>
        <w:tc>
          <w:tcPr>
            <w:tcW w:w="2055" w:type="dxa"/>
            <w:vAlign w:val="center"/>
          </w:tcPr>
          <w:p w:rsidR="009F7DD7" w:rsidRPr="001D200B" w:rsidRDefault="00AF7BBB" w:rsidP="00AF7BBB">
            <w:pPr>
              <w:spacing w:before="0" w:after="0" w:line="240" w:lineRule="auto"/>
              <w:jc w:val="center"/>
              <w:rPr>
                <w:rFonts w:cstheme="minorHAnsi"/>
                <w:sz w:val="22"/>
                <w:szCs w:val="22"/>
              </w:rPr>
            </w:pPr>
            <w:r w:rsidRPr="001D200B">
              <w:rPr>
                <w:rFonts w:cstheme="minorHAnsi"/>
                <w:sz w:val="22"/>
                <w:szCs w:val="22"/>
              </w:rPr>
              <w:t>117,1</w:t>
            </w:r>
          </w:p>
        </w:tc>
      </w:tr>
      <w:tr w:rsidR="009F7DD7" w:rsidRPr="001D200B" w:rsidTr="00931F90">
        <w:trPr>
          <w:trHeight w:val="255"/>
          <w:jc w:val="center"/>
        </w:trPr>
        <w:tc>
          <w:tcPr>
            <w:tcW w:w="419" w:type="dxa"/>
            <w:vAlign w:val="center"/>
          </w:tcPr>
          <w:p w:rsidR="009F7DD7" w:rsidRPr="001D200B" w:rsidRDefault="009F7DD7" w:rsidP="00AF7BBB">
            <w:pPr>
              <w:spacing w:before="0" w:after="0" w:line="240" w:lineRule="auto"/>
              <w:rPr>
                <w:rFonts w:cstheme="minorHAnsi"/>
                <w:sz w:val="22"/>
                <w:szCs w:val="22"/>
              </w:rPr>
            </w:pPr>
            <w:r w:rsidRPr="001D200B">
              <w:rPr>
                <w:rFonts w:cstheme="minorHAnsi"/>
                <w:sz w:val="22"/>
                <w:szCs w:val="22"/>
              </w:rPr>
              <w:t>28.</w:t>
            </w:r>
          </w:p>
        </w:tc>
        <w:tc>
          <w:tcPr>
            <w:tcW w:w="2916" w:type="dxa"/>
            <w:noWrap/>
            <w:vAlign w:val="center"/>
          </w:tcPr>
          <w:p w:rsidR="009F7DD7" w:rsidRPr="001D200B" w:rsidRDefault="009F7DD7" w:rsidP="00AF7BBB">
            <w:pPr>
              <w:spacing w:before="0" w:after="0" w:line="240" w:lineRule="auto"/>
              <w:jc w:val="left"/>
              <w:rPr>
                <w:rFonts w:cstheme="minorHAnsi"/>
                <w:sz w:val="22"/>
                <w:szCs w:val="22"/>
              </w:rPr>
            </w:pPr>
            <w:r w:rsidRPr="001D200B">
              <w:rPr>
                <w:rFonts w:cstheme="minorHAnsi"/>
                <w:sz w:val="22"/>
                <w:szCs w:val="22"/>
              </w:rPr>
              <w:t>OSP Rybitwy</w:t>
            </w:r>
          </w:p>
        </w:tc>
        <w:tc>
          <w:tcPr>
            <w:tcW w:w="1417" w:type="dxa"/>
            <w:vAlign w:val="center"/>
          </w:tcPr>
          <w:p w:rsidR="009F7DD7" w:rsidRPr="001D200B" w:rsidRDefault="009F7DD7" w:rsidP="00AF7BBB">
            <w:pPr>
              <w:spacing w:before="0" w:after="0" w:line="240" w:lineRule="auto"/>
              <w:jc w:val="center"/>
              <w:rPr>
                <w:rFonts w:cstheme="minorHAnsi"/>
                <w:sz w:val="22"/>
                <w:szCs w:val="22"/>
              </w:rPr>
            </w:pPr>
            <w:r w:rsidRPr="001D200B">
              <w:rPr>
                <w:rFonts w:cstheme="minorHAnsi"/>
                <w:sz w:val="22"/>
                <w:szCs w:val="22"/>
              </w:rPr>
              <w:t>591,51</w:t>
            </w:r>
          </w:p>
        </w:tc>
        <w:tc>
          <w:tcPr>
            <w:tcW w:w="2694" w:type="dxa"/>
            <w:vAlign w:val="center"/>
          </w:tcPr>
          <w:p w:rsidR="009F7DD7" w:rsidRPr="001D200B" w:rsidRDefault="00AF7BBB" w:rsidP="00ED6F67">
            <w:pPr>
              <w:spacing w:before="0" w:after="0" w:line="240" w:lineRule="auto"/>
              <w:jc w:val="center"/>
              <w:rPr>
                <w:rFonts w:cstheme="minorHAnsi"/>
                <w:sz w:val="22"/>
                <w:szCs w:val="22"/>
              </w:rPr>
            </w:pPr>
            <w:r w:rsidRPr="001D200B">
              <w:rPr>
                <w:rFonts w:cstheme="minorHAnsi"/>
                <w:sz w:val="22"/>
                <w:szCs w:val="22"/>
              </w:rPr>
              <w:t>Piec opalany</w:t>
            </w:r>
            <w:r w:rsidR="00ED6F67" w:rsidRPr="001D200B">
              <w:rPr>
                <w:rFonts w:cstheme="minorHAnsi"/>
                <w:sz w:val="22"/>
                <w:szCs w:val="22"/>
              </w:rPr>
              <w:t xml:space="preserve"> węglem i </w:t>
            </w:r>
            <w:r w:rsidRPr="001D200B">
              <w:rPr>
                <w:rFonts w:cstheme="minorHAnsi"/>
                <w:sz w:val="22"/>
                <w:szCs w:val="22"/>
              </w:rPr>
              <w:t>drewnem</w:t>
            </w:r>
          </w:p>
        </w:tc>
        <w:tc>
          <w:tcPr>
            <w:tcW w:w="2055" w:type="dxa"/>
            <w:vAlign w:val="center"/>
          </w:tcPr>
          <w:p w:rsidR="009F7DD7" w:rsidRPr="001D200B" w:rsidRDefault="00AF7BBB" w:rsidP="00AF7BBB">
            <w:pPr>
              <w:spacing w:before="0" w:after="0" w:line="240" w:lineRule="auto"/>
              <w:jc w:val="center"/>
              <w:rPr>
                <w:rFonts w:cstheme="minorHAnsi"/>
                <w:sz w:val="22"/>
                <w:szCs w:val="22"/>
              </w:rPr>
            </w:pPr>
            <w:r w:rsidRPr="001D200B">
              <w:rPr>
                <w:rFonts w:cstheme="minorHAnsi"/>
                <w:sz w:val="22"/>
                <w:szCs w:val="22"/>
              </w:rPr>
              <w:t>130,0</w:t>
            </w:r>
          </w:p>
        </w:tc>
      </w:tr>
      <w:tr w:rsidR="009F7DD7" w:rsidRPr="001D200B" w:rsidTr="00931F90">
        <w:trPr>
          <w:trHeight w:val="255"/>
          <w:jc w:val="center"/>
        </w:trPr>
        <w:tc>
          <w:tcPr>
            <w:tcW w:w="419" w:type="dxa"/>
            <w:vAlign w:val="center"/>
          </w:tcPr>
          <w:p w:rsidR="009F7DD7" w:rsidRPr="001D200B" w:rsidRDefault="009F7DD7" w:rsidP="00AF7BBB">
            <w:pPr>
              <w:spacing w:before="0" w:after="0" w:line="240" w:lineRule="auto"/>
              <w:rPr>
                <w:rFonts w:cstheme="minorHAnsi"/>
                <w:sz w:val="22"/>
                <w:szCs w:val="22"/>
              </w:rPr>
            </w:pPr>
            <w:r w:rsidRPr="001D200B">
              <w:rPr>
                <w:rFonts w:cstheme="minorHAnsi"/>
                <w:sz w:val="22"/>
                <w:szCs w:val="22"/>
              </w:rPr>
              <w:t>29.</w:t>
            </w:r>
          </w:p>
        </w:tc>
        <w:tc>
          <w:tcPr>
            <w:tcW w:w="2916" w:type="dxa"/>
            <w:noWrap/>
            <w:vAlign w:val="center"/>
          </w:tcPr>
          <w:p w:rsidR="009F7DD7" w:rsidRPr="001D200B" w:rsidRDefault="009F7DD7" w:rsidP="00AF7BBB">
            <w:pPr>
              <w:spacing w:before="0" w:after="0" w:line="240" w:lineRule="auto"/>
              <w:jc w:val="left"/>
              <w:rPr>
                <w:rFonts w:cstheme="minorHAnsi"/>
                <w:sz w:val="22"/>
                <w:szCs w:val="22"/>
              </w:rPr>
            </w:pPr>
            <w:r w:rsidRPr="001D200B">
              <w:rPr>
                <w:rFonts w:cstheme="minorHAnsi"/>
                <w:sz w:val="22"/>
                <w:szCs w:val="22"/>
              </w:rPr>
              <w:t>OSP Tursko Małe</w:t>
            </w:r>
          </w:p>
        </w:tc>
        <w:tc>
          <w:tcPr>
            <w:tcW w:w="1417" w:type="dxa"/>
            <w:vAlign w:val="center"/>
          </w:tcPr>
          <w:p w:rsidR="009F7DD7" w:rsidRPr="001D200B" w:rsidRDefault="009F7DD7" w:rsidP="00AF7BBB">
            <w:pPr>
              <w:spacing w:before="0" w:after="0" w:line="240" w:lineRule="auto"/>
              <w:jc w:val="center"/>
              <w:rPr>
                <w:rFonts w:cstheme="minorHAnsi"/>
                <w:sz w:val="22"/>
                <w:szCs w:val="22"/>
              </w:rPr>
            </w:pPr>
            <w:r w:rsidRPr="001D200B">
              <w:rPr>
                <w:rFonts w:cstheme="minorHAnsi"/>
                <w:sz w:val="22"/>
                <w:szCs w:val="22"/>
              </w:rPr>
              <w:t>616,8</w:t>
            </w:r>
          </w:p>
        </w:tc>
        <w:tc>
          <w:tcPr>
            <w:tcW w:w="2694" w:type="dxa"/>
            <w:vAlign w:val="center"/>
          </w:tcPr>
          <w:p w:rsidR="009F7DD7" w:rsidRPr="001D200B" w:rsidRDefault="00AF7BBB" w:rsidP="00ED6F67">
            <w:pPr>
              <w:spacing w:before="0" w:after="0" w:line="240" w:lineRule="auto"/>
              <w:jc w:val="center"/>
              <w:rPr>
                <w:rFonts w:cstheme="minorHAnsi"/>
                <w:sz w:val="22"/>
                <w:szCs w:val="22"/>
              </w:rPr>
            </w:pPr>
            <w:r w:rsidRPr="001D200B">
              <w:rPr>
                <w:rFonts w:cstheme="minorHAnsi"/>
                <w:sz w:val="22"/>
                <w:szCs w:val="22"/>
              </w:rPr>
              <w:t xml:space="preserve">Piec opalany </w:t>
            </w:r>
            <w:r w:rsidR="00ED6F67" w:rsidRPr="001D200B">
              <w:rPr>
                <w:rFonts w:cstheme="minorHAnsi"/>
                <w:sz w:val="22"/>
                <w:szCs w:val="22"/>
              </w:rPr>
              <w:t>węglem i </w:t>
            </w:r>
            <w:r w:rsidRPr="001D200B">
              <w:rPr>
                <w:rFonts w:cstheme="minorHAnsi"/>
                <w:sz w:val="22"/>
                <w:szCs w:val="22"/>
              </w:rPr>
              <w:t>drewnem</w:t>
            </w:r>
          </w:p>
        </w:tc>
        <w:tc>
          <w:tcPr>
            <w:tcW w:w="2055" w:type="dxa"/>
            <w:vAlign w:val="center"/>
          </w:tcPr>
          <w:p w:rsidR="009F7DD7" w:rsidRPr="001D200B" w:rsidRDefault="00AF7BBB" w:rsidP="00AF7BBB">
            <w:pPr>
              <w:spacing w:before="0" w:after="0" w:line="240" w:lineRule="auto"/>
              <w:jc w:val="center"/>
              <w:rPr>
                <w:rFonts w:cstheme="minorHAnsi"/>
                <w:sz w:val="22"/>
                <w:szCs w:val="22"/>
              </w:rPr>
            </w:pPr>
            <w:r w:rsidRPr="001D200B">
              <w:rPr>
                <w:rFonts w:cstheme="minorHAnsi"/>
                <w:sz w:val="22"/>
                <w:szCs w:val="22"/>
              </w:rPr>
              <w:t>150,0</w:t>
            </w:r>
          </w:p>
        </w:tc>
      </w:tr>
      <w:tr w:rsidR="009F7DD7" w:rsidRPr="001D200B" w:rsidTr="00931F90">
        <w:trPr>
          <w:trHeight w:val="255"/>
          <w:jc w:val="center"/>
        </w:trPr>
        <w:tc>
          <w:tcPr>
            <w:tcW w:w="419" w:type="dxa"/>
            <w:vAlign w:val="center"/>
          </w:tcPr>
          <w:p w:rsidR="009F7DD7" w:rsidRPr="001D200B" w:rsidRDefault="009F7DD7" w:rsidP="00AF7BBB">
            <w:pPr>
              <w:spacing w:before="0" w:after="0" w:line="240" w:lineRule="auto"/>
              <w:rPr>
                <w:rFonts w:cstheme="minorHAnsi"/>
                <w:sz w:val="22"/>
                <w:szCs w:val="22"/>
              </w:rPr>
            </w:pPr>
            <w:r w:rsidRPr="001D200B">
              <w:rPr>
                <w:rFonts w:cstheme="minorHAnsi"/>
                <w:sz w:val="22"/>
                <w:szCs w:val="22"/>
              </w:rPr>
              <w:lastRenderedPageBreak/>
              <w:t>30.</w:t>
            </w:r>
          </w:p>
        </w:tc>
        <w:tc>
          <w:tcPr>
            <w:tcW w:w="2916" w:type="dxa"/>
            <w:noWrap/>
            <w:vAlign w:val="center"/>
          </w:tcPr>
          <w:p w:rsidR="009F7DD7" w:rsidRPr="001D200B" w:rsidRDefault="009F7DD7" w:rsidP="00044B26">
            <w:pPr>
              <w:spacing w:before="0" w:after="0" w:line="240" w:lineRule="auto"/>
              <w:jc w:val="left"/>
              <w:rPr>
                <w:rFonts w:cstheme="minorHAnsi"/>
                <w:sz w:val="22"/>
                <w:szCs w:val="22"/>
              </w:rPr>
            </w:pPr>
            <w:r w:rsidRPr="001D200B">
              <w:rPr>
                <w:rFonts w:cstheme="minorHAnsi"/>
                <w:sz w:val="22"/>
                <w:szCs w:val="22"/>
              </w:rPr>
              <w:t>OSP Zdzieci Stare</w:t>
            </w:r>
          </w:p>
        </w:tc>
        <w:tc>
          <w:tcPr>
            <w:tcW w:w="1417" w:type="dxa"/>
            <w:vAlign w:val="center"/>
          </w:tcPr>
          <w:p w:rsidR="009F7DD7" w:rsidRPr="001D200B" w:rsidRDefault="009F7DD7" w:rsidP="00AF7BBB">
            <w:pPr>
              <w:spacing w:before="0" w:after="0" w:line="240" w:lineRule="auto"/>
              <w:jc w:val="center"/>
              <w:rPr>
                <w:rFonts w:cstheme="minorHAnsi"/>
                <w:sz w:val="22"/>
                <w:szCs w:val="22"/>
              </w:rPr>
            </w:pPr>
            <w:r w:rsidRPr="001D200B">
              <w:rPr>
                <w:rFonts w:cstheme="minorHAnsi"/>
                <w:sz w:val="22"/>
                <w:szCs w:val="22"/>
              </w:rPr>
              <w:t>147,44</w:t>
            </w:r>
          </w:p>
        </w:tc>
        <w:tc>
          <w:tcPr>
            <w:tcW w:w="2694" w:type="dxa"/>
            <w:vAlign w:val="center"/>
          </w:tcPr>
          <w:p w:rsidR="009F7DD7" w:rsidRPr="001D200B" w:rsidRDefault="00AF7BBB" w:rsidP="004E7F9D">
            <w:pPr>
              <w:spacing w:before="0" w:after="0" w:line="240" w:lineRule="auto"/>
              <w:jc w:val="center"/>
              <w:rPr>
                <w:rFonts w:cstheme="minorHAnsi"/>
                <w:sz w:val="22"/>
                <w:szCs w:val="22"/>
              </w:rPr>
            </w:pPr>
            <w:r w:rsidRPr="001D200B">
              <w:rPr>
                <w:rFonts w:cstheme="minorHAnsi"/>
                <w:sz w:val="22"/>
                <w:szCs w:val="22"/>
              </w:rPr>
              <w:t xml:space="preserve">Piec opalany </w:t>
            </w:r>
            <w:r w:rsidR="004E7F9D" w:rsidRPr="001D200B">
              <w:rPr>
                <w:rFonts w:cstheme="minorHAnsi"/>
                <w:sz w:val="22"/>
                <w:szCs w:val="22"/>
              </w:rPr>
              <w:t>węglem i </w:t>
            </w:r>
            <w:r w:rsidRPr="001D200B">
              <w:rPr>
                <w:rFonts w:cstheme="minorHAnsi"/>
                <w:sz w:val="22"/>
                <w:szCs w:val="22"/>
              </w:rPr>
              <w:t>drewnem</w:t>
            </w:r>
          </w:p>
        </w:tc>
        <w:tc>
          <w:tcPr>
            <w:tcW w:w="2055" w:type="dxa"/>
            <w:vAlign w:val="center"/>
          </w:tcPr>
          <w:p w:rsidR="009F7DD7" w:rsidRPr="001D200B" w:rsidRDefault="00AF7BBB" w:rsidP="00AF7BBB">
            <w:pPr>
              <w:spacing w:before="0" w:after="0" w:line="240" w:lineRule="auto"/>
              <w:jc w:val="center"/>
              <w:rPr>
                <w:rFonts w:cstheme="minorHAnsi"/>
                <w:sz w:val="22"/>
                <w:szCs w:val="22"/>
              </w:rPr>
            </w:pPr>
            <w:r w:rsidRPr="001D200B">
              <w:rPr>
                <w:rFonts w:cstheme="minorHAnsi"/>
                <w:sz w:val="22"/>
                <w:szCs w:val="22"/>
              </w:rPr>
              <w:t>120,0</w:t>
            </w:r>
          </w:p>
        </w:tc>
      </w:tr>
      <w:tr w:rsidR="00B21B9B" w:rsidRPr="001D200B" w:rsidTr="00931F90">
        <w:trPr>
          <w:trHeight w:val="255"/>
          <w:jc w:val="center"/>
        </w:trPr>
        <w:tc>
          <w:tcPr>
            <w:tcW w:w="419" w:type="dxa"/>
            <w:vAlign w:val="center"/>
          </w:tcPr>
          <w:p w:rsidR="00B21B9B" w:rsidRPr="001D200B" w:rsidRDefault="00AF7BBB" w:rsidP="00AF7BBB">
            <w:pPr>
              <w:spacing w:before="0" w:after="0" w:line="240" w:lineRule="auto"/>
              <w:rPr>
                <w:rFonts w:cstheme="minorHAnsi"/>
                <w:sz w:val="22"/>
                <w:szCs w:val="22"/>
              </w:rPr>
            </w:pPr>
            <w:r w:rsidRPr="001D200B">
              <w:rPr>
                <w:rFonts w:cstheme="minorHAnsi"/>
                <w:sz w:val="22"/>
                <w:szCs w:val="22"/>
              </w:rPr>
              <w:t xml:space="preserve">31. </w:t>
            </w:r>
          </w:p>
        </w:tc>
        <w:tc>
          <w:tcPr>
            <w:tcW w:w="2916" w:type="dxa"/>
            <w:noWrap/>
            <w:vAlign w:val="center"/>
          </w:tcPr>
          <w:p w:rsidR="00B21B9B" w:rsidRPr="001D200B" w:rsidRDefault="00AF7BBB" w:rsidP="00044B26">
            <w:pPr>
              <w:spacing w:before="0" w:after="0" w:line="240" w:lineRule="auto"/>
              <w:jc w:val="left"/>
              <w:rPr>
                <w:rFonts w:cstheme="minorHAnsi"/>
                <w:sz w:val="22"/>
                <w:szCs w:val="22"/>
              </w:rPr>
            </w:pPr>
            <w:r w:rsidRPr="001D200B">
              <w:rPr>
                <w:rFonts w:cstheme="minorHAnsi"/>
                <w:sz w:val="22"/>
                <w:szCs w:val="22"/>
              </w:rPr>
              <w:t>Świetlica środowiskowa ul. Sportowa 1</w:t>
            </w:r>
          </w:p>
        </w:tc>
        <w:tc>
          <w:tcPr>
            <w:tcW w:w="1417" w:type="dxa"/>
            <w:vAlign w:val="center"/>
          </w:tcPr>
          <w:p w:rsidR="00B21B9B" w:rsidRPr="001D200B" w:rsidRDefault="00AF7BBB" w:rsidP="00AF7BBB">
            <w:pPr>
              <w:spacing w:before="0" w:after="0" w:line="240" w:lineRule="auto"/>
              <w:jc w:val="center"/>
              <w:rPr>
                <w:rFonts w:cstheme="minorHAnsi"/>
                <w:sz w:val="22"/>
                <w:szCs w:val="22"/>
              </w:rPr>
            </w:pPr>
            <w:r w:rsidRPr="001D200B">
              <w:rPr>
                <w:rFonts w:cstheme="minorHAnsi"/>
                <w:sz w:val="22"/>
                <w:szCs w:val="22"/>
              </w:rPr>
              <w:t>568,82</w:t>
            </w:r>
          </w:p>
        </w:tc>
        <w:tc>
          <w:tcPr>
            <w:tcW w:w="2694" w:type="dxa"/>
            <w:vAlign w:val="center"/>
          </w:tcPr>
          <w:p w:rsidR="00B21B9B" w:rsidRPr="001D200B" w:rsidRDefault="00AF7BBB" w:rsidP="00AF7BBB">
            <w:pPr>
              <w:spacing w:before="0" w:after="0" w:line="240" w:lineRule="auto"/>
              <w:jc w:val="center"/>
              <w:rPr>
                <w:rFonts w:cstheme="minorHAnsi"/>
                <w:sz w:val="22"/>
                <w:szCs w:val="22"/>
              </w:rPr>
            </w:pPr>
            <w:r w:rsidRPr="001D200B">
              <w:rPr>
                <w:rFonts w:cstheme="minorHAnsi"/>
                <w:sz w:val="22"/>
                <w:szCs w:val="22"/>
              </w:rPr>
              <w:t>Zasilanie z sieci ciepłowniczej PGK sp. z o.o. w Połańcu</w:t>
            </w:r>
          </w:p>
        </w:tc>
        <w:tc>
          <w:tcPr>
            <w:tcW w:w="2055" w:type="dxa"/>
            <w:vAlign w:val="center"/>
          </w:tcPr>
          <w:p w:rsidR="00B21B9B" w:rsidRPr="001D200B" w:rsidRDefault="00AF7BBB" w:rsidP="00AF7BBB">
            <w:pPr>
              <w:spacing w:before="0" w:after="0" w:line="240" w:lineRule="auto"/>
              <w:jc w:val="center"/>
              <w:rPr>
                <w:rFonts w:cstheme="minorHAnsi"/>
                <w:sz w:val="22"/>
                <w:szCs w:val="22"/>
              </w:rPr>
            </w:pPr>
            <w:r w:rsidRPr="001D200B">
              <w:rPr>
                <w:rFonts w:cstheme="minorHAnsi"/>
                <w:sz w:val="22"/>
                <w:szCs w:val="22"/>
              </w:rPr>
              <w:t>Brak danych</w:t>
            </w:r>
          </w:p>
        </w:tc>
      </w:tr>
      <w:tr w:rsidR="00B21B9B" w:rsidRPr="001D200B" w:rsidTr="00931F90">
        <w:trPr>
          <w:trHeight w:val="998"/>
          <w:jc w:val="center"/>
        </w:trPr>
        <w:tc>
          <w:tcPr>
            <w:tcW w:w="419" w:type="dxa"/>
            <w:vAlign w:val="center"/>
          </w:tcPr>
          <w:p w:rsidR="00B21B9B" w:rsidRPr="001D200B" w:rsidRDefault="00AF7BBB" w:rsidP="00AF7BBB">
            <w:pPr>
              <w:spacing w:before="0" w:after="0" w:line="240" w:lineRule="auto"/>
              <w:rPr>
                <w:rFonts w:cstheme="minorHAnsi"/>
                <w:sz w:val="22"/>
                <w:szCs w:val="22"/>
              </w:rPr>
            </w:pPr>
            <w:r w:rsidRPr="001D200B">
              <w:rPr>
                <w:rFonts w:cstheme="minorHAnsi"/>
                <w:sz w:val="22"/>
                <w:szCs w:val="22"/>
              </w:rPr>
              <w:t>32.</w:t>
            </w:r>
          </w:p>
        </w:tc>
        <w:tc>
          <w:tcPr>
            <w:tcW w:w="2916" w:type="dxa"/>
            <w:noWrap/>
            <w:vAlign w:val="center"/>
          </w:tcPr>
          <w:p w:rsidR="00B21B9B" w:rsidRPr="001D200B" w:rsidRDefault="00AF7BBB" w:rsidP="00044B26">
            <w:pPr>
              <w:spacing w:before="0" w:after="0" w:line="240" w:lineRule="auto"/>
              <w:jc w:val="left"/>
              <w:rPr>
                <w:rFonts w:cstheme="minorHAnsi"/>
                <w:sz w:val="22"/>
                <w:szCs w:val="22"/>
              </w:rPr>
            </w:pPr>
            <w:r w:rsidRPr="001D200B">
              <w:rPr>
                <w:rFonts w:cstheme="minorHAnsi"/>
                <w:sz w:val="22"/>
                <w:szCs w:val="22"/>
              </w:rPr>
              <w:t>Budynek administracyjny, warsztatowy, ujęcia wody, budynki pompowni</w:t>
            </w:r>
          </w:p>
        </w:tc>
        <w:tc>
          <w:tcPr>
            <w:tcW w:w="1417" w:type="dxa"/>
            <w:vAlign w:val="center"/>
          </w:tcPr>
          <w:p w:rsidR="00B21B9B" w:rsidRPr="001D200B" w:rsidRDefault="00AF7BBB" w:rsidP="00504C04">
            <w:pPr>
              <w:spacing w:before="0" w:after="0" w:line="240" w:lineRule="auto"/>
              <w:jc w:val="center"/>
              <w:rPr>
                <w:rFonts w:cstheme="minorHAnsi"/>
                <w:sz w:val="22"/>
                <w:szCs w:val="22"/>
              </w:rPr>
            </w:pPr>
            <w:r w:rsidRPr="001D200B">
              <w:rPr>
                <w:rFonts w:cstheme="minorHAnsi"/>
                <w:sz w:val="22"/>
                <w:szCs w:val="22"/>
              </w:rPr>
              <w:t>1137,78</w:t>
            </w:r>
          </w:p>
        </w:tc>
        <w:tc>
          <w:tcPr>
            <w:tcW w:w="2694" w:type="dxa"/>
            <w:vAlign w:val="center"/>
          </w:tcPr>
          <w:p w:rsidR="00B21B9B" w:rsidRPr="001D200B" w:rsidRDefault="00AF7BBB" w:rsidP="004E7F9D">
            <w:pPr>
              <w:spacing w:before="0" w:after="0" w:line="240" w:lineRule="auto"/>
              <w:jc w:val="center"/>
              <w:rPr>
                <w:rFonts w:cstheme="minorHAnsi"/>
                <w:sz w:val="22"/>
                <w:szCs w:val="22"/>
              </w:rPr>
            </w:pPr>
            <w:r w:rsidRPr="001D200B">
              <w:rPr>
                <w:rFonts w:cstheme="minorHAnsi"/>
                <w:sz w:val="22"/>
                <w:szCs w:val="22"/>
              </w:rPr>
              <w:t>Ogrzewanie energią elektryczną</w:t>
            </w:r>
          </w:p>
        </w:tc>
        <w:tc>
          <w:tcPr>
            <w:tcW w:w="2055" w:type="dxa"/>
            <w:vAlign w:val="center"/>
          </w:tcPr>
          <w:p w:rsidR="00B21B9B" w:rsidRPr="001D200B" w:rsidRDefault="00AF7BBB" w:rsidP="00504C04">
            <w:pPr>
              <w:spacing w:before="0" w:after="0" w:line="240" w:lineRule="auto"/>
              <w:rPr>
                <w:rFonts w:cstheme="minorHAnsi"/>
                <w:sz w:val="22"/>
                <w:szCs w:val="22"/>
              </w:rPr>
            </w:pPr>
            <w:r w:rsidRPr="001D200B">
              <w:rPr>
                <w:rFonts w:cstheme="minorHAnsi"/>
                <w:sz w:val="22"/>
                <w:szCs w:val="22"/>
              </w:rPr>
              <w:t>95,9</w:t>
            </w:r>
          </w:p>
        </w:tc>
      </w:tr>
      <w:tr w:rsidR="00B21B9B" w:rsidRPr="001D200B" w:rsidTr="00931F90">
        <w:trPr>
          <w:trHeight w:val="255"/>
          <w:jc w:val="center"/>
        </w:trPr>
        <w:tc>
          <w:tcPr>
            <w:tcW w:w="419" w:type="dxa"/>
            <w:vAlign w:val="center"/>
          </w:tcPr>
          <w:p w:rsidR="00B21B9B" w:rsidRPr="001D200B" w:rsidRDefault="002874EE" w:rsidP="000B4A28">
            <w:pPr>
              <w:spacing w:before="0" w:after="0" w:line="240" w:lineRule="auto"/>
              <w:rPr>
                <w:rFonts w:cstheme="minorHAnsi"/>
                <w:sz w:val="22"/>
                <w:szCs w:val="22"/>
              </w:rPr>
            </w:pPr>
            <w:r w:rsidRPr="001D200B">
              <w:rPr>
                <w:rFonts w:cstheme="minorHAnsi"/>
                <w:sz w:val="22"/>
                <w:szCs w:val="22"/>
              </w:rPr>
              <w:t>33.</w:t>
            </w:r>
          </w:p>
        </w:tc>
        <w:tc>
          <w:tcPr>
            <w:tcW w:w="2916" w:type="dxa"/>
            <w:noWrap/>
            <w:vAlign w:val="center"/>
          </w:tcPr>
          <w:p w:rsidR="00B21B9B" w:rsidRPr="001D200B" w:rsidRDefault="002874EE" w:rsidP="00044B26">
            <w:pPr>
              <w:spacing w:before="0" w:after="0" w:line="240" w:lineRule="auto"/>
              <w:jc w:val="left"/>
              <w:rPr>
                <w:rFonts w:cstheme="minorHAnsi"/>
                <w:sz w:val="22"/>
                <w:szCs w:val="22"/>
              </w:rPr>
            </w:pPr>
            <w:r w:rsidRPr="001D200B">
              <w:rPr>
                <w:rFonts w:cstheme="minorHAnsi"/>
                <w:sz w:val="22"/>
                <w:szCs w:val="22"/>
              </w:rPr>
              <w:t>Miejsko-Gminna Biblioteka Publiczna w Połańcu, ul. Czarnieckiego 5</w:t>
            </w:r>
          </w:p>
        </w:tc>
        <w:tc>
          <w:tcPr>
            <w:tcW w:w="1417" w:type="dxa"/>
            <w:vAlign w:val="center"/>
          </w:tcPr>
          <w:p w:rsidR="00B21B9B" w:rsidRPr="001D200B" w:rsidRDefault="002874EE" w:rsidP="00504C04">
            <w:pPr>
              <w:spacing w:before="0" w:after="0" w:line="240" w:lineRule="auto"/>
              <w:jc w:val="center"/>
              <w:rPr>
                <w:rFonts w:cstheme="minorHAnsi"/>
                <w:sz w:val="22"/>
                <w:szCs w:val="22"/>
              </w:rPr>
            </w:pPr>
            <w:r w:rsidRPr="001D200B">
              <w:rPr>
                <w:rFonts w:cstheme="minorHAnsi"/>
                <w:sz w:val="22"/>
                <w:szCs w:val="22"/>
              </w:rPr>
              <w:t>332,7</w:t>
            </w:r>
          </w:p>
        </w:tc>
        <w:tc>
          <w:tcPr>
            <w:tcW w:w="2694" w:type="dxa"/>
            <w:vAlign w:val="center"/>
          </w:tcPr>
          <w:p w:rsidR="00B21B9B" w:rsidRPr="001D200B" w:rsidRDefault="002874EE" w:rsidP="004E7F9D">
            <w:pPr>
              <w:spacing w:before="0" w:after="0" w:line="240" w:lineRule="auto"/>
              <w:jc w:val="center"/>
              <w:rPr>
                <w:rFonts w:cstheme="minorHAnsi"/>
                <w:sz w:val="22"/>
                <w:szCs w:val="22"/>
              </w:rPr>
            </w:pPr>
            <w:r w:rsidRPr="001D200B">
              <w:rPr>
                <w:rFonts w:cstheme="minorHAnsi"/>
                <w:sz w:val="22"/>
                <w:szCs w:val="22"/>
              </w:rPr>
              <w:t>Zasilanie z sieci ciepłowniczej PGK sp. z o.o. w Połańcu</w:t>
            </w:r>
          </w:p>
        </w:tc>
        <w:tc>
          <w:tcPr>
            <w:tcW w:w="2055" w:type="dxa"/>
            <w:vAlign w:val="center"/>
          </w:tcPr>
          <w:p w:rsidR="00B21B9B" w:rsidRPr="001D200B" w:rsidRDefault="002874EE" w:rsidP="00504C04">
            <w:pPr>
              <w:spacing w:before="0" w:after="0" w:line="240" w:lineRule="auto"/>
              <w:rPr>
                <w:rFonts w:cstheme="minorHAnsi"/>
                <w:sz w:val="22"/>
                <w:szCs w:val="22"/>
              </w:rPr>
            </w:pPr>
            <w:r w:rsidRPr="001D200B">
              <w:rPr>
                <w:rFonts w:cstheme="minorHAnsi"/>
                <w:sz w:val="22"/>
                <w:szCs w:val="22"/>
              </w:rPr>
              <w:t>Brak danych</w:t>
            </w:r>
          </w:p>
        </w:tc>
      </w:tr>
      <w:tr w:rsidR="00AF7BBB" w:rsidRPr="001D200B" w:rsidTr="00931F90">
        <w:trPr>
          <w:trHeight w:val="255"/>
          <w:jc w:val="center"/>
        </w:trPr>
        <w:tc>
          <w:tcPr>
            <w:tcW w:w="419" w:type="dxa"/>
            <w:vAlign w:val="center"/>
          </w:tcPr>
          <w:p w:rsidR="00AF7BBB" w:rsidRPr="001D200B" w:rsidRDefault="002874EE" w:rsidP="000B4A28">
            <w:pPr>
              <w:spacing w:before="0" w:after="0" w:line="240" w:lineRule="auto"/>
              <w:rPr>
                <w:rFonts w:cstheme="minorHAnsi"/>
                <w:sz w:val="22"/>
                <w:szCs w:val="22"/>
              </w:rPr>
            </w:pPr>
            <w:r w:rsidRPr="001D200B">
              <w:rPr>
                <w:rFonts w:cstheme="minorHAnsi"/>
                <w:sz w:val="22"/>
                <w:szCs w:val="22"/>
              </w:rPr>
              <w:t>34.</w:t>
            </w:r>
          </w:p>
        </w:tc>
        <w:tc>
          <w:tcPr>
            <w:tcW w:w="2916" w:type="dxa"/>
            <w:noWrap/>
            <w:vAlign w:val="center"/>
          </w:tcPr>
          <w:p w:rsidR="00AF7BBB" w:rsidRPr="001D200B" w:rsidRDefault="002874EE" w:rsidP="00044B26">
            <w:pPr>
              <w:spacing w:before="0" w:after="0" w:line="240" w:lineRule="auto"/>
              <w:jc w:val="left"/>
              <w:rPr>
                <w:rFonts w:cstheme="minorHAnsi"/>
                <w:sz w:val="22"/>
                <w:szCs w:val="22"/>
              </w:rPr>
            </w:pPr>
            <w:r w:rsidRPr="001D200B">
              <w:rPr>
                <w:rFonts w:cstheme="minorHAnsi"/>
                <w:sz w:val="22"/>
                <w:szCs w:val="22"/>
              </w:rPr>
              <w:t>Centrum Informacji Turystycznej ul. Plac Uniwersału Połanieckiego 1</w:t>
            </w:r>
          </w:p>
        </w:tc>
        <w:tc>
          <w:tcPr>
            <w:tcW w:w="1417" w:type="dxa"/>
            <w:vAlign w:val="center"/>
          </w:tcPr>
          <w:p w:rsidR="00AF7BBB" w:rsidRPr="001D200B" w:rsidRDefault="002874EE" w:rsidP="00504C04">
            <w:pPr>
              <w:spacing w:before="0" w:after="0" w:line="240" w:lineRule="auto"/>
              <w:jc w:val="center"/>
              <w:rPr>
                <w:rFonts w:cstheme="minorHAnsi"/>
                <w:sz w:val="22"/>
                <w:szCs w:val="22"/>
              </w:rPr>
            </w:pPr>
            <w:r w:rsidRPr="001D200B">
              <w:rPr>
                <w:rFonts w:cstheme="minorHAnsi"/>
                <w:sz w:val="22"/>
                <w:szCs w:val="22"/>
              </w:rPr>
              <w:t>139,6</w:t>
            </w:r>
          </w:p>
        </w:tc>
        <w:tc>
          <w:tcPr>
            <w:tcW w:w="2694" w:type="dxa"/>
            <w:vAlign w:val="center"/>
          </w:tcPr>
          <w:p w:rsidR="00AF7BBB" w:rsidRPr="001D200B" w:rsidRDefault="002874EE" w:rsidP="004E7F9D">
            <w:pPr>
              <w:spacing w:before="0" w:after="0" w:line="240" w:lineRule="auto"/>
              <w:jc w:val="center"/>
              <w:rPr>
                <w:rFonts w:cstheme="minorHAnsi"/>
                <w:sz w:val="22"/>
                <w:szCs w:val="22"/>
              </w:rPr>
            </w:pPr>
            <w:r w:rsidRPr="001D200B">
              <w:rPr>
                <w:rFonts w:cstheme="minorHAnsi"/>
                <w:sz w:val="22"/>
                <w:szCs w:val="22"/>
              </w:rPr>
              <w:t>Piec gazowy</w:t>
            </w:r>
          </w:p>
        </w:tc>
        <w:tc>
          <w:tcPr>
            <w:tcW w:w="2055" w:type="dxa"/>
            <w:vAlign w:val="center"/>
          </w:tcPr>
          <w:p w:rsidR="00AF7BBB" w:rsidRPr="001D200B" w:rsidRDefault="002874EE" w:rsidP="00504C04">
            <w:pPr>
              <w:spacing w:before="0" w:after="0" w:line="240" w:lineRule="auto"/>
              <w:rPr>
                <w:rFonts w:cstheme="minorHAnsi"/>
                <w:sz w:val="22"/>
                <w:szCs w:val="22"/>
              </w:rPr>
            </w:pPr>
            <w:r w:rsidRPr="001D200B">
              <w:rPr>
                <w:rFonts w:cstheme="minorHAnsi"/>
                <w:sz w:val="22"/>
                <w:szCs w:val="22"/>
              </w:rPr>
              <w:t>70,10</w:t>
            </w:r>
          </w:p>
        </w:tc>
      </w:tr>
      <w:tr w:rsidR="002874EE" w:rsidRPr="001D200B" w:rsidTr="00931F90">
        <w:trPr>
          <w:trHeight w:val="255"/>
          <w:jc w:val="center"/>
        </w:trPr>
        <w:tc>
          <w:tcPr>
            <w:tcW w:w="419" w:type="dxa"/>
            <w:vAlign w:val="center"/>
          </w:tcPr>
          <w:p w:rsidR="002874EE" w:rsidRPr="001D200B" w:rsidRDefault="002874EE" w:rsidP="000B4A28">
            <w:pPr>
              <w:spacing w:before="0" w:after="0" w:line="240" w:lineRule="auto"/>
              <w:rPr>
                <w:rFonts w:cstheme="minorHAnsi"/>
                <w:sz w:val="22"/>
                <w:szCs w:val="22"/>
              </w:rPr>
            </w:pPr>
            <w:r w:rsidRPr="001D200B">
              <w:rPr>
                <w:rFonts w:cstheme="minorHAnsi"/>
                <w:sz w:val="22"/>
                <w:szCs w:val="22"/>
              </w:rPr>
              <w:t>35.</w:t>
            </w:r>
          </w:p>
        </w:tc>
        <w:tc>
          <w:tcPr>
            <w:tcW w:w="2916" w:type="dxa"/>
            <w:noWrap/>
            <w:vAlign w:val="center"/>
          </w:tcPr>
          <w:p w:rsidR="002874EE" w:rsidRPr="001D200B" w:rsidRDefault="002874EE" w:rsidP="00044B26">
            <w:pPr>
              <w:spacing w:before="0" w:after="0" w:line="240" w:lineRule="auto"/>
              <w:jc w:val="left"/>
              <w:rPr>
                <w:rFonts w:cstheme="minorHAnsi"/>
                <w:sz w:val="22"/>
                <w:szCs w:val="22"/>
              </w:rPr>
            </w:pPr>
            <w:r w:rsidRPr="001D200B">
              <w:rPr>
                <w:rFonts w:cstheme="minorHAnsi"/>
                <w:sz w:val="22"/>
                <w:szCs w:val="22"/>
              </w:rPr>
              <w:t>Żłobek w Połańcu "Kraina Malucha" ul. Madalińskiego 1</w:t>
            </w:r>
          </w:p>
        </w:tc>
        <w:tc>
          <w:tcPr>
            <w:tcW w:w="1417" w:type="dxa"/>
            <w:vAlign w:val="center"/>
          </w:tcPr>
          <w:p w:rsidR="002874EE" w:rsidRPr="001D200B" w:rsidRDefault="002874EE" w:rsidP="00504C04">
            <w:pPr>
              <w:spacing w:before="0" w:after="0" w:line="240" w:lineRule="auto"/>
              <w:jc w:val="center"/>
              <w:rPr>
                <w:rFonts w:cstheme="minorHAnsi"/>
                <w:sz w:val="22"/>
                <w:szCs w:val="22"/>
              </w:rPr>
            </w:pPr>
            <w:r w:rsidRPr="001D200B">
              <w:rPr>
                <w:rFonts w:cstheme="minorHAnsi"/>
                <w:sz w:val="22"/>
                <w:szCs w:val="22"/>
              </w:rPr>
              <w:t>320,5</w:t>
            </w:r>
          </w:p>
        </w:tc>
        <w:tc>
          <w:tcPr>
            <w:tcW w:w="2694" w:type="dxa"/>
          </w:tcPr>
          <w:p w:rsidR="002874EE" w:rsidRPr="001D200B" w:rsidRDefault="002874EE" w:rsidP="004E7F9D">
            <w:pPr>
              <w:spacing w:before="0" w:after="0" w:line="240" w:lineRule="auto"/>
              <w:jc w:val="center"/>
              <w:rPr>
                <w:rFonts w:cstheme="minorHAnsi"/>
                <w:sz w:val="22"/>
                <w:szCs w:val="22"/>
              </w:rPr>
            </w:pPr>
            <w:r w:rsidRPr="001D200B">
              <w:rPr>
                <w:rFonts w:cstheme="minorHAnsi"/>
                <w:sz w:val="22"/>
                <w:szCs w:val="22"/>
              </w:rPr>
              <w:t>Zasilanie z sieci ciepłowniczej PGK sp. z o.o. w Połańcu</w:t>
            </w:r>
          </w:p>
        </w:tc>
        <w:tc>
          <w:tcPr>
            <w:tcW w:w="2055" w:type="dxa"/>
            <w:vAlign w:val="center"/>
          </w:tcPr>
          <w:p w:rsidR="002874EE" w:rsidRPr="001D200B" w:rsidRDefault="002874EE" w:rsidP="00504C04">
            <w:pPr>
              <w:spacing w:before="0" w:after="0" w:line="240" w:lineRule="auto"/>
              <w:rPr>
                <w:rFonts w:cstheme="minorHAnsi"/>
                <w:sz w:val="22"/>
                <w:szCs w:val="22"/>
              </w:rPr>
            </w:pPr>
            <w:r w:rsidRPr="001D200B">
              <w:rPr>
                <w:rFonts w:cstheme="minorHAnsi"/>
                <w:sz w:val="22"/>
                <w:szCs w:val="22"/>
              </w:rPr>
              <w:t xml:space="preserve">Brak danych </w:t>
            </w:r>
          </w:p>
        </w:tc>
      </w:tr>
      <w:tr w:rsidR="002874EE" w:rsidRPr="001D200B" w:rsidTr="00931F90">
        <w:trPr>
          <w:trHeight w:val="255"/>
          <w:jc w:val="center"/>
        </w:trPr>
        <w:tc>
          <w:tcPr>
            <w:tcW w:w="419" w:type="dxa"/>
            <w:vAlign w:val="center"/>
          </w:tcPr>
          <w:p w:rsidR="002874EE" w:rsidRPr="001D200B" w:rsidRDefault="002874EE" w:rsidP="000B4A28">
            <w:pPr>
              <w:spacing w:before="0" w:after="0" w:line="240" w:lineRule="auto"/>
              <w:rPr>
                <w:rFonts w:cstheme="minorHAnsi"/>
                <w:sz w:val="22"/>
                <w:szCs w:val="22"/>
              </w:rPr>
            </w:pPr>
            <w:r w:rsidRPr="001D200B">
              <w:rPr>
                <w:rFonts w:cstheme="minorHAnsi"/>
                <w:sz w:val="22"/>
                <w:szCs w:val="22"/>
              </w:rPr>
              <w:t>36</w:t>
            </w:r>
          </w:p>
        </w:tc>
        <w:tc>
          <w:tcPr>
            <w:tcW w:w="2916" w:type="dxa"/>
            <w:noWrap/>
            <w:vAlign w:val="center"/>
          </w:tcPr>
          <w:p w:rsidR="002874EE" w:rsidRPr="001D200B" w:rsidRDefault="002874EE" w:rsidP="00044B26">
            <w:pPr>
              <w:spacing w:before="0" w:after="0" w:line="240" w:lineRule="auto"/>
              <w:jc w:val="left"/>
              <w:rPr>
                <w:rFonts w:cstheme="minorHAnsi"/>
                <w:sz w:val="22"/>
                <w:szCs w:val="22"/>
              </w:rPr>
            </w:pPr>
            <w:r w:rsidRPr="001D200B">
              <w:rPr>
                <w:rFonts w:cstheme="minorHAnsi"/>
                <w:sz w:val="22"/>
                <w:szCs w:val="22"/>
              </w:rPr>
              <w:t>Środowiskowy Dom Samopomocy ul. Kościuszki 37</w:t>
            </w:r>
          </w:p>
        </w:tc>
        <w:tc>
          <w:tcPr>
            <w:tcW w:w="1417" w:type="dxa"/>
            <w:vAlign w:val="center"/>
          </w:tcPr>
          <w:p w:rsidR="002874EE" w:rsidRPr="001D200B" w:rsidRDefault="002874EE" w:rsidP="00504C04">
            <w:pPr>
              <w:spacing w:before="0" w:after="0" w:line="240" w:lineRule="auto"/>
              <w:jc w:val="center"/>
              <w:rPr>
                <w:rFonts w:cstheme="minorHAnsi"/>
                <w:sz w:val="22"/>
                <w:szCs w:val="22"/>
              </w:rPr>
            </w:pPr>
            <w:r w:rsidRPr="001D200B">
              <w:rPr>
                <w:rFonts w:cstheme="minorHAnsi"/>
                <w:sz w:val="22"/>
                <w:szCs w:val="22"/>
              </w:rPr>
              <w:t>802,24</w:t>
            </w:r>
          </w:p>
        </w:tc>
        <w:tc>
          <w:tcPr>
            <w:tcW w:w="2694" w:type="dxa"/>
          </w:tcPr>
          <w:p w:rsidR="002874EE" w:rsidRPr="001D200B" w:rsidRDefault="002874EE" w:rsidP="004E7F9D">
            <w:pPr>
              <w:spacing w:before="0" w:after="0" w:line="240" w:lineRule="auto"/>
              <w:jc w:val="center"/>
              <w:rPr>
                <w:rFonts w:cstheme="minorHAnsi"/>
                <w:sz w:val="22"/>
                <w:szCs w:val="22"/>
              </w:rPr>
            </w:pPr>
            <w:r w:rsidRPr="001D200B">
              <w:rPr>
                <w:rFonts w:cstheme="minorHAnsi"/>
                <w:sz w:val="22"/>
                <w:szCs w:val="22"/>
              </w:rPr>
              <w:t>Zasilanie z sieci ciepłowniczej PGK sp. z o.o. w Połańcu</w:t>
            </w:r>
          </w:p>
        </w:tc>
        <w:tc>
          <w:tcPr>
            <w:tcW w:w="2055" w:type="dxa"/>
            <w:vAlign w:val="center"/>
          </w:tcPr>
          <w:p w:rsidR="002874EE" w:rsidRPr="001D200B" w:rsidRDefault="002874EE" w:rsidP="00504C04">
            <w:pPr>
              <w:spacing w:before="0" w:after="0" w:line="240" w:lineRule="auto"/>
              <w:rPr>
                <w:rFonts w:cstheme="minorHAnsi"/>
                <w:sz w:val="22"/>
                <w:szCs w:val="22"/>
              </w:rPr>
            </w:pPr>
            <w:r w:rsidRPr="001D200B">
              <w:rPr>
                <w:rFonts w:cstheme="minorHAnsi"/>
                <w:sz w:val="22"/>
                <w:szCs w:val="22"/>
              </w:rPr>
              <w:t>Brak danych</w:t>
            </w:r>
          </w:p>
        </w:tc>
      </w:tr>
    </w:tbl>
    <w:p w:rsidR="00BE0816" w:rsidRPr="001D200B" w:rsidRDefault="00137817" w:rsidP="002874EE">
      <w:pPr>
        <w:pStyle w:val="podtabelk"/>
      </w:pPr>
      <w:r w:rsidRPr="001D200B">
        <w:t xml:space="preserve">* </w:t>
      </w:r>
      <w:r w:rsidR="00720975" w:rsidRPr="001D200B">
        <w:t xml:space="preserve">opracowanie własne </w:t>
      </w:r>
      <w:r w:rsidR="002874EE" w:rsidRPr="001D200B">
        <w:t>według Planu gospodarki niskoemisyjnej dla Gminy Połaniec</w:t>
      </w:r>
      <w:r w:rsidR="00947F7E" w:rsidRPr="001D200B">
        <w:t>, ankiety</w:t>
      </w:r>
    </w:p>
    <w:p w:rsidR="00947F7E" w:rsidRPr="001D200B" w:rsidRDefault="00947F7E" w:rsidP="00947F7E">
      <w:r w:rsidRPr="001D200B">
        <w:t xml:space="preserve">Budynki zaliczane do sektora użyteczności publicznej (budynki gminne, powiatowe i inne) zasilane są w ciepło zarówno z własnych kotłowni, jak również za pomocą sieci ciepłowniczej dostawcy ciepła PGK sp. z o.o w Połańcu. </w:t>
      </w:r>
    </w:p>
    <w:p w:rsidR="00947F7E" w:rsidRPr="001D200B" w:rsidRDefault="00947F7E" w:rsidP="00947F7E">
      <w:r w:rsidRPr="001D200B">
        <w:t>Ponadto własnymi lokalnymi źródłami ciepła dysponują większe zakłady produkcyjne</w:t>
      </w:r>
      <w:r w:rsidR="009064D2" w:rsidRPr="001D200B">
        <w:t>.</w:t>
      </w:r>
    </w:p>
    <w:p w:rsidR="00A9283B" w:rsidRPr="001D200B" w:rsidRDefault="00A9283B" w:rsidP="00A9283B">
      <w:pPr>
        <w:shd w:val="clear" w:color="auto" w:fill="F2F2F2" w:themeFill="background1" w:themeFillShade="F2"/>
        <w:rPr>
          <w:b/>
        </w:rPr>
      </w:pPr>
      <w:r w:rsidRPr="001D200B">
        <w:rPr>
          <w:b/>
        </w:rPr>
        <w:t>Charakterystyka ind</w:t>
      </w:r>
      <w:r w:rsidR="009064D2" w:rsidRPr="001D200B">
        <w:rPr>
          <w:b/>
        </w:rPr>
        <w:t>ywidualnych źródeł ciepła</w:t>
      </w:r>
    </w:p>
    <w:p w:rsidR="009818AA" w:rsidRPr="001D200B" w:rsidRDefault="009818AA" w:rsidP="009818AA">
      <w:r w:rsidRPr="001D200B">
        <w:t>Podstawowy system zaopatrzenia w ciepło prywatnych budynków mieszkalnych miasta nie objętych zasięgiem sieci ciepłowniczej oraz budynków obszarów wiejskich gminy oparty jest na indywidualnych źródłach ciepła. Uwarunkowania w</w:t>
      </w:r>
      <w:r w:rsidR="00384058" w:rsidRPr="001D200B">
        <w:t xml:space="preserve"> </w:t>
      </w:r>
      <w:r w:rsidRPr="001D200B">
        <w:t xml:space="preserve"> tym zakresie przedstawiono poniżej:</w:t>
      </w:r>
    </w:p>
    <w:p w:rsidR="009818AA" w:rsidRPr="001D200B" w:rsidRDefault="009818AA" w:rsidP="00F21741">
      <w:pPr>
        <w:pStyle w:val="Punktatory1"/>
      </w:pPr>
      <w:r w:rsidRPr="001D200B">
        <w:t xml:space="preserve">źródłem energii do ogrzewania pomieszczeń w zabudowie jednorodzinnej i zagrodowej są urządzenia grzewcze o różnorodnym charakterze - głównie kotły centralnego ogrzewania (często dwufunkcyjne c.o. + c.w.u.), rzadziej piece w pomieszczeniach, kominki. </w:t>
      </w:r>
    </w:p>
    <w:p w:rsidR="009818AA" w:rsidRPr="001D200B" w:rsidRDefault="009818AA" w:rsidP="00F21741">
      <w:pPr>
        <w:pStyle w:val="Punktatory1"/>
      </w:pPr>
      <w:r w:rsidRPr="001D200B">
        <w:t>indywidualne instalacje grzewcze zabudowy mieszkaniowej zasilają tylko obiekty, w których są zainstalowane, są to źródła ciepła o niewielkich mocach (poniżej 20 kW);</w:t>
      </w:r>
    </w:p>
    <w:p w:rsidR="009818AA" w:rsidRPr="001D200B" w:rsidRDefault="009818AA" w:rsidP="00F21741">
      <w:pPr>
        <w:pStyle w:val="Punktatory1"/>
      </w:pPr>
      <w:r w:rsidRPr="001D200B">
        <w:t xml:space="preserve">instalacje grzewcze w zabudowie mieszkaniowej bazują przede wszystkim na paliwach stałych (węglu kamiennym i drewnie). </w:t>
      </w:r>
    </w:p>
    <w:p w:rsidR="009818AA" w:rsidRPr="001D200B" w:rsidRDefault="009818AA" w:rsidP="00F21741">
      <w:pPr>
        <w:pStyle w:val="Punktatory1"/>
      </w:pPr>
      <w:r w:rsidRPr="001D200B">
        <w:lastRenderedPageBreak/>
        <w:t>kotłownie, w których paliwem opałowym jest węgiel kamienny, z reguły są źródłem ciepła o niewielkiej sprawności, szacunkowo przyjmuje się: kotły c.o. około 50-60%,</w:t>
      </w:r>
    </w:p>
    <w:p w:rsidR="009818AA" w:rsidRPr="001D200B" w:rsidRDefault="009818AA" w:rsidP="00F21741">
      <w:pPr>
        <w:pStyle w:val="Punktatory1"/>
      </w:pPr>
      <w:r w:rsidRPr="001D200B">
        <w:t>przyjmuje się, że odbiorcy indywidualni, wyposażeni w węzły dwufunkcyjne w okresie zimowym przygotowanie ciepłej wody użytkowej, realizują w oparciu o paliwo podstawowe wykorzystywane na cele c.o., natomiast poza sezonem grzewczym wykorzystywane są m.in. kuchnie gazowe lub podgrzewacze, bojlery elektryczne;</w:t>
      </w:r>
    </w:p>
    <w:p w:rsidR="009818AA" w:rsidRPr="001D200B" w:rsidRDefault="009818AA" w:rsidP="00F21741">
      <w:pPr>
        <w:pStyle w:val="Punktatory1"/>
      </w:pPr>
      <w:r w:rsidRPr="001D200B">
        <w:t>obiekty handlowo-usługowe najczęściej dysponują własnymi źródłami produkującymi ciepło do celów grzewczych oraz na potrzeby c.w.u.</w:t>
      </w:r>
    </w:p>
    <w:p w:rsidR="0012422D" w:rsidRPr="001D200B" w:rsidRDefault="0012422D" w:rsidP="0012422D">
      <w:pPr>
        <w:shd w:val="clear" w:color="auto" w:fill="F2F2F2" w:themeFill="background1" w:themeFillShade="F2"/>
        <w:rPr>
          <w:b/>
        </w:rPr>
      </w:pPr>
      <w:r w:rsidRPr="001D200B">
        <w:rPr>
          <w:b/>
        </w:rPr>
        <w:t>Aktualne zapotrzebowanie mocy i energii cieplnej</w:t>
      </w:r>
    </w:p>
    <w:p w:rsidR="00BA2983" w:rsidRPr="001D200B" w:rsidRDefault="00BA2983" w:rsidP="00BA2983">
      <w:r w:rsidRPr="001D200B">
        <w:t>Zapotrzebowanie na energie cieplną określono przyjmując następujące kategorie odbiorców:</w:t>
      </w:r>
    </w:p>
    <w:p w:rsidR="00BA2983" w:rsidRPr="001D200B" w:rsidRDefault="00BA2983" w:rsidP="00F21741">
      <w:pPr>
        <w:pStyle w:val="Punktatory1"/>
      </w:pPr>
      <w:r w:rsidRPr="001D200B">
        <w:t>budownictwo mieszkaniowe: jednorodzinne i wielorodzinne,</w:t>
      </w:r>
    </w:p>
    <w:p w:rsidR="00BA2983" w:rsidRPr="001D200B" w:rsidRDefault="00BA2983" w:rsidP="00F21741">
      <w:pPr>
        <w:pStyle w:val="Punktatory1"/>
      </w:pPr>
      <w:r w:rsidRPr="001D200B">
        <w:t>budynki użyteczności publicznej (oświata i szkolnictwo, ośrodki sportowe, budynki komunalne - administracyjne, przedsiębiorstwa gminne itp.),</w:t>
      </w:r>
    </w:p>
    <w:p w:rsidR="00BA2983" w:rsidRPr="001D200B" w:rsidRDefault="00BA2983" w:rsidP="00F21741">
      <w:pPr>
        <w:pStyle w:val="Punktatory1"/>
      </w:pPr>
      <w:r w:rsidRPr="001D200B">
        <w:t>budynki/lokale, w których prowadzona jest działalność gospodarcza.</w:t>
      </w:r>
    </w:p>
    <w:p w:rsidR="00BA2983" w:rsidRPr="001D200B" w:rsidRDefault="00BA2983" w:rsidP="00BA2983">
      <w:r w:rsidRPr="001D200B">
        <w:t>Na podstawie zebranych informacji przyjęto, że powierzchnia ogrzewana budynków na terenie gminy Połaniec, według ich funkcji przedstawia się następująco:</w:t>
      </w:r>
    </w:p>
    <w:p w:rsidR="00BA2983" w:rsidRPr="001D200B" w:rsidRDefault="00BA2983" w:rsidP="00F21741">
      <w:pPr>
        <w:pStyle w:val="Punktatory1"/>
      </w:pPr>
      <w:r w:rsidRPr="001D200B">
        <w:t>zabudowa mieszkaniowa ogółem: 328,2tys. m</w:t>
      </w:r>
      <w:r w:rsidRPr="001D200B">
        <w:rPr>
          <w:vertAlign w:val="superscript"/>
        </w:rPr>
        <w:t>2</w:t>
      </w:r>
      <w:r w:rsidRPr="001D200B">
        <w:t>, w tym wielorodzinna – 96,6tys.m</w:t>
      </w:r>
      <w:r w:rsidRPr="001D200B">
        <w:rPr>
          <w:vertAlign w:val="superscript"/>
        </w:rPr>
        <w:t>2</w:t>
      </w:r>
      <w:r w:rsidRPr="001D200B">
        <w:t>;</w:t>
      </w:r>
    </w:p>
    <w:p w:rsidR="00BA2983" w:rsidRPr="001D200B" w:rsidRDefault="00BA2983" w:rsidP="00F21741">
      <w:pPr>
        <w:pStyle w:val="Punktatory1"/>
      </w:pPr>
      <w:r w:rsidRPr="001D200B">
        <w:t xml:space="preserve">budynki użyteczności publicznej zlokalizowane na terenie gminy – </w:t>
      </w:r>
      <w:r w:rsidR="002E3587" w:rsidRPr="001D200B">
        <w:t>50</w:t>
      </w:r>
      <w:r w:rsidRPr="001D200B">
        <w:t>,0 tys. m</w:t>
      </w:r>
      <w:r w:rsidRPr="001D200B">
        <w:rPr>
          <w:vertAlign w:val="superscript"/>
        </w:rPr>
        <w:t>2</w:t>
      </w:r>
      <w:r w:rsidRPr="001D200B">
        <w:t>,</w:t>
      </w:r>
    </w:p>
    <w:p w:rsidR="00BA2983" w:rsidRPr="001D200B" w:rsidRDefault="00BA2983" w:rsidP="00F21741">
      <w:pPr>
        <w:pStyle w:val="Punktatory1"/>
      </w:pPr>
      <w:r w:rsidRPr="001D200B">
        <w:t xml:space="preserve">budynki/lokalne, w których prowadzona jest działalność gospodarcza – </w:t>
      </w:r>
      <w:r w:rsidR="002E3587" w:rsidRPr="001D200B">
        <w:t>294,8</w:t>
      </w:r>
      <w:r w:rsidRPr="001D200B">
        <w:t xml:space="preserve"> tys. m</w:t>
      </w:r>
      <w:r w:rsidRPr="001D200B">
        <w:rPr>
          <w:vertAlign w:val="superscript"/>
        </w:rPr>
        <w:t>2</w:t>
      </w:r>
      <w:r w:rsidRPr="001D200B">
        <w:t>,</w:t>
      </w:r>
    </w:p>
    <w:p w:rsidR="00BA2983" w:rsidRPr="001D200B" w:rsidRDefault="00BA2983" w:rsidP="00F21741">
      <w:pPr>
        <w:pStyle w:val="Punktatory1"/>
      </w:pPr>
      <w:r w:rsidRPr="001D200B">
        <w:t xml:space="preserve">pozostałe obiekty (szacunkowo) – </w:t>
      </w:r>
      <w:r w:rsidR="002E3587" w:rsidRPr="001D200B">
        <w:t>1</w:t>
      </w:r>
      <w:r w:rsidRPr="001D200B">
        <w:t>0,0 tys. m</w:t>
      </w:r>
      <w:r w:rsidRPr="001D200B">
        <w:rPr>
          <w:vertAlign w:val="superscript"/>
        </w:rPr>
        <w:t>2</w:t>
      </w:r>
      <w:r w:rsidRPr="001D200B">
        <w:t>.</w:t>
      </w:r>
    </w:p>
    <w:p w:rsidR="00FF58BD" w:rsidRPr="001D200B" w:rsidRDefault="00FF58BD" w:rsidP="00FF58BD">
      <w:pPr>
        <w:rPr>
          <w:b/>
          <w:u w:val="single"/>
        </w:rPr>
      </w:pPr>
      <w:r w:rsidRPr="001D200B">
        <w:rPr>
          <w:b/>
          <w:u w:val="single"/>
        </w:rPr>
        <w:t>Zapotrzebowanie mocy i energii cieplnej w stanie obecnym obliczane jest przy założeniach:</w:t>
      </w:r>
    </w:p>
    <w:p w:rsidR="00FF58BD" w:rsidRPr="001D200B" w:rsidRDefault="00FF58BD" w:rsidP="00F21741">
      <w:pPr>
        <w:pStyle w:val="Punktatory1"/>
      </w:pPr>
      <w:r w:rsidRPr="001D200B">
        <w:t>roczne zużycie energii na ogrzewanie powierzchni użytkowej to wielkość rzędu od 250MJ/m</w:t>
      </w:r>
      <w:r w:rsidRPr="001D200B">
        <w:rPr>
          <w:vertAlign w:val="superscript"/>
        </w:rPr>
        <w:t>2</w:t>
      </w:r>
      <w:r w:rsidRPr="001D200B">
        <w:t xml:space="preserve"> do 930 MJ/m</w:t>
      </w:r>
      <w:r w:rsidRPr="001D200B">
        <w:rPr>
          <w:vertAlign w:val="superscript"/>
        </w:rPr>
        <w:t>2</w:t>
      </w:r>
      <w:r w:rsidRPr="001D200B">
        <w:t xml:space="preserve"> (w zależności od charakterystyki energetycznej). Zakres wartości wskaźnika zapotrzebowania na ciepło (bez uwzględnienia stopnia zaawansowania działań termomodernizacyjnych) w zależności od wieku budynku mieszkalnego na terenie gminy przyjęto według wyliczeń z tabeli.</w:t>
      </w:r>
    </w:p>
    <w:p w:rsidR="009B7413" w:rsidRPr="001D200B" w:rsidRDefault="009B7413">
      <w:pPr>
        <w:spacing w:before="0" w:after="0" w:line="240" w:lineRule="auto"/>
        <w:jc w:val="left"/>
      </w:pPr>
      <w:r w:rsidRPr="001D200B">
        <w:br w:type="page"/>
      </w:r>
    </w:p>
    <w:p w:rsidR="00890284" w:rsidRPr="001D200B" w:rsidRDefault="00890284" w:rsidP="00890284">
      <w:pPr>
        <w:pStyle w:val="Legenda"/>
        <w:rPr>
          <w:color w:val="auto"/>
        </w:rPr>
      </w:pPr>
      <w:bookmarkStart w:id="41" w:name="_Toc39476566"/>
      <w:r w:rsidRPr="001D200B">
        <w:rPr>
          <w:color w:val="auto"/>
        </w:rPr>
        <w:lastRenderedPageBreak/>
        <w:t xml:space="preserve">Tabela </w:t>
      </w:r>
      <w:r w:rsidR="005B7234" w:rsidRPr="001D200B">
        <w:rPr>
          <w:color w:val="auto"/>
        </w:rPr>
        <w:fldChar w:fldCharType="begin"/>
      </w:r>
      <w:r w:rsidR="005B7234" w:rsidRPr="001D200B">
        <w:rPr>
          <w:color w:val="auto"/>
        </w:rPr>
        <w:instrText xml:space="preserve"> SEQ Tabela \* ARABIC </w:instrText>
      </w:r>
      <w:r w:rsidR="005B7234" w:rsidRPr="001D200B">
        <w:rPr>
          <w:color w:val="auto"/>
        </w:rPr>
        <w:fldChar w:fldCharType="separate"/>
      </w:r>
      <w:r w:rsidR="00975320" w:rsidRPr="001D200B">
        <w:rPr>
          <w:noProof/>
          <w:color w:val="auto"/>
        </w:rPr>
        <w:t>14</w:t>
      </w:r>
      <w:r w:rsidR="005B7234" w:rsidRPr="001D200B">
        <w:rPr>
          <w:color w:val="auto"/>
        </w:rPr>
        <w:fldChar w:fldCharType="end"/>
      </w:r>
      <w:r w:rsidRPr="001D200B">
        <w:rPr>
          <w:color w:val="auto"/>
        </w:rPr>
        <w:t>. Wskaźnik zużycia energii dla sektora budownictwa mieszkaniowego gminy Połaniec (przenikanie ciepła i wentylacja)</w:t>
      </w:r>
      <w:bookmarkEnd w:id="41"/>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2691"/>
        <w:gridCol w:w="2553"/>
        <w:gridCol w:w="2374"/>
      </w:tblGrid>
      <w:tr w:rsidR="0018077F" w:rsidRPr="001D200B" w:rsidTr="00A81B4E">
        <w:tc>
          <w:tcPr>
            <w:tcW w:w="1702" w:type="dxa"/>
            <w:shd w:val="clear" w:color="auto" w:fill="F2F2F2" w:themeFill="background1" w:themeFillShade="F2"/>
          </w:tcPr>
          <w:p w:rsidR="0018077F" w:rsidRPr="001D200B" w:rsidRDefault="0018077F" w:rsidP="00A81B4E">
            <w:pPr>
              <w:spacing w:before="0" w:after="0" w:line="240" w:lineRule="auto"/>
              <w:jc w:val="center"/>
              <w:rPr>
                <w:b/>
                <w:sz w:val="22"/>
                <w:szCs w:val="22"/>
              </w:rPr>
            </w:pPr>
            <w:r w:rsidRPr="001D200B">
              <w:rPr>
                <w:b/>
                <w:sz w:val="22"/>
                <w:szCs w:val="22"/>
              </w:rPr>
              <w:t>Budynki budowane w okresie</w:t>
            </w:r>
          </w:p>
        </w:tc>
        <w:tc>
          <w:tcPr>
            <w:tcW w:w="2691" w:type="dxa"/>
            <w:shd w:val="clear" w:color="auto" w:fill="F2F2F2" w:themeFill="background1" w:themeFillShade="F2"/>
          </w:tcPr>
          <w:p w:rsidR="0018077F" w:rsidRPr="001D200B" w:rsidRDefault="0018077F" w:rsidP="0018077F">
            <w:pPr>
              <w:spacing w:before="0" w:after="0" w:line="240" w:lineRule="auto"/>
              <w:jc w:val="center"/>
              <w:rPr>
                <w:b/>
                <w:sz w:val="22"/>
                <w:szCs w:val="22"/>
              </w:rPr>
            </w:pPr>
            <w:r w:rsidRPr="001D200B">
              <w:rPr>
                <w:b/>
                <w:sz w:val="22"/>
                <w:szCs w:val="22"/>
              </w:rPr>
              <w:t>Odsetek powierzchni użytkowej mieszkań</w:t>
            </w:r>
          </w:p>
        </w:tc>
        <w:tc>
          <w:tcPr>
            <w:tcW w:w="2553" w:type="dxa"/>
            <w:shd w:val="clear" w:color="auto" w:fill="F2F2F2" w:themeFill="background1" w:themeFillShade="F2"/>
          </w:tcPr>
          <w:p w:rsidR="0018077F" w:rsidRPr="001D200B" w:rsidRDefault="0018077F" w:rsidP="00A81B4E">
            <w:pPr>
              <w:spacing w:before="0" w:after="0" w:line="240" w:lineRule="auto"/>
              <w:jc w:val="center"/>
              <w:rPr>
                <w:b/>
                <w:sz w:val="22"/>
                <w:szCs w:val="22"/>
              </w:rPr>
            </w:pPr>
            <w:r w:rsidRPr="001D200B">
              <w:rPr>
                <w:b/>
                <w:sz w:val="22"/>
                <w:szCs w:val="22"/>
              </w:rPr>
              <w:t>Uśredniony wskaźnik zapotrzebowania na ciepło (MJ/m</w:t>
            </w:r>
            <w:r w:rsidRPr="001D200B">
              <w:rPr>
                <w:b/>
                <w:sz w:val="22"/>
                <w:szCs w:val="22"/>
                <w:vertAlign w:val="superscript"/>
              </w:rPr>
              <w:t>2</w:t>
            </w:r>
            <w:r w:rsidRPr="001D200B">
              <w:rPr>
                <w:b/>
                <w:sz w:val="22"/>
                <w:szCs w:val="22"/>
              </w:rPr>
              <w:t xml:space="preserve">/rok) </w:t>
            </w:r>
          </w:p>
        </w:tc>
        <w:tc>
          <w:tcPr>
            <w:tcW w:w="2374" w:type="dxa"/>
            <w:shd w:val="clear" w:color="auto" w:fill="F2F2F2" w:themeFill="background1" w:themeFillShade="F2"/>
          </w:tcPr>
          <w:p w:rsidR="0018077F" w:rsidRPr="001D200B" w:rsidRDefault="0018077F" w:rsidP="00A81B4E">
            <w:pPr>
              <w:spacing w:before="0" w:after="0" w:line="240" w:lineRule="auto"/>
              <w:jc w:val="center"/>
              <w:rPr>
                <w:b/>
                <w:sz w:val="22"/>
                <w:szCs w:val="22"/>
              </w:rPr>
            </w:pPr>
            <w:r w:rsidRPr="001D200B">
              <w:rPr>
                <w:b/>
                <w:sz w:val="22"/>
                <w:szCs w:val="22"/>
              </w:rPr>
              <w:t>Uśredniony wskaźnik zapotrzebowania na ciepło (MJ/m</w:t>
            </w:r>
            <w:r w:rsidRPr="001D200B">
              <w:rPr>
                <w:b/>
                <w:sz w:val="22"/>
                <w:szCs w:val="22"/>
                <w:vertAlign w:val="superscript"/>
              </w:rPr>
              <w:t>2</w:t>
            </w:r>
            <w:r w:rsidRPr="001D200B">
              <w:rPr>
                <w:b/>
                <w:sz w:val="22"/>
                <w:szCs w:val="22"/>
              </w:rPr>
              <w:t>/rok)</w:t>
            </w:r>
          </w:p>
        </w:tc>
      </w:tr>
      <w:tr w:rsidR="0018077F" w:rsidRPr="001D200B" w:rsidTr="00A81B4E">
        <w:tc>
          <w:tcPr>
            <w:tcW w:w="1702" w:type="dxa"/>
          </w:tcPr>
          <w:p w:rsidR="0018077F" w:rsidRPr="001D200B" w:rsidRDefault="0018077F" w:rsidP="00A81B4E">
            <w:pPr>
              <w:spacing w:before="0" w:after="0" w:line="240" w:lineRule="auto"/>
              <w:jc w:val="center"/>
              <w:rPr>
                <w:sz w:val="22"/>
                <w:szCs w:val="22"/>
              </w:rPr>
            </w:pPr>
            <w:r w:rsidRPr="001D200B">
              <w:rPr>
                <w:sz w:val="22"/>
                <w:szCs w:val="22"/>
              </w:rPr>
              <w:t>do 1970</w:t>
            </w:r>
          </w:p>
        </w:tc>
        <w:tc>
          <w:tcPr>
            <w:tcW w:w="2691" w:type="dxa"/>
          </w:tcPr>
          <w:p w:rsidR="0018077F" w:rsidRPr="001D200B" w:rsidRDefault="0018077F" w:rsidP="00A81B4E">
            <w:pPr>
              <w:spacing w:before="0" w:after="0" w:line="240" w:lineRule="auto"/>
              <w:jc w:val="center"/>
              <w:rPr>
                <w:sz w:val="22"/>
                <w:szCs w:val="22"/>
              </w:rPr>
            </w:pPr>
            <w:r w:rsidRPr="001D200B">
              <w:rPr>
                <w:sz w:val="22"/>
                <w:szCs w:val="22"/>
              </w:rPr>
              <w:t>11,4</w:t>
            </w:r>
          </w:p>
        </w:tc>
        <w:tc>
          <w:tcPr>
            <w:tcW w:w="2553" w:type="dxa"/>
          </w:tcPr>
          <w:p w:rsidR="0018077F" w:rsidRPr="001D200B" w:rsidRDefault="008D565B" w:rsidP="008D565B">
            <w:pPr>
              <w:spacing w:before="0" w:after="0" w:line="240" w:lineRule="auto"/>
              <w:jc w:val="center"/>
              <w:rPr>
                <w:sz w:val="22"/>
                <w:szCs w:val="22"/>
              </w:rPr>
            </w:pPr>
            <w:r w:rsidRPr="001D200B">
              <w:rPr>
                <w:sz w:val="22"/>
                <w:szCs w:val="22"/>
              </w:rPr>
              <w:t>1000</w:t>
            </w:r>
          </w:p>
        </w:tc>
        <w:tc>
          <w:tcPr>
            <w:tcW w:w="2374" w:type="dxa"/>
            <w:vMerge w:val="restart"/>
            <w:vAlign w:val="center"/>
          </w:tcPr>
          <w:p w:rsidR="0018077F" w:rsidRPr="001D200B" w:rsidRDefault="008D565B" w:rsidP="00A81B4E">
            <w:pPr>
              <w:spacing w:before="0" w:after="0" w:line="240" w:lineRule="auto"/>
              <w:jc w:val="center"/>
              <w:rPr>
                <w:b/>
                <w:sz w:val="22"/>
                <w:szCs w:val="22"/>
              </w:rPr>
            </w:pPr>
            <w:r w:rsidRPr="001D200B">
              <w:rPr>
                <w:b/>
                <w:sz w:val="22"/>
                <w:szCs w:val="22"/>
              </w:rPr>
              <w:t>605,0</w:t>
            </w:r>
          </w:p>
        </w:tc>
      </w:tr>
      <w:tr w:rsidR="0018077F" w:rsidRPr="001D200B" w:rsidTr="00A81B4E">
        <w:tc>
          <w:tcPr>
            <w:tcW w:w="1702" w:type="dxa"/>
          </w:tcPr>
          <w:p w:rsidR="0018077F" w:rsidRPr="001D200B" w:rsidRDefault="0018077F" w:rsidP="00A81B4E">
            <w:pPr>
              <w:spacing w:before="0" w:after="0" w:line="240" w:lineRule="auto"/>
              <w:jc w:val="center"/>
              <w:rPr>
                <w:sz w:val="22"/>
                <w:szCs w:val="22"/>
              </w:rPr>
            </w:pPr>
            <w:r w:rsidRPr="001D200B">
              <w:rPr>
                <w:sz w:val="22"/>
                <w:szCs w:val="22"/>
              </w:rPr>
              <w:t>1970 – 1978</w:t>
            </w:r>
          </w:p>
        </w:tc>
        <w:tc>
          <w:tcPr>
            <w:tcW w:w="2691" w:type="dxa"/>
          </w:tcPr>
          <w:p w:rsidR="0018077F" w:rsidRPr="001D200B" w:rsidRDefault="0018077F" w:rsidP="00A81B4E">
            <w:pPr>
              <w:spacing w:before="0" w:after="0" w:line="240" w:lineRule="auto"/>
              <w:jc w:val="center"/>
              <w:rPr>
                <w:sz w:val="22"/>
                <w:szCs w:val="22"/>
              </w:rPr>
            </w:pPr>
            <w:r w:rsidRPr="001D200B">
              <w:rPr>
                <w:sz w:val="22"/>
                <w:szCs w:val="22"/>
              </w:rPr>
              <w:t>16,8</w:t>
            </w:r>
          </w:p>
        </w:tc>
        <w:tc>
          <w:tcPr>
            <w:tcW w:w="2553" w:type="dxa"/>
          </w:tcPr>
          <w:p w:rsidR="0018077F" w:rsidRPr="001D200B" w:rsidRDefault="008D565B" w:rsidP="00A81B4E">
            <w:pPr>
              <w:spacing w:before="0" w:after="0" w:line="240" w:lineRule="auto"/>
              <w:jc w:val="center"/>
              <w:rPr>
                <w:sz w:val="22"/>
                <w:szCs w:val="22"/>
              </w:rPr>
            </w:pPr>
            <w:r w:rsidRPr="001D200B">
              <w:rPr>
                <w:sz w:val="22"/>
                <w:szCs w:val="22"/>
              </w:rPr>
              <w:t>850</w:t>
            </w:r>
          </w:p>
        </w:tc>
        <w:tc>
          <w:tcPr>
            <w:tcW w:w="2374" w:type="dxa"/>
            <w:vMerge/>
          </w:tcPr>
          <w:p w:rsidR="0018077F" w:rsidRPr="001D200B" w:rsidRDefault="0018077F" w:rsidP="00A81B4E">
            <w:pPr>
              <w:spacing w:before="0" w:after="0" w:line="240" w:lineRule="auto"/>
              <w:rPr>
                <w:sz w:val="22"/>
                <w:szCs w:val="22"/>
              </w:rPr>
            </w:pPr>
          </w:p>
        </w:tc>
      </w:tr>
      <w:tr w:rsidR="0018077F" w:rsidRPr="001D200B" w:rsidTr="00A81B4E">
        <w:tc>
          <w:tcPr>
            <w:tcW w:w="1702" w:type="dxa"/>
          </w:tcPr>
          <w:p w:rsidR="0018077F" w:rsidRPr="001D200B" w:rsidRDefault="0018077F" w:rsidP="00A81B4E">
            <w:pPr>
              <w:spacing w:before="0" w:after="0" w:line="240" w:lineRule="auto"/>
              <w:jc w:val="center"/>
              <w:rPr>
                <w:sz w:val="22"/>
                <w:szCs w:val="22"/>
              </w:rPr>
            </w:pPr>
            <w:r w:rsidRPr="001D200B">
              <w:rPr>
                <w:sz w:val="22"/>
                <w:szCs w:val="22"/>
              </w:rPr>
              <w:t>1979 – 1988</w:t>
            </w:r>
          </w:p>
        </w:tc>
        <w:tc>
          <w:tcPr>
            <w:tcW w:w="2691" w:type="dxa"/>
          </w:tcPr>
          <w:p w:rsidR="0018077F" w:rsidRPr="001D200B" w:rsidRDefault="0018077F" w:rsidP="00A81B4E">
            <w:pPr>
              <w:spacing w:before="0" w:after="0" w:line="240" w:lineRule="auto"/>
              <w:jc w:val="center"/>
              <w:rPr>
                <w:sz w:val="22"/>
                <w:szCs w:val="22"/>
              </w:rPr>
            </w:pPr>
            <w:r w:rsidRPr="001D200B">
              <w:rPr>
                <w:sz w:val="22"/>
                <w:szCs w:val="22"/>
              </w:rPr>
              <w:t>25,6</w:t>
            </w:r>
          </w:p>
        </w:tc>
        <w:tc>
          <w:tcPr>
            <w:tcW w:w="2553" w:type="dxa"/>
          </w:tcPr>
          <w:p w:rsidR="0018077F" w:rsidRPr="001D200B" w:rsidRDefault="008D565B" w:rsidP="008D565B">
            <w:pPr>
              <w:spacing w:before="0" w:after="0" w:line="240" w:lineRule="auto"/>
              <w:jc w:val="center"/>
              <w:rPr>
                <w:sz w:val="22"/>
                <w:szCs w:val="22"/>
              </w:rPr>
            </w:pPr>
            <w:r w:rsidRPr="001D200B">
              <w:rPr>
                <w:sz w:val="22"/>
                <w:szCs w:val="22"/>
              </w:rPr>
              <w:t>720</w:t>
            </w:r>
          </w:p>
        </w:tc>
        <w:tc>
          <w:tcPr>
            <w:tcW w:w="2374" w:type="dxa"/>
            <w:vMerge/>
          </w:tcPr>
          <w:p w:rsidR="0018077F" w:rsidRPr="001D200B" w:rsidRDefault="0018077F" w:rsidP="00A81B4E">
            <w:pPr>
              <w:spacing w:before="0" w:after="0" w:line="240" w:lineRule="auto"/>
              <w:rPr>
                <w:sz w:val="22"/>
                <w:szCs w:val="22"/>
              </w:rPr>
            </w:pPr>
          </w:p>
        </w:tc>
      </w:tr>
      <w:tr w:rsidR="0018077F" w:rsidRPr="001D200B" w:rsidTr="00A81B4E">
        <w:tc>
          <w:tcPr>
            <w:tcW w:w="1702" w:type="dxa"/>
          </w:tcPr>
          <w:p w:rsidR="0018077F" w:rsidRPr="001D200B" w:rsidRDefault="0018077F" w:rsidP="00A81B4E">
            <w:pPr>
              <w:spacing w:before="0" w:after="0" w:line="240" w:lineRule="auto"/>
              <w:jc w:val="center"/>
              <w:rPr>
                <w:sz w:val="22"/>
                <w:szCs w:val="22"/>
              </w:rPr>
            </w:pPr>
            <w:r w:rsidRPr="001D200B">
              <w:rPr>
                <w:sz w:val="22"/>
                <w:szCs w:val="22"/>
              </w:rPr>
              <w:t>1989 – 1999</w:t>
            </w:r>
          </w:p>
        </w:tc>
        <w:tc>
          <w:tcPr>
            <w:tcW w:w="2691" w:type="dxa"/>
          </w:tcPr>
          <w:p w:rsidR="0018077F" w:rsidRPr="001D200B" w:rsidRDefault="0018077F" w:rsidP="00A81B4E">
            <w:pPr>
              <w:spacing w:before="0" w:after="0" w:line="240" w:lineRule="auto"/>
              <w:jc w:val="center"/>
              <w:rPr>
                <w:sz w:val="22"/>
                <w:szCs w:val="22"/>
              </w:rPr>
            </w:pPr>
            <w:r w:rsidRPr="001D200B">
              <w:rPr>
                <w:sz w:val="22"/>
                <w:szCs w:val="22"/>
              </w:rPr>
              <w:t>24,2</w:t>
            </w:r>
          </w:p>
        </w:tc>
        <w:tc>
          <w:tcPr>
            <w:tcW w:w="2553" w:type="dxa"/>
          </w:tcPr>
          <w:p w:rsidR="0018077F" w:rsidRPr="001D200B" w:rsidRDefault="0018077F" w:rsidP="008D565B">
            <w:pPr>
              <w:spacing w:before="0" w:after="0" w:line="240" w:lineRule="auto"/>
              <w:jc w:val="center"/>
              <w:rPr>
                <w:sz w:val="22"/>
                <w:szCs w:val="22"/>
              </w:rPr>
            </w:pPr>
            <w:r w:rsidRPr="001D200B">
              <w:rPr>
                <w:sz w:val="22"/>
                <w:szCs w:val="22"/>
              </w:rPr>
              <w:t>4</w:t>
            </w:r>
            <w:r w:rsidR="008D565B" w:rsidRPr="001D200B">
              <w:rPr>
                <w:sz w:val="22"/>
                <w:szCs w:val="22"/>
              </w:rPr>
              <w:t>5</w:t>
            </w:r>
            <w:r w:rsidRPr="001D200B">
              <w:rPr>
                <w:sz w:val="22"/>
                <w:szCs w:val="22"/>
              </w:rPr>
              <w:t>0</w:t>
            </w:r>
          </w:p>
        </w:tc>
        <w:tc>
          <w:tcPr>
            <w:tcW w:w="2374" w:type="dxa"/>
            <w:vMerge/>
          </w:tcPr>
          <w:p w:rsidR="0018077F" w:rsidRPr="001D200B" w:rsidRDefault="0018077F" w:rsidP="00A81B4E">
            <w:pPr>
              <w:spacing w:before="0" w:after="0" w:line="240" w:lineRule="auto"/>
              <w:rPr>
                <w:sz w:val="22"/>
                <w:szCs w:val="22"/>
              </w:rPr>
            </w:pPr>
          </w:p>
        </w:tc>
      </w:tr>
      <w:tr w:rsidR="0018077F" w:rsidRPr="001D200B" w:rsidTr="00A81B4E">
        <w:tc>
          <w:tcPr>
            <w:tcW w:w="1702" w:type="dxa"/>
          </w:tcPr>
          <w:p w:rsidR="0018077F" w:rsidRPr="001D200B" w:rsidRDefault="0018077F" w:rsidP="00A81B4E">
            <w:pPr>
              <w:spacing w:before="0" w:after="0" w:line="240" w:lineRule="auto"/>
              <w:jc w:val="center"/>
              <w:rPr>
                <w:sz w:val="22"/>
                <w:szCs w:val="22"/>
              </w:rPr>
            </w:pPr>
            <w:r w:rsidRPr="001D200B">
              <w:rPr>
                <w:sz w:val="22"/>
                <w:szCs w:val="22"/>
              </w:rPr>
              <w:t>po 1999</w:t>
            </w:r>
          </w:p>
        </w:tc>
        <w:tc>
          <w:tcPr>
            <w:tcW w:w="2691" w:type="dxa"/>
          </w:tcPr>
          <w:p w:rsidR="0018077F" w:rsidRPr="001D200B" w:rsidRDefault="0018077F" w:rsidP="00A81B4E">
            <w:pPr>
              <w:spacing w:before="0" w:after="0" w:line="240" w:lineRule="auto"/>
              <w:jc w:val="center"/>
              <w:rPr>
                <w:sz w:val="22"/>
                <w:szCs w:val="22"/>
              </w:rPr>
            </w:pPr>
            <w:r w:rsidRPr="001D200B">
              <w:rPr>
                <w:sz w:val="22"/>
                <w:szCs w:val="22"/>
              </w:rPr>
              <w:t>22,0</w:t>
            </w:r>
          </w:p>
        </w:tc>
        <w:tc>
          <w:tcPr>
            <w:tcW w:w="2553" w:type="dxa"/>
          </w:tcPr>
          <w:p w:rsidR="0018077F" w:rsidRPr="001D200B" w:rsidRDefault="0018077F" w:rsidP="00A81B4E">
            <w:pPr>
              <w:spacing w:before="0" w:after="0" w:line="240" w:lineRule="auto"/>
              <w:jc w:val="center"/>
              <w:rPr>
                <w:sz w:val="22"/>
                <w:szCs w:val="22"/>
              </w:rPr>
            </w:pPr>
            <w:r w:rsidRPr="001D200B">
              <w:rPr>
                <w:sz w:val="22"/>
                <w:szCs w:val="22"/>
              </w:rPr>
              <w:t>250</w:t>
            </w:r>
          </w:p>
        </w:tc>
        <w:tc>
          <w:tcPr>
            <w:tcW w:w="2374" w:type="dxa"/>
            <w:vMerge/>
          </w:tcPr>
          <w:p w:rsidR="0018077F" w:rsidRPr="001D200B" w:rsidRDefault="0018077F" w:rsidP="00A81B4E">
            <w:pPr>
              <w:spacing w:before="0" w:after="0" w:line="240" w:lineRule="auto"/>
              <w:rPr>
                <w:sz w:val="22"/>
                <w:szCs w:val="22"/>
              </w:rPr>
            </w:pPr>
          </w:p>
        </w:tc>
      </w:tr>
    </w:tbl>
    <w:p w:rsidR="00BA2983" w:rsidRPr="001D200B" w:rsidRDefault="00890284" w:rsidP="00890284">
      <w:pPr>
        <w:pStyle w:val="podtabelk"/>
        <w:rPr>
          <w:rFonts w:cstheme="minorHAnsi"/>
          <w:b/>
          <w:bCs/>
          <w:sz w:val="26"/>
          <w:highlight w:val="yellow"/>
          <w:u w:val="single"/>
        </w:rPr>
      </w:pPr>
      <w:r w:rsidRPr="001D200B">
        <w:t>* opracowanie własne</w:t>
      </w:r>
    </w:p>
    <w:p w:rsidR="00890284" w:rsidRPr="001D200B" w:rsidRDefault="00890284" w:rsidP="00F21741">
      <w:pPr>
        <w:pStyle w:val="Punktatory1"/>
      </w:pPr>
      <w:r w:rsidRPr="001D200B">
        <w:t>szacuje się, że około 40% całkowitej powierzchni użytkowej zasobów mieszkaniowych stanowią budynki o względnie wysokich standardach cieplnych – są to budynki nowe (wybudowane po 1999 roku) łącznie z budynkami po rozbudowie, wymianie i termomodernizacji. Uśredniony wskaźnik jednostkowego zapotrzebowania na ciepło w tej grupie budynków przyjęto na poziomie 3</w:t>
      </w:r>
      <w:r w:rsidR="002F2133" w:rsidRPr="001D200B">
        <w:t>3</w:t>
      </w:r>
      <w:r w:rsidRPr="001D200B">
        <w:t>0 MJ/m</w:t>
      </w:r>
      <w:r w:rsidRPr="001D200B">
        <w:rPr>
          <w:vertAlign w:val="superscript"/>
        </w:rPr>
        <w:t>2</w:t>
      </w:r>
      <w:r w:rsidR="004E7F9D" w:rsidRPr="001D200B">
        <w:t>, przy uśrednionym wskaźniku dla całości zasobów na poziomie 605 MJ/m</w:t>
      </w:r>
      <w:r w:rsidR="004E7F9D" w:rsidRPr="001D200B">
        <w:rPr>
          <w:vertAlign w:val="superscript"/>
        </w:rPr>
        <w:t>2</w:t>
      </w:r>
      <w:r w:rsidRPr="001D200B">
        <w:t>;</w:t>
      </w:r>
    </w:p>
    <w:p w:rsidR="00890284" w:rsidRPr="001D200B" w:rsidRDefault="00890284" w:rsidP="00F21741">
      <w:pPr>
        <w:pStyle w:val="Punktatory1"/>
      </w:pPr>
      <w:r w:rsidRPr="001D200B">
        <w:t>roczne zużycie energii na potrzeby przygotowania ciepłej wody użytkowej określa się na średnim poziomie 2</w:t>
      </w:r>
      <w:r w:rsidR="00F73A81" w:rsidRPr="001D200B">
        <w:t>5</w:t>
      </w:r>
      <w:r w:rsidRPr="001D200B">
        <w:t>00MJ/mieszkańca/rok;</w:t>
      </w:r>
    </w:p>
    <w:p w:rsidR="00890284" w:rsidRPr="001D200B" w:rsidRDefault="00890284" w:rsidP="00F21741">
      <w:pPr>
        <w:pStyle w:val="Punktatory1"/>
      </w:pPr>
      <w:r w:rsidRPr="001D200B">
        <w:t>z uwagi na zróżnicowany standard energetyczny budynków wielkość zapotrzebowania ciepła oblicza się przy założeniach: 80W/m</w:t>
      </w:r>
      <w:r w:rsidRPr="001D200B">
        <w:rPr>
          <w:vertAlign w:val="superscript"/>
        </w:rPr>
        <w:t>2</w:t>
      </w:r>
      <w:r w:rsidRPr="001D200B">
        <w:t xml:space="preserve"> dla starego budownictwa i 50W/m</w:t>
      </w:r>
      <w:r w:rsidRPr="001D200B">
        <w:rPr>
          <w:vertAlign w:val="superscript"/>
        </w:rPr>
        <w:t>2</w:t>
      </w:r>
      <w:r w:rsidRPr="001D200B">
        <w:t xml:space="preserve"> dla budownictwa nowego (również po termomodernizacji). Moc dodatkową do podgrzania ciepłej wody użytkowej (c.w.u.) określa się przeciętnie na poziomie 0,50 kW/osobę;</w:t>
      </w:r>
    </w:p>
    <w:p w:rsidR="00890284" w:rsidRPr="001D200B" w:rsidRDefault="00890284" w:rsidP="00F21741">
      <w:pPr>
        <w:pStyle w:val="Punktatory1"/>
      </w:pPr>
      <w:r w:rsidRPr="001D200B">
        <w:t>w obliczeniach uwzględniono dane rzeczywiste dostawcy ciepła sieciowego dotyczące sprzedaży ciepła na terenie miasta;</w:t>
      </w:r>
    </w:p>
    <w:p w:rsidR="00A81B4E" w:rsidRPr="001D200B" w:rsidRDefault="00F73A81" w:rsidP="00F21741">
      <w:pPr>
        <w:pStyle w:val="Punktatory1"/>
      </w:pPr>
      <w:r w:rsidRPr="001D200B">
        <w:t>jednostkowy wskaźnik zapotrzebowania na ciepło do ogrzania lokali Spółdzielni Mieszkaniowej „Połaniec” kształtuje się na poziomie 326MJ/m</w:t>
      </w:r>
      <w:r w:rsidRPr="001D200B">
        <w:rPr>
          <w:vertAlign w:val="superscript"/>
        </w:rPr>
        <w:t>2</w:t>
      </w:r>
      <w:r w:rsidRPr="001D200B">
        <w:t xml:space="preserve">/rok, natomiast </w:t>
      </w:r>
      <w:r w:rsidR="005C2DAC" w:rsidRPr="001D200B">
        <w:t xml:space="preserve">całkowite </w:t>
      </w:r>
      <w:r w:rsidRPr="001D200B">
        <w:t>zapotrzebowanie na ciepło dla potrzeb c.w.u. wynosi 19050 GJ/rok</w:t>
      </w:r>
      <w:r w:rsidR="00DC64E5" w:rsidRPr="001D200B">
        <w:t xml:space="preserve"> 2018</w:t>
      </w:r>
      <w:r w:rsidRPr="001D200B">
        <w:t xml:space="preserve">. </w:t>
      </w:r>
    </w:p>
    <w:p w:rsidR="00C4081A" w:rsidRPr="001D200B" w:rsidRDefault="00C4081A" w:rsidP="00F21741">
      <w:pPr>
        <w:pStyle w:val="Punktatory1"/>
      </w:pPr>
      <w:r w:rsidRPr="001D200B">
        <w:t xml:space="preserve">dla budynków użyteczności publicznej zapotrzebowanie ciepła przyjęto biorąc pod uwagę ewidencję rocznego zużycie paliwa/energii oraz dane wskaźnikowe </w:t>
      </w:r>
      <w:r w:rsidR="00DC64E5" w:rsidRPr="001D200B">
        <w:t xml:space="preserve">– uśredniony wskaźnik zapotrzebowania na ciepło w tej grupie budynków </w:t>
      </w:r>
      <w:r w:rsidR="005966CD" w:rsidRPr="001D200B">
        <w:t xml:space="preserve">określono </w:t>
      </w:r>
      <w:r w:rsidR="00DC64E5" w:rsidRPr="001D200B">
        <w:t xml:space="preserve">na poziomie </w:t>
      </w:r>
      <w:r w:rsidR="005966CD" w:rsidRPr="001D200B">
        <w:t>około 400</w:t>
      </w:r>
      <w:r w:rsidR="009B5C31" w:rsidRPr="001D200B">
        <w:t>MJ</w:t>
      </w:r>
      <w:r w:rsidR="005966CD" w:rsidRPr="001D200B">
        <w:t>/m</w:t>
      </w:r>
      <w:r w:rsidR="005966CD" w:rsidRPr="001D200B">
        <w:rPr>
          <w:vertAlign w:val="superscript"/>
        </w:rPr>
        <w:t>2</w:t>
      </w:r>
      <w:r w:rsidR="005966CD" w:rsidRPr="001D200B">
        <w:t>/rok</w:t>
      </w:r>
      <w:r w:rsidRPr="001D200B">
        <w:t>;</w:t>
      </w:r>
    </w:p>
    <w:p w:rsidR="00C4081A" w:rsidRPr="001D200B" w:rsidRDefault="00C4081A" w:rsidP="00F21741">
      <w:pPr>
        <w:pStyle w:val="Punktatory1"/>
      </w:pPr>
      <w:r w:rsidRPr="001D200B">
        <w:t xml:space="preserve">wskaźnik % budynków przeznaczonych do prowadzenia działalności gospodarczej, które charakteryzują się dobrą izolacją termiczną przyjęto na poziomie </w:t>
      </w:r>
      <w:r w:rsidR="009B5C31" w:rsidRPr="001D200B">
        <w:t>5</w:t>
      </w:r>
      <w:r w:rsidRPr="001D200B">
        <w:t>0%;</w:t>
      </w:r>
    </w:p>
    <w:p w:rsidR="00C4081A" w:rsidRPr="001D200B" w:rsidRDefault="002F2133" w:rsidP="00F21741">
      <w:pPr>
        <w:pStyle w:val="Punktatory1"/>
      </w:pPr>
      <w:r w:rsidRPr="001D200B">
        <w:t>sprawność systemów grzewczych całościowo założono na poziomie 0,75 dla wszystkich budynków prywatnych zasilanych ze źródeł indywidualnych. Dla systemów przygotowania ciepłej wody założono średnią sprawność 0,85</w:t>
      </w:r>
      <w:r w:rsidR="00C4081A" w:rsidRPr="001D200B">
        <w:t>;</w:t>
      </w:r>
    </w:p>
    <w:p w:rsidR="00C4081A" w:rsidRPr="001D200B" w:rsidRDefault="00C4081A" w:rsidP="00F21741">
      <w:pPr>
        <w:pStyle w:val="Punktatory1"/>
      </w:pPr>
      <w:r w:rsidRPr="001D200B">
        <w:lastRenderedPageBreak/>
        <w:t>w budynkach niemieszkalnych zapotrzebowanie na ciepłą wodę przyjęto w wysokości 10% zapotrzebowania na ogrzewanie.</w:t>
      </w:r>
    </w:p>
    <w:p w:rsidR="0012422D" w:rsidRPr="001D200B" w:rsidRDefault="002F2133" w:rsidP="0012422D">
      <w:r w:rsidRPr="001D200B">
        <w:t xml:space="preserve">Uwzględniając powyższe założenia i wielkości szacunkowe otrzymamy, że roczne aktualne zapotrzebowanie mocy cieplnej kształtuje się na poziomie około </w:t>
      </w:r>
      <w:r w:rsidR="00362E02" w:rsidRPr="001D200B">
        <w:rPr>
          <w:b/>
        </w:rPr>
        <w:t>43,1</w:t>
      </w:r>
      <w:r w:rsidRPr="001D200B">
        <w:rPr>
          <w:b/>
        </w:rPr>
        <w:t xml:space="preserve"> MW</w:t>
      </w:r>
    </w:p>
    <w:p w:rsidR="0012422D" w:rsidRPr="001D200B" w:rsidRDefault="00362E02" w:rsidP="00362E02">
      <w:pPr>
        <w:pStyle w:val="Legenda"/>
        <w:rPr>
          <w:color w:val="auto"/>
        </w:rPr>
      </w:pPr>
      <w:bookmarkStart w:id="42" w:name="_Toc39476567"/>
      <w:r w:rsidRPr="001D200B">
        <w:rPr>
          <w:color w:val="auto"/>
        </w:rPr>
        <w:t xml:space="preserve">Tabela </w:t>
      </w:r>
      <w:r w:rsidR="005B7234" w:rsidRPr="001D200B">
        <w:rPr>
          <w:color w:val="auto"/>
        </w:rPr>
        <w:fldChar w:fldCharType="begin"/>
      </w:r>
      <w:r w:rsidR="005B7234" w:rsidRPr="001D200B">
        <w:rPr>
          <w:color w:val="auto"/>
        </w:rPr>
        <w:instrText xml:space="preserve"> SEQ Tabela \* ARABIC </w:instrText>
      </w:r>
      <w:r w:rsidR="005B7234" w:rsidRPr="001D200B">
        <w:rPr>
          <w:color w:val="auto"/>
        </w:rPr>
        <w:fldChar w:fldCharType="separate"/>
      </w:r>
      <w:r w:rsidR="00975320" w:rsidRPr="001D200B">
        <w:rPr>
          <w:noProof/>
          <w:color w:val="auto"/>
        </w:rPr>
        <w:t>15</w:t>
      </w:r>
      <w:r w:rsidR="005B7234" w:rsidRPr="001D200B">
        <w:rPr>
          <w:color w:val="auto"/>
        </w:rPr>
        <w:fldChar w:fldCharType="end"/>
      </w:r>
      <w:r w:rsidRPr="001D200B">
        <w:rPr>
          <w:color w:val="auto"/>
        </w:rPr>
        <w:t xml:space="preserve">. </w:t>
      </w:r>
      <w:r w:rsidR="002F2133" w:rsidRPr="001D200B">
        <w:rPr>
          <w:rFonts w:cstheme="minorHAnsi"/>
          <w:color w:val="auto"/>
        </w:rPr>
        <w:t>Zapotrzebowanie na moc cieplną</w:t>
      </w:r>
      <w:bookmarkEnd w:id="42"/>
    </w:p>
    <w:tbl>
      <w:tblPr>
        <w:tblW w:w="6769"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01"/>
        <w:gridCol w:w="2268"/>
      </w:tblGrid>
      <w:tr w:rsidR="002F2133" w:rsidRPr="001D200B" w:rsidTr="00F006D6">
        <w:trPr>
          <w:cantSplit/>
          <w:trHeight w:val="200"/>
          <w:jc w:val="center"/>
        </w:trPr>
        <w:tc>
          <w:tcPr>
            <w:tcW w:w="4501" w:type="dxa"/>
            <w:tcBorders>
              <w:bottom w:val="single" w:sz="4" w:space="0" w:color="auto"/>
            </w:tcBorders>
            <w:shd w:val="clear" w:color="auto" w:fill="F2F2F2" w:themeFill="background1" w:themeFillShade="F2"/>
          </w:tcPr>
          <w:p w:rsidR="002F2133" w:rsidRPr="001D200B" w:rsidRDefault="002F2133" w:rsidP="00F006D6">
            <w:pPr>
              <w:spacing w:before="0" w:after="0"/>
              <w:jc w:val="center"/>
              <w:rPr>
                <w:b/>
              </w:rPr>
            </w:pPr>
            <w:r w:rsidRPr="001D200B">
              <w:rPr>
                <w:b/>
              </w:rPr>
              <w:t>Wyszczególnienie:</w:t>
            </w:r>
          </w:p>
        </w:tc>
        <w:tc>
          <w:tcPr>
            <w:tcW w:w="2268" w:type="dxa"/>
            <w:tcBorders>
              <w:bottom w:val="single" w:sz="4" w:space="0" w:color="auto"/>
            </w:tcBorders>
            <w:shd w:val="clear" w:color="auto" w:fill="F2F2F2" w:themeFill="background1" w:themeFillShade="F2"/>
          </w:tcPr>
          <w:p w:rsidR="002F2133" w:rsidRPr="001D200B" w:rsidRDefault="002F2133" w:rsidP="00F006D6">
            <w:pPr>
              <w:spacing w:before="0" w:after="0"/>
              <w:jc w:val="center"/>
              <w:rPr>
                <w:b/>
              </w:rPr>
            </w:pPr>
            <w:r w:rsidRPr="001D200B">
              <w:rPr>
                <w:b/>
              </w:rPr>
              <w:t>(MW)</w:t>
            </w:r>
          </w:p>
        </w:tc>
      </w:tr>
      <w:tr w:rsidR="002F2133" w:rsidRPr="001D200B" w:rsidTr="00F006D6">
        <w:trPr>
          <w:jc w:val="center"/>
        </w:trPr>
        <w:tc>
          <w:tcPr>
            <w:tcW w:w="4501" w:type="dxa"/>
          </w:tcPr>
          <w:p w:rsidR="002F2133" w:rsidRPr="001D200B" w:rsidRDefault="002F2133" w:rsidP="00F006D6">
            <w:pPr>
              <w:spacing w:before="0" w:after="0"/>
            </w:pPr>
            <w:r w:rsidRPr="001D200B">
              <w:t>Budynki mieszkalne</w:t>
            </w:r>
          </w:p>
        </w:tc>
        <w:tc>
          <w:tcPr>
            <w:tcW w:w="2268" w:type="dxa"/>
            <w:vAlign w:val="center"/>
          </w:tcPr>
          <w:p w:rsidR="002F2133" w:rsidRPr="001D200B" w:rsidRDefault="00362E02" w:rsidP="00F006D6">
            <w:pPr>
              <w:spacing w:before="0" w:after="0"/>
              <w:jc w:val="center"/>
            </w:pPr>
            <w:r w:rsidRPr="001D200B">
              <w:t>27,5</w:t>
            </w:r>
          </w:p>
        </w:tc>
      </w:tr>
      <w:tr w:rsidR="002F2133" w:rsidRPr="001D200B" w:rsidTr="00F006D6">
        <w:trPr>
          <w:jc w:val="center"/>
        </w:trPr>
        <w:tc>
          <w:tcPr>
            <w:tcW w:w="4501" w:type="dxa"/>
          </w:tcPr>
          <w:p w:rsidR="002F2133" w:rsidRPr="001D200B" w:rsidRDefault="002F2133" w:rsidP="00F006D6">
            <w:pPr>
              <w:spacing w:before="0" w:after="0"/>
            </w:pPr>
            <w:r w:rsidRPr="001D200B">
              <w:t>Budynki niemieszkalne</w:t>
            </w:r>
          </w:p>
        </w:tc>
        <w:tc>
          <w:tcPr>
            <w:tcW w:w="2268" w:type="dxa"/>
            <w:vAlign w:val="center"/>
          </w:tcPr>
          <w:p w:rsidR="002F2133" w:rsidRPr="001D200B" w:rsidRDefault="00362E02" w:rsidP="00F006D6">
            <w:pPr>
              <w:spacing w:before="0" w:after="0"/>
              <w:jc w:val="center"/>
            </w:pPr>
            <w:r w:rsidRPr="001D200B">
              <w:t>15,6</w:t>
            </w:r>
          </w:p>
        </w:tc>
      </w:tr>
      <w:tr w:rsidR="002F2133" w:rsidRPr="001D200B" w:rsidTr="00F006D6">
        <w:trPr>
          <w:jc w:val="center"/>
        </w:trPr>
        <w:tc>
          <w:tcPr>
            <w:tcW w:w="4501" w:type="dxa"/>
          </w:tcPr>
          <w:p w:rsidR="002F2133" w:rsidRPr="001D200B" w:rsidRDefault="002F2133" w:rsidP="00F006D6">
            <w:pPr>
              <w:spacing w:before="0" w:after="0"/>
              <w:rPr>
                <w:b/>
              </w:rPr>
            </w:pPr>
            <w:r w:rsidRPr="001D200B">
              <w:rPr>
                <w:b/>
              </w:rPr>
              <w:t>RAZEM</w:t>
            </w:r>
          </w:p>
        </w:tc>
        <w:tc>
          <w:tcPr>
            <w:tcW w:w="2268" w:type="dxa"/>
            <w:vAlign w:val="center"/>
          </w:tcPr>
          <w:p w:rsidR="002F2133" w:rsidRPr="001D200B" w:rsidRDefault="00362E02" w:rsidP="00F006D6">
            <w:pPr>
              <w:spacing w:before="0" w:after="0"/>
              <w:jc w:val="center"/>
              <w:rPr>
                <w:b/>
              </w:rPr>
            </w:pPr>
            <w:r w:rsidRPr="001D200B">
              <w:rPr>
                <w:b/>
              </w:rPr>
              <w:t>43,1</w:t>
            </w:r>
          </w:p>
        </w:tc>
      </w:tr>
    </w:tbl>
    <w:p w:rsidR="00362E02" w:rsidRPr="001D200B" w:rsidRDefault="00362E02" w:rsidP="00362E02">
      <w:pPr>
        <w:rPr>
          <w:rFonts w:cstheme="minorHAnsi"/>
        </w:rPr>
      </w:pPr>
      <w:r w:rsidRPr="001D200B">
        <w:t xml:space="preserve">Roczne zużycie energii określono na poziomie </w:t>
      </w:r>
      <w:r w:rsidRPr="001D200B">
        <w:rPr>
          <w:b/>
        </w:rPr>
        <w:t>311,0 TJ</w:t>
      </w:r>
      <w:r w:rsidRPr="001D200B">
        <w:t>.</w:t>
      </w:r>
    </w:p>
    <w:p w:rsidR="00BA2983" w:rsidRPr="001D200B" w:rsidRDefault="00362E02" w:rsidP="0012422D">
      <w:r w:rsidRPr="001D200B">
        <w:t>Zapotrzebowanie ciepła na cele grzewcze i c.w.u.</w:t>
      </w:r>
    </w:p>
    <w:tbl>
      <w:tblPr>
        <w:tblW w:w="601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7"/>
        <w:gridCol w:w="2700"/>
      </w:tblGrid>
      <w:tr w:rsidR="00362E02" w:rsidRPr="001D200B" w:rsidTr="00F006D6">
        <w:tc>
          <w:tcPr>
            <w:tcW w:w="3317" w:type="dxa"/>
            <w:shd w:val="clear" w:color="auto" w:fill="F2F2F2" w:themeFill="background1" w:themeFillShade="F2"/>
          </w:tcPr>
          <w:p w:rsidR="00362E02" w:rsidRPr="001D200B" w:rsidRDefault="00362E02" w:rsidP="00F006D6">
            <w:pPr>
              <w:spacing w:before="0" w:after="0"/>
              <w:jc w:val="center"/>
              <w:rPr>
                <w:b/>
              </w:rPr>
            </w:pPr>
            <w:r w:rsidRPr="001D200B">
              <w:rPr>
                <w:b/>
              </w:rPr>
              <w:t>Wyszczególnienie:</w:t>
            </w:r>
          </w:p>
        </w:tc>
        <w:tc>
          <w:tcPr>
            <w:tcW w:w="2700" w:type="dxa"/>
            <w:shd w:val="clear" w:color="auto" w:fill="F2F2F2" w:themeFill="background1" w:themeFillShade="F2"/>
          </w:tcPr>
          <w:p w:rsidR="00362E02" w:rsidRPr="001D200B" w:rsidRDefault="00362E02" w:rsidP="00F006D6">
            <w:pPr>
              <w:spacing w:before="0" w:after="0"/>
              <w:jc w:val="center"/>
              <w:rPr>
                <w:b/>
              </w:rPr>
            </w:pPr>
            <w:r w:rsidRPr="001D200B">
              <w:rPr>
                <w:b/>
              </w:rPr>
              <w:t>(TJ/a)</w:t>
            </w:r>
          </w:p>
        </w:tc>
      </w:tr>
      <w:tr w:rsidR="00362E02" w:rsidRPr="001D200B" w:rsidTr="00F006D6">
        <w:tc>
          <w:tcPr>
            <w:tcW w:w="3317" w:type="dxa"/>
            <w:shd w:val="clear" w:color="auto" w:fill="F2F2F2" w:themeFill="background1" w:themeFillShade="F2"/>
          </w:tcPr>
          <w:p w:rsidR="00362E02" w:rsidRPr="001D200B" w:rsidRDefault="00362E02" w:rsidP="00F006D6">
            <w:pPr>
              <w:spacing w:before="0" w:after="0"/>
              <w:jc w:val="right"/>
              <w:rPr>
                <w:b/>
              </w:rPr>
            </w:pPr>
            <w:r w:rsidRPr="001D200B">
              <w:rPr>
                <w:b/>
              </w:rPr>
              <w:t xml:space="preserve">C.O. ogółem: </w:t>
            </w:r>
          </w:p>
        </w:tc>
        <w:tc>
          <w:tcPr>
            <w:tcW w:w="2700" w:type="dxa"/>
            <w:shd w:val="clear" w:color="auto" w:fill="F2F2F2" w:themeFill="background1" w:themeFillShade="F2"/>
          </w:tcPr>
          <w:p w:rsidR="00362E02" w:rsidRPr="001D200B" w:rsidRDefault="00362E02" w:rsidP="00F006D6">
            <w:pPr>
              <w:spacing w:before="0" w:after="0"/>
              <w:jc w:val="center"/>
              <w:rPr>
                <w:b/>
              </w:rPr>
            </w:pPr>
            <w:r w:rsidRPr="001D200B">
              <w:rPr>
                <w:b/>
              </w:rPr>
              <w:t>265,4</w:t>
            </w:r>
          </w:p>
        </w:tc>
      </w:tr>
      <w:tr w:rsidR="00362E02" w:rsidRPr="001D200B" w:rsidTr="00F006D6">
        <w:tc>
          <w:tcPr>
            <w:tcW w:w="3317" w:type="dxa"/>
          </w:tcPr>
          <w:p w:rsidR="00362E02" w:rsidRPr="001D200B" w:rsidRDefault="00362E02" w:rsidP="00F006D6">
            <w:pPr>
              <w:spacing w:before="0" w:after="0"/>
            </w:pPr>
            <w:r w:rsidRPr="001D200B">
              <w:t>budynki mieszkalne:</w:t>
            </w:r>
          </w:p>
        </w:tc>
        <w:tc>
          <w:tcPr>
            <w:tcW w:w="2700" w:type="dxa"/>
          </w:tcPr>
          <w:p w:rsidR="00362E02" w:rsidRPr="001D200B" w:rsidRDefault="00362E02" w:rsidP="00F006D6">
            <w:pPr>
              <w:spacing w:before="0" w:after="0"/>
              <w:jc w:val="center"/>
            </w:pPr>
            <w:r w:rsidRPr="001D200B">
              <w:t>155,0</w:t>
            </w:r>
          </w:p>
        </w:tc>
      </w:tr>
      <w:tr w:rsidR="00362E02" w:rsidRPr="001D200B" w:rsidTr="00F006D6">
        <w:tc>
          <w:tcPr>
            <w:tcW w:w="3317" w:type="dxa"/>
          </w:tcPr>
          <w:p w:rsidR="00362E02" w:rsidRPr="001D200B" w:rsidRDefault="00362E02" w:rsidP="00F006D6">
            <w:pPr>
              <w:spacing w:before="0" w:after="0"/>
            </w:pPr>
            <w:r w:rsidRPr="001D200B">
              <w:t>budynki niemieszkalne:</w:t>
            </w:r>
          </w:p>
        </w:tc>
        <w:tc>
          <w:tcPr>
            <w:tcW w:w="2700" w:type="dxa"/>
          </w:tcPr>
          <w:p w:rsidR="00362E02" w:rsidRPr="001D200B" w:rsidRDefault="00362E02" w:rsidP="00F006D6">
            <w:pPr>
              <w:spacing w:before="0" w:after="0"/>
              <w:jc w:val="center"/>
            </w:pPr>
            <w:r w:rsidRPr="001D200B">
              <w:t>110,4</w:t>
            </w:r>
          </w:p>
        </w:tc>
      </w:tr>
      <w:tr w:rsidR="00362E02" w:rsidRPr="001D200B" w:rsidTr="00F006D6">
        <w:tc>
          <w:tcPr>
            <w:tcW w:w="3317" w:type="dxa"/>
            <w:shd w:val="clear" w:color="auto" w:fill="F2F2F2" w:themeFill="background1" w:themeFillShade="F2"/>
          </w:tcPr>
          <w:p w:rsidR="00362E02" w:rsidRPr="001D200B" w:rsidRDefault="00362E02" w:rsidP="00F006D6">
            <w:pPr>
              <w:spacing w:before="0" w:after="0"/>
              <w:jc w:val="right"/>
              <w:rPr>
                <w:b/>
              </w:rPr>
            </w:pPr>
            <w:r w:rsidRPr="001D200B">
              <w:rPr>
                <w:b/>
              </w:rPr>
              <w:t>C.W.U. ogółem:</w:t>
            </w:r>
          </w:p>
        </w:tc>
        <w:tc>
          <w:tcPr>
            <w:tcW w:w="2700" w:type="dxa"/>
            <w:shd w:val="clear" w:color="auto" w:fill="F2F2F2" w:themeFill="background1" w:themeFillShade="F2"/>
          </w:tcPr>
          <w:p w:rsidR="00362E02" w:rsidRPr="001D200B" w:rsidRDefault="00362E02" w:rsidP="00F006D6">
            <w:pPr>
              <w:spacing w:before="0" w:after="0"/>
              <w:jc w:val="center"/>
              <w:rPr>
                <w:b/>
              </w:rPr>
            </w:pPr>
            <w:r w:rsidRPr="001D200B">
              <w:rPr>
                <w:b/>
              </w:rPr>
              <w:t>45,6</w:t>
            </w:r>
          </w:p>
        </w:tc>
      </w:tr>
      <w:tr w:rsidR="00362E02" w:rsidRPr="001D200B" w:rsidTr="00F006D6">
        <w:tc>
          <w:tcPr>
            <w:tcW w:w="3317" w:type="dxa"/>
          </w:tcPr>
          <w:p w:rsidR="00362E02" w:rsidRPr="001D200B" w:rsidRDefault="00362E02" w:rsidP="00F006D6">
            <w:pPr>
              <w:spacing w:before="0" w:after="0"/>
            </w:pPr>
            <w:r w:rsidRPr="001D200B">
              <w:t>budynki mieszkalne:</w:t>
            </w:r>
          </w:p>
        </w:tc>
        <w:tc>
          <w:tcPr>
            <w:tcW w:w="2700" w:type="dxa"/>
          </w:tcPr>
          <w:p w:rsidR="00362E02" w:rsidRPr="001D200B" w:rsidRDefault="00362E02" w:rsidP="00F006D6">
            <w:pPr>
              <w:spacing w:before="0" w:after="0"/>
              <w:jc w:val="center"/>
            </w:pPr>
            <w:r w:rsidRPr="001D200B">
              <w:t>34,1</w:t>
            </w:r>
          </w:p>
        </w:tc>
      </w:tr>
      <w:tr w:rsidR="00362E02" w:rsidRPr="001D200B" w:rsidTr="00F006D6">
        <w:tc>
          <w:tcPr>
            <w:tcW w:w="3317" w:type="dxa"/>
          </w:tcPr>
          <w:p w:rsidR="00362E02" w:rsidRPr="001D200B" w:rsidRDefault="00362E02" w:rsidP="00F006D6">
            <w:pPr>
              <w:spacing w:before="0" w:after="0"/>
            </w:pPr>
            <w:r w:rsidRPr="001D200B">
              <w:t>budynki niemieszkalne:</w:t>
            </w:r>
          </w:p>
        </w:tc>
        <w:tc>
          <w:tcPr>
            <w:tcW w:w="2700" w:type="dxa"/>
          </w:tcPr>
          <w:p w:rsidR="00362E02" w:rsidRPr="001D200B" w:rsidRDefault="00362E02" w:rsidP="00F006D6">
            <w:pPr>
              <w:spacing w:before="0" w:after="0"/>
              <w:jc w:val="center"/>
            </w:pPr>
            <w:r w:rsidRPr="001D200B">
              <w:t>11,5</w:t>
            </w:r>
          </w:p>
        </w:tc>
      </w:tr>
      <w:tr w:rsidR="00362E02" w:rsidRPr="001D200B" w:rsidTr="00F006D6">
        <w:tc>
          <w:tcPr>
            <w:tcW w:w="3317" w:type="dxa"/>
            <w:shd w:val="clear" w:color="auto" w:fill="F2F2F2" w:themeFill="background1" w:themeFillShade="F2"/>
          </w:tcPr>
          <w:p w:rsidR="00362E02" w:rsidRPr="001D200B" w:rsidRDefault="00362E02" w:rsidP="00F006D6">
            <w:pPr>
              <w:spacing w:before="0" w:after="0"/>
              <w:jc w:val="right"/>
              <w:rPr>
                <w:b/>
              </w:rPr>
            </w:pPr>
            <w:r w:rsidRPr="001D200B">
              <w:rPr>
                <w:b/>
              </w:rPr>
              <w:t>RAZEM</w:t>
            </w:r>
          </w:p>
        </w:tc>
        <w:tc>
          <w:tcPr>
            <w:tcW w:w="2700" w:type="dxa"/>
            <w:shd w:val="clear" w:color="auto" w:fill="F2F2F2" w:themeFill="background1" w:themeFillShade="F2"/>
          </w:tcPr>
          <w:p w:rsidR="00362E02" w:rsidRPr="001D200B" w:rsidRDefault="00362E02" w:rsidP="00F006D6">
            <w:pPr>
              <w:spacing w:before="0" w:after="0"/>
              <w:jc w:val="center"/>
              <w:rPr>
                <w:b/>
              </w:rPr>
            </w:pPr>
            <w:r w:rsidRPr="001D200B">
              <w:rPr>
                <w:b/>
              </w:rPr>
              <w:t>311,0</w:t>
            </w:r>
          </w:p>
        </w:tc>
      </w:tr>
    </w:tbl>
    <w:p w:rsidR="00423376" w:rsidRPr="001D200B" w:rsidRDefault="00423376" w:rsidP="00423376">
      <w:pPr>
        <w:pStyle w:val="Nagwek2"/>
        <w:rPr>
          <w:rFonts w:cstheme="minorHAnsi"/>
        </w:rPr>
      </w:pPr>
      <w:bookmarkStart w:id="43" w:name="_Toc31972821"/>
      <w:r w:rsidRPr="001D200B">
        <w:rPr>
          <w:rFonts w:cstheme="minorHAnsi"/>
        </w:rPr>
        <w:t>2. Ocena stanu obecnego. Cele podstawowe</w:t>
      </w:r>
      <w:bookmarkEnd w:id="43"/>
    </w:p>
    <w:p w:rsidR="00AC4251" w:rsidRPr="001D200B" w:rsidRDefault="00CC3790" w:rsidP="00CC3790">
      <w:pPr>
        <w:pStyle w:val="Tytu"/>
        <w:rPr>
          <w:rFonts w:cstheme="minorHAnsi"/>
          <w:b/>
        </w:rPr>
      </w:pPr>
      <w:bookmarkStart w:id="44" w:name="_Toc39476568"/>
      <w:r w:rsidRPr="001D200B">
        <w:rPr>
          <w:rFonts w:cstheme="minorHAnsi"/>
          <w:b/>
        </w:rPr>
        <w:t xml:space="preserve">Tabela </w:t>
      </w:r>
      <w:r w:rsidR="005B7234" w:rsidRPr="001D200B">
        <w:rPr>
          <w:rFonts w:cstheme="minorHAnsi"/>
          <w:b/>
        </w:rPr>
        <w:fldChar w:fldCharType="begin"/>
      </w:r>
      <w:r w:rsidR="00F200FE" w:rsidRPr="001D200B">
        <w:rPr>
          <w:rFonts w:cstheme="minorHAnsi"/>
          <w:b/>
        </w:rPr>
        <w:instrText xml:space="preserve"> SEQ Tabela \* ARABIC </w:instrText>
      </w:r>
      <w:r w:rsidR="005B7234" w:rsidRPr="001D200B">
        <w:rPr>
          <w:rFonts w:cstheme="minorHAnsi"/>
          <w:b/>
        </w:rPr>
        <w:fldChar w:fldCharType="separate"/>
      </w:r>
      <w:r w:rsidR="00975320" w:rsidRPr="001D200B">
        <w:rPr>
          <w:rFonts w:cstheme="minorHAnsi"/>
          <w:b/>
          <w:noProof/>
        </w:rPr>
        <w:t>16</w:t>
      </w:r>
      <w:r w:rsidR="005B7234" w:rsidRPr="001D200B">
        <w:rPr>
          <w:rFonts w:cstheme="minorHAnsi"/>
          <w:b/>
        </w:rPr>
        <w:fldChar w:fldCharType="end"/>
      </w:r>
      <w:r w:rsidRPr="001D200B">
        <w:rPr>
          <w:rFonts w:cstheme="minorHAnsi"/>
          <w:b/>
        </w:rPr>
        <w:t xml:space="preserve">. </w:t>
      </w:r>
      <w:r w:rsidR="00AC4251" w:rsidRPr="001D200B">
        <w:rPr>
          <w:rFonts w:cstheme="minorHAnsi"/>
          <w:b/>
        </w:rPr>
        <w:t xml:space="preserve">Ocena stanu obecnego </w:t>
      </w:r>
      <w:r w:rsidRPr="001D200B">
        <w:rPr>
          <w:rFonts w:cstheme="minorHAnsi"/>
          <w:b/>
        </w:rPr>
        <w:t xml:space="preserve">zaopatrzenia w ciepło </w:t>
      </w:r>
      <w:r w:rsidR="00AC4251" w:rsidRPr="001D200B">
        <w:rPr>
          <w:rFonts w:cstheme="minorHAnsi"/>
          <w:b/>
        </w:rPr>
        <w:t>na terenie gminy Połaniec</w:t>
      </w:r>
      <w:bookmarkEnd w:id="44"/>
      <w:r w:rsidR="00AC4251" w:rsidRPr="001D200B">
        <w:rPr>
          <w:rFonts w:cstheme="minorHAnsi"/>
          <w:b/>
        </w:rPr>
        <w:t xml:space="preserve"> </w:t>
      </w:r>
    </w:p>
    <w:tbl>
      <w:tblPr>
        <w:tblW w:w="0" w:type="auto"/>
        <w:tblBorders>
          <w:top w:val="single" w:sz="4" w:space="0" w:color="000000"/>
          <w:bottom w:val="single" w:sz="4" w:space="0" w:color="000000"/>
          <w:insideH w:val="single" w:sz="4" w:space="0" w:color="000000"/>
          <w:insideV w:val="single" w:sz="4" w:space="0" w:color="000000"/>
        </w:tblBorders>
        <w:tblLook w:val="04A0"/>
      </w:tblPr>
      <w:tblGrid>
        <w:gridCol w:w="9210"/>
      </w:tblGrid>
      <w:tr w:rsidR="00F32174" w:rsidRPr="001D200B" w:rsidTr="00F54953">
        <w:trPr>
          <w:trHeight w:hRule="exact" w:val="374"/>
        </w:trPr>
        <w:tc>
          <w:tcPr>
            <w:tcW w:w="9210" w:type="dxa"/>
            <w:shd w:val="clear" w:color="auto" w:fill="F2F2F2" w:themeFill="background1" w:themeFillShade="F2"/>
          </w:tcPr>
          <w:p w:rsidR="00F32174" w:rsidRPr="001D200B" w:rsidRDefault="00F32174" w:rsidP="00F54953">
            <w:pPr>
              <w:spacing w:before="0" w:after="0" w:line="240" w:lineRule="auto"/>
              <w:jc w:val="left"/>
              <w:rPr>
                <w:b/>
              </w:rPr>
            </w:pPr>
            <w:r w:rsidRPr="001D200B">
              <w:rPr>
                <w:b/>
              </w:rPr>
              <w:t>Ocena pozytywna</w:t>
            </w:r>
          </w:p>
        </w:tc>
      </w:tr>
    </w:tbl>
    <w:p w:rsidR="00F32174" w:rsidRPr="001D200B" w:rsidRDefault="00F32174" w:rsidP="00412E46">
      <w:pPr>
        <w:pStyle w:val="Akapitzlist"/>
        <w:numPr>
          <w:ilvl w:val="0"/>
          <w:numId w:val="30"/>
        </w:numPr>
      </w:pPr>
      <w:r w:rsidRPr="001D200B">
        <w:t xml:space="preserve">Centralny system zasilania miasta w energię cieplną z rezerwą mocy i przepustowością sieci </w:t>
      </w:r>
    </w:p>
    <w:p w:rsidR="00F32174" w:rsidRPr="001D200B" w:rsidRDefault="00F32174" w:rsidP="00412E46">
      <w:pPr>
        <w:pStyle w:val="Akapitzlist"/>
        <w:numPr>
          <w:ilvl w:val="0"/>
          <w:numId w:val="30"/>
        </w:numPr>
      </w:pPr>
      <w:r w:rsidRPr="001D200B">
        <w:t xml:space="preserve">Dobry stan techniczny i pewne źródło energii po stronie członu ciepłowniczego Elektrowni w Połańcu </w:t>
      </w:r>
    </w:p>
    <w:p w:rsidR="00F32174" w:rsidRPr="001D200B" w:rsidRDefault="00F32174" w:rsidP="00412E46">
      <w:pPr>
        <w:pStyle w:val="Akapitzlist"/>
        <w:numPr>
          <w:ilvl w:val="0"/>
          <w:numId w:val="30"/>
        </w:numPr>
      </w:pPr>
      <w:r w:rsidRPr="001D200B">
        <w:t>Warunki techniczne umożliwiające rozbudowę sieci i podłączenie nowych odbiorców</w:t>
      </w:r>
    </w:p>
    <w:p w:rsidR="00F32174" w:rsidRPr="001D200B" w:rsidRDefault="00F32174" w:rsidP="00412E46">
      <w:pPr>
        <w:pStyle w:val="Akapitzlist"/>
        <w:numPr>
          <w:ilvl w:val="0"/>
          <w:numId w:val="30"/>
        </w:numPr>
      </w:pPr>
      <w:r w:rsidRPr="001D200B">
        <w:t>Stopniowe przeprowadzanie inwestycji polegających na termomodernizacji budynków – racjonalizacja potrzeb cieplnych</w:t>
      </w:r>
    </w:p>
    <w:p w:rsidR="00F32174" w:rsidRPr="001D200B" w:rsidRDefault="00F32174" w:rsidP="00412E46">
      <w:pPr>
        <w:pStyle w:val="Akapitzlist"/>
        <w:numPr>
          <w:ilvl w:val="0"/>
          <w:numId w:val="30"/>
        </w:numPr>
      </w:pPr>
      <w:r w:rsidRPr="001D200B">
        <w:t>Zaspokojenie potrzeb odbiorców w zakresie dostępności paliw – bezpieczeństwo energetyczne</w:t>
      </w:r>
    </w:p>
    <w:p w:rsidR="00F32174" w:rsidRPr="001D200B" w:rsidRDefault="00F32174" w:rsidP="00412E46">
      <w:pPr>
        <w:pStyle w:val="Akapitzlist"/>
        <w:numPr>
          <w:ilvl w:val="0"/>
          <w:numId w:val="30"/>
        </w:numPr>
      </w:pPr>
      <w:r w:rsidRPr="001D200B">
        <w:t xml:space="preserve">Montaż instalacji OZE </w:t>
      </w:r>
      <w:r w:rsidR="00EF4AB2" w:rsidRPr="001D200B">
        <w:t xml:space="preserve">w zabudowie prywatnej </w:t>
      </w:r>
      <w:r w:rsidRPr="001D200B">
        <w:t>(głównie kolektory słoneczne) dla potrzeb pozyskania energii cieplnej</w:t>
      </w:r>
    </w:p>
    <w:p w:rsidR="009B7413" w:rsidRPr="001D200B" w:rsidRDefault="009B7413">
      <w:pPr>
        <w:spacing w:before="0" w:after="0" w:line="240" w:lineRule="auto"/>
        <w:jc w:val="left"/>
        <w:rPr>
          <w:rFonts w:eastAsia="Calibri"/>
        </w:rPr>
      </w:pPr>
      <w:r w:rsidRPr="001D200B">
        <w:br w:type="page"/>
      </w:r>
    </w:p>
    <w:tbl>
      <w:tblPr>
        <w:tblW w:w="0" w:type="auto"/>
        <w:tblBorders>
          <w:top w:val="single" w:sz="4" w:space="0" w:color="000000"/>
          <w:bottom w:val="single" w:sz="4" w:space="0" w:color="000000"/>
          <w:insideH w:val="single" w:sz="4" w:space="0" w:color="000000"/>
          <w:insideV w:val="single" w:sz="4" w:space="0" w:color="000000"/>
        </w:tblBorders>
        <w:tblLook w:val="04A0"/>
      </w:tblPr>
      <w:tblGrid>
        <w:gridCol w:w="9210"/>
      </w:tblGrid>
      <w:tr w:rsidR="00F32174" w:rsidRPr="001D200B" w:rsidTr="00F54953">
        <w:trPr>
          <w:trHeight w:hRule="exact" w:val="374"/>
        </w:trPr>
        <w:tc>
          <w:tcPr>
            <w:tcW w:w="9210" w:type="dxa"/>
            <w:shd w:val="clear" w:color="auto" w:fill="F2F2F2" w:themeFill="background1" w:themeFillShade="F2"/>
          </w:tcPr>
          <w:p w:rsidR="00F32174" w:rsidRPr="001D200B" w:rsidRDefault="00F32174" w:rsidP="00F54953">
            <w:pPr>
              <w:spacing w:before="0" w:after="0" w:line="240" w:lineRule="auto"/>
              <w:rPr>
                <w:b/>
              </w:rPr>
            </w:pPr>
            <w:r w:rsidRPr="001D200B">
              <w:rPr>
                <w:b/>
              </w:rPr>
              <w:lastRenderedPageBreak/>
              <w:t>Ocena negatywna</w:t>
            </w:r>
          </w:p>
        </w:tc>
      </w:tr>
      <w:tr w:rsidR="00F32174" w:rsidRPr="001D200B" w:rsidTr="00F54953">
        <w:tc>
          <w:tcPr>
            <w:tcW w:w="9210" w:type="dxa"/>
          </w:tcPr>
          <w:p w:rsidR="00F32174" w:rsidRPr="001D200B" w:rsidRDefault="00F32174" w:rsidP="00412E46">
            <w:pPr>
              <w:pStyle w:val="Akapitzlist"/>
              <w:numPr>
                <w:ilvl w:val="0"/>
                <w:numId w:val="30"/>
              </w:numPr>
            </w:pPr>
            <w:r w:rsidRPr="001D200B">
              <w:t>Obecność sieci ciepłowniczych o</w:t>
            </w:r>
            <w:r w:rsidR="00D64E55" w:rsidRPr="001D200B">
              <w:t xml:space="preserve"> </w:t>
            </w:r>
            <w:r w:rsidRPr="001D200B">
              <w:t>zaniżonej izolacyjności i długim okresie eksploatacji</w:t>
            </w:r>
          </w:p>
          <w:p w:rsidR="00EF4AB2" w:rsidRPr="001D200B" w:rsidRDefault="00EF4AB2" w:rsidP="00412E46">
            <w:pPr>
              <w:pStyle w:val="Akapitzlist"/>
              <w:numPr>
                <w:ilvl w:val="0"/>
                <w:numId w:val="30"/>
              </w:numPr>
            </w:pPr>
            <w:r w:rsidRPr="001D200B">
              <w:t>Straty na przesyle energii cieplnej</w:t>
            </w:r>
          </w:p>
          <w:p w:rsidR="00F32174" w:rsidRPr="001D200B" w:rsidRDefault="00F32174" w:rsidP="00412E46">
            <w:pPr>
              <w:pStyle w:val="Akapitzlist"/>
              <w:numPr>
                <w:ilvl w:val="0"/>
                <w:numId w:val="30"/>
              </w:numPr>
            </w:pPr>
            <w:r w:rsidRPr="001D200B">
              <w:t>Tradycyjne źródła ciepła o niskiej sprawności bazujące na węglu i</w:t>
            </w:r>
            <w:r w:rsidR="00D64E55" w:rsidRPr="001D200B">
              <w:t xml:space="preserve"> </w:t>
            </w:r>
            <w:r w:rsidRPr="001D200B">
              <w:t xml:space="preserve">produktach węglopochodnych – dominujące w zabudowie jednorodzinnej i zagrodowej </w:t>
            </w:r>
          </w:p>
          <w:p w:rsidR="00F32174" w:rsidRPr="001D200B" w:rsidRDefault="00F32174" w:rsidP="00412E46">
            <w:pPr>
              <w:pStyle w:val="Akapitzlist"/>
              <w:numPr>
                <w:ilvl w:val="0"/>
                <w:numId w:val="30"/>
              </w:numPr>
            </w:pPr>
            <w:r w:rsidRPr="001D200B">
              <w:t xml:space="preserve">Ograniczenia finansowe dla unowocześniania domowych systemów grzewczych i ocieplania budynków </w:t>
            </w:r>
          </w:p>
        </w:tc>
      </w:tr>
      <w:tr w:rsidR="00F32174" w:rsidRPr="001D200B" w:rsidTr="00F54953">
        <w:trPr>
          <w:trHeight w:hRule="exact" w:val="374"/>
        </w:trPr>
        <w:tc>
          <w:tcPr>
            <w:tcW w:w="9210" w:type="dxa"/>
            <w:tcBorders>
              <w:top w:val="single" w:sz="4" w:space="0" w:color="000000"/>
              <w:bottom w:val="single" w:sz="4" w:space="0" w:color="000000"/>
            </w:tcBorders>
            <w:shd w:val="clear" w:color="auto" w:fill="F2F2F2" w:themeFill="background1" w:themeFillShade="F2"/>
          </w:tcPr>
          <w:p w:rsidR="00F32174" w:rsidRPr="001D200B" w:rsidRDefault="00F32174" w:rsidP="00F54953">
            <w:pPr>
              <w:spacing w:before="0" w:after="0" w:line="240" w:lineRule="auto"/>
              <w:rPr>
                <w:b/>
              </w:rPr>
            </w:pPr>
            <w:r w:rsidRPr="001D200B">
              <w:rPr>
                <w:b/>
              </w:rPr>
              <w:t>Oczekiwane wsparcie</w:t>
            </w:r>
          </w:p>
        </w:tc>
      </w:tr>
      <w:tr w:rsidR="00F32174" w:rsidRPr="001D200B" w:rsidTr="00F54953">
        <w:tc>
          <w:tcPr>
            <w:tcW w:w="9210" w:type="dxa"/>
            <w:tcBorders>
              <w:top w:val="single" w:sz="4" w:space="0" w:color="000000"/>
              <w:bottom w:val="single" w:sz="4" w:space="0" w:color="000000"/>
            </w:tcBorders>
            <w:shd w:val="clear" w:color="auto" w:fill="auto"/>
          </w:tcPr>
          <w:p w:rsidR="00F32174" w:rsidRPr="001D200B" w:rsidRDefault="0027655B" w:rsidP="00412E46">
            <w:pPr>
              <w:pStyle w:val="Akapitzlist"/>
              <w:numPr>
                <w:ilvl w:val="0"/>
                <w:numId w:val="30"/>
              </w:numPr>
            </w:pPr>
            <w:r w:rsidRPr="001D200B">
              <w:t>Podłączenie do sieci ciepłowniczej nowych odbiorców</w:t>
            </w:r>
          </w:p>
          <w:p w:rsidR="00A05693" w:rsidRPr="001D200B" w:rsidRDefault="00A05693" w:rsidP="00412E46">
            <w:pPr>
              <w:pStyle w:val="Akapitzlist"/>
              <w:numPr>
                <w:ilvl w:val="0"/>
                <w:numId w:val="30"/>
              </w:numPr>
            </w:pPr>
            <w:r w:rsidRPr="001D200B">
              <w:t>Poprawa efektywności przesyłu i dystrybucji ciepła</w:t>
            </w:r>
          </w:p>
          <w:p w:rsidR="0027655B" w:rsidRPr="001D200B" w:rsidRDefault="0027655B" w:rsidP="00412E46">
            <w:pPr>
              <w:pStyle w:val="Akapitzlist"/>
              <w:numPr>
                <w:ilvl w:val="0"/>
                <w:numId w:val="30"/>
              </w:numPr>
            </w:pPr>
            <w:r w:rsidRPr="001D200B">
              <w:t xml:space="preserve">Wymiana tradycyjnych węglowych źródeł ciepła na źródła niskoemisyjne  </w:t>
            </w:r>
          </w:p>
          <w:p w:rsidR="0027655B" w:rsidRPr="001D200B" w:rsidRDefault="00A05693" w:rsidP="00412E46">
            <w:pPr>
              <w:pStyle w:val="Akapitzlist"/>
              <w:numPr>
                <w:ilvl w:val="0"/>
                <w:numId w:val="30"/>
              </w:numPr>
            </w:pPr>
            <w:r w:rsidRPr="001D200B">
              <w:t>Popularyzacja wśród mieszkańców programu „czyste powietrze”</w:t>
            </w:r>
          </w:p>
          <w:p w:rsidR="00A05693" w:rsidRPr="001D200B" w:rsidRDefault="00A05693" w:rsidP="00412E46">
            <w:pPr>
              <w:pStyle w:val="Akapitzlist"/>
              <w:numPr>
                <w:ilvl w:val="0"/>
                <w:numId w:val="30"/>
              </w:numPr>
            </w:pPr>
            <w:r w:rsidRPr="001D200B">
              <w:t>Rozwój odnawialnych źródeł energii w oparciu o lokalne zasoby</w:t>
            </w:r>
          </w:p>
          <w:p w:rsidR="00A05693" w:rsidRPr="001D200B" w:rsidRDefault="00A05693" w:rsidP="00412E46">
            <w:pPr>
              <w:pStyle w:val="Akapitzlist"/>
              <w:numPr>
                <w:ilvl w:val="0"/>
                <w:numId w:val="30"/>
              </w:numPr>
            </w:pPr>
            <w:r w:rsidRPr="001D200B">
              <w:t>Rozbudowa sieci gazu ziemnego</w:t>
            </w:r>
          </w:p>
          <w:p w:rsidR="00A05693" w:rsidRPr="001D200B" w:rsidRDefault="00A05693" w:rsidP="00412E46">
            <w:pPr>
              <w:pStyle w:val="Akapitzlist"/>
              <w:numPr>
                <w:ilvl w:val="0"/>
                <w:numId w:val="30"/>
              </w:numPr>
            </w:pPr>
            <w:r w:rsidRPr="001D200B">
              <w:t>Wzrost świadomości ekologicznej mieszkańców</w:t>
            </w:r>
          </w:p>
        </w:tc>
      </w:tr>
      <w:tr w:rsidR="00F32174" w:rsidRPr="001D200B" w:rsidTr="00F54953">
        <w:tc>
          <w:tcPr>
            <w:tcW w:w="9210" w:type="dxa"/>
            <w:tcBorders>
              <w:top w:val="single" w:sz="4" w:space="0" w:color="000000"/>
              <w:bottom w:val="single" w:sz="4" w:space="0" w:color="000000"/>
            </w:tcBorders>
            <w:shd w:val="clear" w:color="auto" w:fill="F2F2F2" w:themeFill="background1" w:themeFillShade="F2"/>
          </w:tcPr>
          <w:p w:rsidR="00F32174" w:rsidRPr="001D200B" w:rsidRDefault="00F32174" w:rsidP="00F54953">
            <w:pPr>
              <w:spacing w:before="0" w:after="0" w:line="240" w:lineRule="auto"/>
              <w:rPr>
                <w:b/>
              </w:rPr>
            </w:pPr>
            <w:r w:rsidRPr="001D200B">
              <w:rPr>
                <w:b/>
              </w:rPr>
              <w:t>Czynniki hamujące rozwój</w:t>
            </w:r>
          </w:p>
        </w:tc>
      </w:tr>
      <w:tr w:rsidR="00F32174" w:rsidRPr="001D200B" w:rsidTr="00F54953">
        <w:tc>
          <w:tcPr>
            <w:tcW w:w="9210" w:type="dxa"/>
            <w:tcBorders>
              <w:top w:val="single" w:sz="4" w:space="0" w:color="000000"/>
              <w:bottom w:val="single" w:sz="4" w:space="0" w:color="000000"/>
            </w:tcBorders>
            <w:shd w:val="clear" w:color="auto" w:fill="auto"/>
          </w:tcPr>
          <w:p w:rsidR="00F32174" w:rsidRPr="001D200B" w:rsidRDefault="00A05693" w:rsidP="00412E46">
            <w:pPr>
              <w:pStyle w:val="Akapitzlist"/>
              <w:numPr>
                <w:ilvl w:val="0"/>
                <w:numId w:val="30"/>
              </w:numPr>
            </w:pPr>
            <w:r w:rsidRPr="001D200B">
              <w:t>Brak postępu w zakresie modernizacji instalacji grzewczych bazujących na źródłach węglowych oraz ograniczenia strat ciepła poprzez prace termomodernizacyjne</w:t>
            </w:r>
          </w:p>
          <w:p w:rsidR="00A05693" w:rsidRPr="001D200B" w:rsidRDefault="00A05693" w:rsidP="00412E46">
            <w:pPr>
              <w:pStyle w:val="Akapitzlist"/>
              <w:numPr>
                <w:ilvl w:val="0"/>
                <w:numId w:val="30"/>
              </w:numPr>
            </w:pPr>
            <w:r w:rsidRPr="001D200B">
              <w:t>Brak środków na inwestycje w zakresie przebudowy/rozbudowy sieci ciepłowniczej</w:t>
            </w:r>
          </w:p>
          <w:p w:rsidR="00A05693" w:rsidRPr="001D200B" w:rsidRDefault="00A05693" w:rsidP="00412E46">
            <w:pPr>
              <w:pStyle w:val="Akapitzlist"/>
              <w:numPr>
                <w:ilvl w:val="0"/>
                <w:numId w:val="30"/>
              </w:numPr>
            </w:pPr>
            <w:r w:rsidRPr="001D200B">
              <w:t xml:space="preserve">Niski wskaźnik gazyfikacji </w:t>
            </w:r>
          </w:p>
        </w:tc>
      </w:tr>
      <w:tr w:rsidR="00F32174" w:rsidRPr="001D200B" w:rsidTr="00F54953">
        <w:tc>
          <w:tcPr>
            <w:tcW w:w="9210" w:type="dxa"/>
            <w:tcBorders>
              <w:top w:val="single" w:sz="4" w:space="0" w:color="000000"/>
              <w:bottom w:val="single" w:sz="4" w:space="0" w:color="000000"/>
            </w:tcBorders>
            <w:shd w:val="clear" w:color="auto" w:fill="F2F2F2" w:themeFill="background1" w:themeFillShade="F2"/>
          </w:tcPr>
          <w:p w:rsidR="00F32174" w:rsidRPr="001D200B" w:rsidRDefault="00F32174" w:rsidP="009B7413">
            <w:pPr>
              <w:spacing w:before="0" w:after="0" w:line="240" w:lineRule="auto"/>
              <w:rPr>
                <w:b/>
              </w:rPr>
            </w:pPr>
            <w:r w:rsidRPr="001D200B">
              <w:rPr>
                <w:b/>
              </w:rPr>
              <w:t xml:space="preserve">Cele podstawowe w zakresie zaopatrzenia w energię </w:t>
            </w:r>
            <w:r w:rsidR="00A05693" w:rsidRPr="001D200B">
              <w:rPr>
                <w:b/>
              </w:rPr>
              <w:t>cieplną</w:t>
            </w:r>
          </w:p>
        </w:tc>
      </w:tr>
    </w:tbl>
    <w:p w:rsidR="00A05693" w:rsidRPr="001D200B" w:rsidRDefault="00A05693" w:rsidP="00412E46">
      <w:pPr>
        <w:pStyle w:val="Akapitzlist"/>
        <w:numPr>
          <w:ilvl w:val="0"/>
          <w:numId w:val="30"/>
        </w:numPr>
      </w:pPr>
      <w:r w:rsidRPr="001D200B">
        <w:t>Zachowanie bezpieczeństwa i pewności dostaw energii cieplnej</w:t>
      </w:r>
    </w:p>
    <w:p w:rsidR="00A05693" w:rsidRPr="001D200B" w:rsidRDefault="00A05693" w:rsidP="00412E46">
      <w:pPr>
        <w:pStyle w:val="Akapitzlist"/>
        <w:numPr>
          <w:ilvl w:val="0"/>
          <w:numId w:val="30"/>
        </w:numPr>
      </w:pPr>
      <w:r w:rsidRPr="001D200B">
        <w:t>Rozbudowa sieci gazowej w szczególności w obszarach nie objętych zasilaniem sieci cieplnej</w:t>
      </w:r>
    </w:p>
    <w:p w:rsidR="00A05693" w:rsidRPr="001D200B" w:rsidRDefault="00A05693" w:rsidP="00412E46">
      <w:pPr>
        <w:pStyle w:val="Akapitzlist"/>
        <w:numPr>
          <w:ilvl w:val="0"/>
          <w:numId w:val="30"/>
        </w:numPr>
      </w:pPr>
      <w:r w:rsidRPr="001D200B">
        <w:t>Budowa świadomości ekologicznej mieszkańców w zakresie racjonalnego gospodarowania ciepłem, w tym również dążenie do zminimalizowania zanieczyszczeń powietrza atmosferycznego (w postaci pyłów i gazów)</w:t>
      </w:r>
    </w:p>
    <w:p w:rsidR="00A05693" w:rsidRPr="001D200B" w:rsidRDefault="00A05693" w:rsidP="00412E46">
      <w:pPr>
        <w:pStyle w:val="Akapitzlist"/>
        <w:numPr>
          <w:ilvl w:val="0"/>
          <w:numId w:val="30"/>
        </w:numPr>
      </w:pPr>
      <w:r w:rsidRPr="001D200B">
        <w:t>Monitoring możliwości oraz dążenie do pozyskiwania środków współfinansujących inwestycje energetyczne z funduszy zewnętrznych, w tym funduszy UE</w:t>
      </w:r>
    </w:p>
    <w:p w:rsidR="00657C12" w:rsidRPr="001D200B" w:rsidRDefault="00657C12" w:rsidP="00412E46">
      <w:pPr>
        <w:pStyle w:val="Akapitzlist"/>
        <w:numPr>
          <w:ilvl w:val="0"/>
          <w:numId w:val="30"/>
        </w:numPr>
      </w:pPr>
      <w:r w:rsidRPr="001D200B">
        <w:t>Planowanie i stymulowanie rozwoju energetyki odnawialnej</w:t>
      </w:r>
    </w:p>
    <w:p w:rsidR="0026796A" w:rsidRPr="001D200B" w:rsidRDefault="0026796A" w:rsidP="00F36BAA">
      <w:pPr>
        <w:pStyle w:val="Nagwek2"/>
        <w:rPr>
          <w:rFonts w:cstheme="minorHAnsi"/>
        </w:rPr>
      </w:pPr>
      <w:bookmarkStart w:id="45" w:name="_Toc31972822"/>
      <w:r w:rsidRPr="001D200B">
        <w:rPr>
          <w:rFonts w:cstheme="minorHAnsi"/>
        </w:rPr>
        <w:t>3. Zamierzenia inwestycyjne</w:t>
      </w:r>
      <w:bookmarkEnd w:id="45"/>
    </w:p>
    <w:p w:rsidR="00AF6763" w:rsidRPr="001D200B" w:rsidRDefault="00AF6763" w:rsidP="00AF6763">
      <w:r w:rsidRPr="001D200B">
        <w:t>Zadania inwestycyjne z zakresu gospodarki cieplnej na terenie gminy Połaniec dotyczą:</w:t>
      </w:r>
    </w:p>
    <w:p w:rsidR="00AF6763" w:rsidRPr="001D200B" w:rsidRDefault="00AF6763" w:rsidP="00F21741">
      <w:pPr>
        <w:pStyle w:val="Punktatory1"/>
      </w:pPr>
      <w:r w:rsidRPr="001D200B">
        <w:t>modernizacji/przebudowy źródeł ciepła wraz ze zmianą paliw oraz technologii wytwarzania energii</w:t>
      </w:r>
    </w:p>
    <w:p w:rsidR="00AF6763" w:rsidRPr="001D200B" w:rsidRDefault="00AF6763" w:rsidP="00F21741">
      <w:pPr>
        <w:pStyle w:val="Punktatory1"/>
      </w:pPr>
      <w:r w:rsidRPr="001D200B">
        <w:lastRenderedPageBreak/>
        <w:t>modernizacji infrastruktury ciepłowniczej wraz z rozbudową sieci osiedlowych</w:t>
      </w:r>
    </w:p>
    <w:p w:rsidR="00AF6763" w:rsidRPr="001D200B" w:rsidRDefault="00AF6763" w:rsidP="00F21741">
      <w:pPr>
        <w:pStyle w:val="Punktatory1"/>
      </w:pPr>
      <w:r w:rsidRPr="001D200B">
        <w:t xml:space="preserve">modernizacji instalacji centralnego ogrzewania </w:t>
      </w:r>
    </w:p>
    <w:p w:rsidR="00AF6763" w:rsidRPr="001D200B" w:rsidRDefault="00AF6763" w:rsidP="00F21741">
      <w:pPr>
        <w:pStyle w:val="Punktatory1"/>
      </w:pPr>
      <w:r w:rsidRPr="001D200B">
        <w:t>prac z zakresu termomodernizacji budynków (ocieplanie przegród budowlanych, wymiana stolarki okiennej i drzwiowej, modernizacja wewnętrznej instalacji c.o.)</w:t>
      </w:r>
    </w:p>
    <w:p w:rsidR="00AF6763" w:rsidRPr="001D200B" w:rsidRDefault="00AF6763" w:rsidP="00F21741">
      <w:pPr>
        <w:pStyle w:val="Punktatory1"/>
      </w:pPr>
      <w:r w:rsidRPr="001D200B">
        <w:t>pozyskania energii cieplnej za pomocą instalacji odnawialnych źródeł energii</w:t>
      </w:r>
    </w:p>
    <w:p w:rsidR="0084190A" w:rsidRPr="001D200B" w:rsidRDefault="0084190A" w:rsidP="0084190A">
      <w:r w:rsidRPr="001D200B">
        <w:t>Inwestycje w istniejący stan zaopatrzenia w ciepło rozwiązują szereg problemów techniczno – ekonomicznych związanych z eksploatacją budynków oraz problemów z zakresu ochrony środowiska.</w:t>
      </w:r>
    </w:p>
    <w:p w:rsidR="0084190A" w:rsidRPr="001D200B" w:rsidRDefault="00CE0B87" w:rsidP="00D17B4B">
      <w:pPr>
        <w:rPr>
          <w:rFonts w:cstheme="minorHAnsi"/>
          <w:szCs w:val="24"/>
          <w:highlight w:val="yellow"/>
        </w:rPr>
      </w:pPr>
      <w:r w:rsidRPr="001D200B">
        <w:rPr>
          <w:rFonts w:cstheme="minorHAnsi"/>
          <w:szCs w:val="24"/>
        </w:rPr>
        <w:t xml:space="preserve">Według informacji Elektrowni Enea Połaniec S.A. </w:t>
      </w:r>
      <w:r w:rsidR="00D17B4B" w:rsidRPr="001D200B">
        <w:rPr>
          <w:rFonts w:cstheme="minorHAnsi"/>
          <w:szCs w:val="24"/>
        </w:rPr>
        <w:t xml:space="preserve">w </w:t>
      </w:r>
      <w:r w:rsidRPr="001D200B">
        <w:rPr>
          <w:rFonts w:cstheme="minorHAnsi"/>
          <w:szCs w:val="24"/>
        </w:rPr>
        <w:t xml:space="preserve">elektrowni </w:t>
      </w:r>
      <w:r w:rsidR="001419B5" w:rsidRPr="001D200B">
        <w:rPr>
          <w:rFonts w:cstheme="minorHAnsi"/>
          <w:szCs w:val="24"/>
        </w:rPr>
        <w:t xml:space="preserve">w </w:t>
      </w:r>
      <w:r w:rsidR="00D17B4B" w:rsidRPr="001D200B">
        <w:rPr>
          <w:rFonts w:cstheme="minorHAnsi"/>
          <w:szCs w:val="24"/>
        </w:rPr>
        <w:t>sposób ciągły prowadzi inwestycje mające na celu wzrost efektywności wytwarzania energii, w tym w szczególności od 2012 roku realiz</w:t>
      </w:r>
      <w:r w:rsidRPr="001D200B">
        <w:rPr>
          <w:rFonts w:cstheme="minorHAnsi"/>
          <w:szCs w:val="24"/>
        </w:rPr>
        <w:t>owany jest</w:t>
      </w:r>
      <w:r w:rsidR="00D17B4B" w:rsidRPr="001D200B">
        <w:rPr>
          <w:rFonts w:cstheme="minorHAnsi"/>
          <w:szCs w:val="24"/>
        </w:rPr>
        <w:t xml:space="preserve"> projekt Feniks </w:t>
      </w:r>
      <w:r w:rsidR="00D17B4B" w:rsidRPr="001D200B">
        <w:rPr>
          <w:rFonts w:cstheme="minorHAnsi"/>
          <w:szCs w:val="24"/>
          <w:shd w:val="clear" w:color="auto" w:fill="FFFFFF"/>
        </w:rPr>
        <w:t>w ramach którego zwiększono sprawność i</w:t>
      </w:r>
      <w:r w:rsidR="00DF406E" w:rsidRPr="001D200B">
        <w:rPr>
          <w:rFonts w:cstheme="minorHAnsi"/>
          <w:szCs w:val="24"/>
          <w:shd w:val="clear" w:color="auto" w:fill="FFFFFF"/>
        </w:rPr>
        <w:t> </w:t>
      </w:r>
      <w:r w:rsidR="00D17B4B" w:rsidRPr="001D200B">
        <w:rPr>
          <w:rFonts w:cstheme="minorHAnsi"/>
          <w:szCs w:val="24"/>
          <w:shd w:val="clear" w:color="auto" w:fill="FFFFFF"/>
        </w:rPr>
        <w:t>wydłużono żywotność pięciu bloków węglowych elektrowni.</w:t>
      </w:r>
      <w:r w:rsidR="00364131" w:rsidRPr="001D200B">
        <w:rPr>
          <w:rFonts w:cstheme="minorHAnsi"/>
          <w:szCs w:val="24"/>
          <w:shd w:val="clear" w:color="auto" w:fill="FFFFFF"/>
        </w:rPr>
        <w:t xml:space="preserve"> Inwestycje objęły: wymianę części turbin, modernizację generatorów i transformatorów blokowych. </w:t>
      </w:r>
      <w:r w:rsidR="00F54953" w:rsidRPr="001D200B">
        <w:rPr>
          <w:rFonts w:cstheme="minorHAnsi"/>
          <w:szCs w:val="24"/>
          <w:shd w:val="clear" w:color="auto" w:fill="FFFFFF"/>
        </w:rPr>
        <w:t>W bieżących latach Elektrownia będzie realizowała inwestycje mające na celu dostosowanie do wymogów środowiskowych w kontekście spełnienia konkluzji BAT</w:t>
      </w:r>
      <w:r w:rsidR="00294029" w:rsidRPr="001D200B">
        <w:rPr>
          <w:rFonts w:cstheme="minorHAnsi"/>
          <w:szCs w:val="24"/>
          <w:shd w:val="clear" w:color="auto" w:fill="FFFFFF"/>
        </w:rPr>
        <w:t xml:space="preserve">, w tym modernizację Instalacji Odsiarczania Spalin (IOS) wraz z absorberami. </w:t>
      </w:r>
    </w:p>
    <w:p w:rsidR="00CE0B87" w:rsidRPr="001D200B" w:rsidRDefault="00C603E8" w:rsidP="004050AB">
      <w:pPr>
        <w:rPr>
          <w:rFonts w:cstheme="minorHAnsi"/>
          <w:szCs w:val="24"/>
        </w:rPr>
      </w:pPr>
      <w:r w:rsidRPr="001D200B">
        <w:rPr>
          <w:rFonts w:cstheme="minorHAnsi"/>
          <w:szCs w:val="24"/>
        </w:rPr>
        <w:t xml:space="preserve">Przedsięwzięcia modernizacyjno – rozwojowe </w:t>
      </w:r>
      <w:r w:rsidR="00CE0B87" w:rsidRPr="001D200B">
        <w:rPr>
          <w:rFonts w:cstheme="minorHAnsi"/>
          <w:szCs w:val="24"/>
        </w:rPr>
        <w:t xml:space="preserve">przedsiębiorstwa PGK w Połańcu sp. z o.o. </w:t>
      </w:r>
      <w:r w:rsidRPr="001D200B">
        <w:rPr>
          <w:rFonts w:cstheme="minorHAnsi"/>
          <w:szCs w:val="24"/>
        </w:rPr>
        <w:t xml:space="preserve">dotyczą </w:t>
      </w:r>
      <w:r w:rsidR="00CE0B87" w:rsidRPr="001D200B">
        <w:rPr>
          <w:rFonts w:cstheme="minorHAnsi"/>
          <w:szCs w:val="24"/>
        </w:rPr>
        <w:t xml:space="preserve">pierwszoplanowo </w:t>
      </w:r>
      <w:r w:rsidR="0061654E" w:rsidRPr="001D200B">
        <w:rPr>
          <w:rFonts w:cstheme="minorHAnsi"/>
          <w:szCs w:val="24"/>
        </w:rPr>
        <w:t xml:space="preserve">zastępowania sieci kanałowej </w:t>
      </w:r>
      <w:r w:rsidR="00EB7BC7" w:rsidRPr="001D200B">
        <w:rPr>
          <w:rFonts w:cstheme="minorHAnsi"/>
          <w:szCs w:val="24"/>
        </w:rPr>
        <w:t xml:space="preserve">magistrali przesyłowej na </w:t>
      </w:r>
      <w:r w:rsidR="0061654E" w:rsidRPr="001D200B">
        <w:rPr>
          <w:rFonts w:cstheme="minorHAnsi"/>
          <w:szCs w:val="24"/>
        </w:rPr>
        <w:t>sie</w:t>
      </w:r>
      <w:r w:rsidR="00EB7BC7" w:rsidRPr="001D200B">
        <w:rPr>
          <w:rFonts w:cstheme="minorHAnsi"/>
          <w:szCs w:val="24"/>
        </w:rPr>
        <w:t>ć</w:t>
      </w:r>
      <w:r w:rsidR="0061654E" w:rsidRPr="001D200B">
        <w:rPr>
          <w:rFonts w:cstheme="minorHAnsi"/>
          <w:szCs w:val="24"/>
        </w:rPr>
        <w:t xml:space="preserve"> preizolowaną i z uwagi na istniejące straty ciepła na </w:t>
      </w:r>
      <w:r w:rsidR="00EB7BC7" w:rsidRPr="001D200B">
        <w:rPr>
          <w:rFonts w:cstheme="minorHAnsi"/>
          <w:szCs w:val="24"/>
        </w:rPr>
        <w:t>przesyle</w:t>
      </w:r>
      <w:r w:rsidR="0061654E" w:rsidRPr="001D200B">
        <w:rPr>
          <w:rFonts w:cstheme="minorHAnsi"/>
          <w:szCs w:val="24"/>
        </w:rPr>
        <w:t xml:space="preserve"> są inwestycjami najbardziej pożądanymi. </w:t>
      </w:r>
      <w:r w:rsidR="00CE0B87" w:rsidRPr="001D200B">
        <w:rPr>
          <w:rFonts w:cstheme="minorHAnsi"/>
          <w:szCs w:val="24"/>
        </w:rPr>
        <w:t xml:space="preserve">Przedsiębiorstwo </w:t>
      </w:r>
      <w:r w:rsidR="00EA5FCD" w:rsidRPr="001D200B">
        <w:rPr>
          <w:rFonts w:cstheme="minorHAnsi"/>
          <w:szCs w:val="24"/>
        </w:rPr>
        <w:t xml:space="preserve">w latach 2020-2022 </w:t>
      </w:r>
      <w:r w:rsidR="00CE0B87" w:rsidRPr="001D200B">
        <w:rPr>
          <w:rFonts w:cstheme="minorHAnsi"/>
          <w:szCs w:val="24"/>
        </w:rPr>
        <w:t>planuje realizację inwestycji pn. „</w:t>
      </w:r>
      <w:r w:rsidR="00CE0B87" w:rsidRPr="001D200B">
        <w:rPr>
          <w:rFonts w:cstheme="minorHAnsi"/>
          <w:i/>
          <w:szCs w:val="24"/>
        </w:rPr>
        <w:t xml:space="preserve">Przebudowa sieci ciepłowniczej na terenie </w:t>
      </w:r>
      <w:r w:rsidR="000E6ABE" w:rsidRPr="001D200B">
        <w:rPr>
          <w:rFonts w:cstheme="minorHAnsi"/>
          <w:i/>
          <w:szCs w:val="24"/>
        </w:rPr>
        <w:t>m</w:t>
      </w:r>
      <w:r w:rsidR="00CE0B87" w:rsidRPr="001D200B">
        <w:rPr>
          <w:rFonts w:cstheme="minorHAnsi"/>
          <w:i/>
          <w:szCs w:val="24"/>
        </w:rPr>
        <w:t>iasta Połaniec</w:t>
      </w:r>
      <w:r w:rsidR="00CE0B87" w:rsidRPr="001D200B">
        <w:rPr>
          <w:rFonts w:cstheme="minorHAnsi"/>
          <w:szCs w:val="24"/>
        </w:rPr>
        <w:t>”</w:t>
      </w:r>
      <w:r w:rsidR="000E6ABE" w:rsidRPr="001D200B">
        <w:rPr>
          <w:rFonts w:cstheme="minorHAnsi"/>
          <w:szCs w:val="24"/>
        </w:rPr>
        <w:t>, której zakres obejmuje m.in.:</w:t>
      </w:r>
    </w:p>
    <w:p w:rsidR="000E6ABE" w:rsidRPr="001D200B" w:rsidRDefault="000E6ABE" w:rsidP="000E6ABE">
      <w:pPr>
        <w:pStyle w:val="Akapitzlist"/>
      </w:pPr>
      <w:r w:rsidRPr="001D200B">
        <w:t>przebudowę sieci ciepłowniczej kanałowej na preizolowaną na odcinku 6,7 km;</w:t>
      </w:r>
    </w:p>
    <w:p w:rsidR="000E6ABE" w:rsidRPr="001D200B" w:rsidRDefault="000E6ABE" w:rsidP="000E6ABE">
      <w:pPr>
        <w:pStyle w:val="Akapitzlist"/>
      </w:pPr>
      <w:r w:rsidRPr="001D200B">
        <w:t>likwidację węzłów grupowych (W-1, W-2, W-3, W-4 i W-5), a w zamian budowę 180szt. węzłów indywidualnych.</w:t>
      </w:r>
    </w:p>
    <w:p w:rsidR="000E6ABE" w:rsidRPr="001D200B" w:rsidRDefault="00EA5FCD" w:rsidP="000E6ABE">
      <w:r w:rsidRPr="001D200B">
        <w:rPr>
          <w:rFonts w:cstheme="minorHAnsi"/>
          <w:szCs w:val="24"/>
        </w:rPr>
        <w:t>PGK w Połańcu sp. z o.o. uzależnia realizacje projektu od otrzymania dofinansowania z</w:t>
      </w:r>
      <w:r w:rsidR="00EB7BC7" w:rsidRPr="001D200B">
        <w:rPr>
          <w:rFonts w:cstheme="minorHAnsi"/>
          <w:szCs w:val="24"/>
        </w:rPr>
        <w:t> </w:t>
      </w:r>
      <w:r w:rsidRPr="001D200B">
        <w:rPr>
          <w:rFonts w:cstheme="minorHAnsi"/>
          <w:szCs w:val="24"/>
        </w:rPr>
        <w:t xml:space="preserve">NFOŚiGW (złożono wniosek o dofinansowanie inwestycji). W przypadku nie uzyskania dofinansowania planowania jest </w:t>
      </w:r>
      <w:r w:rsidR="00EB7BC7" w:rsidRPr="001D200B">
        <w:rPr>
          <w:rFonts w:cstheme="minorHAnsi"/>
          <w:szCs w:val="24"/>
        </w:rPr>
        <w:t xml:space="preserve">w 2020 roku wymiana odcinka sieci kanałowej magistrali przesyłowej Dn 300 na preizolowaną. </w:t>
      </w:r>
    </w:p>
    <w:p w:rsidR="00792C8A" w:rsidRPr="001D200B" w:rsidRDefault="00792C8A" w:rsidP="008C2A8C">
      <w:pPr>
        <w:rPr>
          <w:rFonts w:cstheme="minorHAnsi"/>
          <w:highlight w:val="yellow"/>
        </w:rPr>
      </w:pPr>
    </w:p>
    <w:p w:rsidR="000D3E7A" w:rsidRPr="001D200B" w:rsidRDefault="00820B72" w:rsidP="00A943B2">
      <w:pPr>
        <w:rPr>
          <w:rFonts w:cstheme="minorHAnsi"/>
        </w:rPr>
      </w:pPr>
      <w:r w:rsidRPr="001D200B">
        <w:rPr>
          <w:rFonts w:cstheme="minorHAnsi"/>
        </w:rPr>
        <w:t xml:space="preserve">Spółdzielnia </w:t>
      </w:r>
      <w:r w:rsidR="00A87AD1" w:rsidRPr="001D200B">
        <w:rPr>
          <w:rFonts w:cstheme="minorHAnsi"/>
        </w:rPr>
        <w:t>M</w:t>
      </w:r>
      <w:r w:rsidR="00A621EB" w:rsidRPr="001D200B">
        <w:rPr>
          <w:rFonts w:cstheme="minorHAnsi"/>
        </w:rPr>
        <w:t xml:space="preserve">ieszkaniowa „Połaniec” </w:t>
      </w:r>
      <w:r w:rsidR="00792C8A" w:rsidRPr="001D200B">
        <w:rPr>
          <w:rFonts w:cstheme="minorHAnsi"/>
        </w:rPr>
        <w:t xml:space="preserve">nie posiada własnych źródeł ciepła, nie zajmuje się również eksploatacją sieci dystrybucji ciepła. Plany inwestycyjne </w:t>
      </w:r>
      <w:r w:rsidR="00345622" w:rsidRPr="001D200B">
        <w:rPr>
          <w:rFonts w:cstheme="minorHAnsi"/>
        </w:rPr>
        <w:t xml:space="preserve">związane z zaopatrzeniem w ciepło dotyczą racjonalizacji potrzeb budynków za pomocą </w:t>
      </w:r>
      <w:r w:rsidR="00792C8A" w:rsidRPr="001D200B">
        <w:rPr>
          <w:rFonts w:cstheme="minorHAnsi"/>
        </w:rPr>
        <w:t>działań termomodernizacyjnych</w:t>
      </w:r>
      <w:r w:rsidR="00345622" w:rsidRPr="001D200B">
        <w:rPr>
          <w:rFonts w:cstheme="minorHAnsi"/>
        </w:rPr>
        <w:t xml:space="preserve">. </w:t>
      </w:r>
      <w:r w:rsidR="001023BE" w:rsidRPr="001D200B">
        <w:rPr>
          <w:rFonts w:cstheme="minorHAnsi"/>
        </w:rPr>
        <w:t xml:space="preserve">Poziom wykonania prac </w:t>
      </w:r>
      <w:r w:rsidR="00D44433" w:rsidRPr="001D200B">
        <w:rPr>
          <w:rFonts w:cstheme="minorHAnsi"/>
        </w:rPr>
        <w:t xml:space="preserve">w </w:t>
      </w:r>
      <w:r w:rsidR="001023BE" w:rsidRPr="001D200B">
        <w:rPr>
          <w:rFonts w:cstheme="minorHAnsi"/>
        </w:rPr>
        <w:t>stanie obecnym ocenia się na poziomie:</w:t>
      </w:r>
      <w:r w:rsidR="0013585A" w:rsidRPr="001D200B">
        <w:rPr>
          <w:rFonts w:cstheme="minorHAnsi"/>
        </w:rPr>
        <w:t xml:space="preserve"> </w:t>
      </w:r>
      <w:r w:rsidR="001023BE" w:rsidRPr="001D200B">
        <w:rPr>
          <w:rFonts w:cstheme="minorHAnsi"/>
        </w:rPr>
        <w:t xml:space="preserve">ocieplenie ścian – </w:t>
      </w:r>
      <w:r w:rsidR="00187C52" w:rsidRPr="001D200B">
        <w:rPr>
          <w:rFonts w:cstheme="minorHAnsi"/>
        </w:rPr>
        <w:t>7</w:t>
      </w:r>
      <w:r w:rsidR="001023BE" w:rsidRPr="001D200B">
        <w:rPr>
          <w:rFonts w:cstheme="minorHAnsi"/>
        </w:rPr>
        <w:t>0%</w:t>
      </w:r>
      <w:r w:rsidR="0013585A" w:rsidRPr="001D200B">
        <w:rPr>
          <w:rFonts w:cstheme="minorHAnsi"/>
        </w:rPr>
        <w:t xml:space="preserve">, </w:t>
      </w:r>
      <w:r w:rsidR="001023BE" w:rsidRPr="001D200B">
        <w:rPr>
          <w:rFonts w:cstheme="minorHAnsi"/>
        </w:rPr>
        <w:t xml:space="preserve">wymiana okien - </w:t>
      </w:r>
      <w:r w:rsidR="00187C52" w:rsidRPr="001D200B">
        <w:rPr>
          <w:rFonts w:cstheme="minorHAnsi"/>
        </w:rPr>
        <w:t>9</w:t>
      </w:r>
      <w:r w:rsidR="001023BE" w:rsidRPr="001D200B">
        <w:rPr>
          <w:rFonts w:cstheme="minorHAnsi"/>
        </w:rPr>
        <w:t>0%</w:t>
      </w:r>
      <w:r w:rsidR="0013585A" w:rsidRPr="001D200B">
        <w:rPr>
          <w:rFonts w:cstheme="minorHAnsi"/>
        </w:rPr>
        <w:t xml:space="preserve">, </w:t>
      </w:r>
      <w:r w:rsidR="001023BE" w:rsidRPr="001D200B">
        <w:rPr>
          <w:rFonts w:cstheme="minorHAnsi"/>
        </w:rPr>
        <w:t xml:space="preserve">ocieplenie stropów – </w:t>
      </w:r>
      <w:r w:rsidR="00187C52" w:rsidRPr="001D200B">
        <w:rPr>
          <w:rFonts w:cstheme="minorHAnsi"/>
        </w:rPr>
        <w:t>7</w:t>
      </w:r>
      <w:r w:rsidR="001023BE" w:rsidRPr="001D200B">
        <w:rPr>
          <w:rFonts w:cstheme="minorHAnsi"/>
        </w:rPr>
        <w:t>0%</w:t>
      </w:r>
      <w:r w:rsidR="0013585A" w:rsidRPr="001D200B">
        <w:rPr>
          <w:rFonts w:cstheme="minorHAnsi"/>
        </w:rPr>
        <w:t>.</w:t>
      </w:r>
      <w:r w:rsidR="00E420AF" w:rsidRPr="001D200B">
        <w:rPr>
          <w:rFonts w:cstheme="minorHAnsi"/>
        </w:rPr>
        <w:t xml:space="preserve"> </w:t>
      </w:r>
      <w:r w:rsidR="00187C52" w:rsidRPr="001D200B">
        <w:rPr>
          <w:rFonts w:cstheme="minorHAnsi"/>
        </w:rPr>
        <w:t>W najbliższych latach planowane są dalsze działania z zakresu termomodernizacji budynków, tj.: ocieplenie ścian (12 budynków) i</w:t>
      </w:r>
      <w:r w:rsidR="005D51F1" w:rsidRPr="001D200B">
        <w:rPr>
          <w:rFonts w:cstheme="minorHAnsi"/>
        </w:rPr>
        <w:t> </w:t>
      </w:r>
      <w:r w:rsidR="00187C52" w:rsidRPr="001D200B">
        <w:rPr>
          <w:rFonts w:cstheme="minorHAnsi"/>
        </w:rPr>
        <w:t xml:space="preserve">ocieplenie stropów (4 budynki). </w:t>
      </w:r>
      <w:r w:rsidR="001023BE" w:rsidRPr="001D200B">
        <w:rPr>
          <w:rFonts w:cstheme="minorHAnsi"/>
        </w:rPr>
        <w:t>Spółdzielnia nie ma</w:t>
      </w:r>
      <w:r w:rsidR="00C56165" w:rsidRPr="001D200B">
        <w:rPr>
          <w:rFonts w:cstheme="minorHAnsi"/>
        </w:rPr>
        <w:t xml:space="preserve"> </w:t>
      </w:r>
      <w:r w:rsidR="00187C52" w:rsidRPr="001D200B">
        <w:rPr>
          <w:rFonts w:cstheme="minorHAnsi"/>
        </w:rPr>
        <w:t xml:space="preserve">skonkretyzowanych </w:t>
      </w:r>
      <w:r w:rsidR="00C56165" w:rsidRPr="001D200B">
        <w:rPr>
          <w:rFonts w:cstheme="minorHAnsi"/>
        </w:rPr>
        <w:t>plan</w:t>
      </w:r>
      <w:r w:rsidR="00283D9B" w:rsidRPr="001D200B">
        <w:rPr>
          <w:rFonts w:cstheme="minorHAnsi"/>
        </w:rPr>
        <w:t>ów</w:t>
      </w:r>
      <w:r w:rsidR="00C56165" w:rsidRPr="001D200B">
        <w:rPr>
          <w:rFonts w:cstheme="minorHAnsi"/>
        </w:rPr>
        <w:t xml:space="preserve"> </w:t>
      </w:r>
      <w:r w:rsidR="00C56165" w:rsidRPr="001D200B">
        <w:rPr>
          <w:rFonts w:cstheme="minorHAnsi"/>
        </w:rPr>
        <w:lastRenderedPageBreak/>
        <w:t>inwestycyjnych w kierunku pozyskania do celów energetycznyc</w:t>
      </w:r>
      <w:r w:rsidR="00C51C97" w:rsidRPr="001D200B">
        <w:rPr>
          <w:rFonts w:cstheme="minorHAnsi"/>
        </w:rPr>
        <w:t xml:space="preserve">h odnawialnych źródeł energii. </w:t>
      </w:r>
    </w:p>
    <w:p w:rsidR="002B2563" w:rsidRPr="001D200B" w:rsidRDefault="006E46BA" w:rsidP="00A943B2">
      <w:pPr>
        <w:rPr>
          <w:rFonts w:cstheme="minorHAnsi"/>
        </w:rPr>
      </w:pPr>
      <w:r w:rsidRPr="001D200B">
        <w:rPr>
          <w:rFonts w:cstheme="minorHAnsi"/>
        </w:rPr>
        <w:t xml:space="preserve">Samorząd gminy Połaniec sukcesywnie realizuje </w:t>
      </w:r>
      <w:r w:rsidR="00736159" w:rsidRPr="001D200B">
        <w:rPr>
          <w:rFonts w:cstheme="minorHAnsi"/>
        </w:rPr>
        <w:t>inwestycje z zakresu poprawy efektywności energetycznej</w:t>
      </w:r>
      <w:r w:rsidR="00186E3B" w:rsidRPr="001D200B">
        <w:rPr>
          <w:rFonts w:cstheme="minorHAnsi"/>
        </w:rPr>
        <w:t xml:space="preserve"> i wprowadzenia gospodarki niskoemisyjnej</w:t>
      </w:r>
      <w:r w:rsidR="00736159" w:rsidRPr="001D200B">
        <w:rPr>
          <w:rFonts w:cstheme="minorHAnsi"/>
        </w:rPr>
        <w:t>. Inwestycje te obejmują w</w:t>
      </w:r>
      <w:r w:rsidR="00186E3B" w:rsidRPr="001D200B">
        <w:rPr>
          <w:rFonts w:cstheme="minorHAnsi"/>
        </w:rPr>
        <w:t> </w:t>
      </w:r>
      <w:r w:rsidR="00736159" w:rsidRPr="001D200B">
        <w:rPr>
          <w:rFonts w:cstheme="minorHAnsi"/>
        </w:rPr>
        <w:t>szczególności prace termomodernizacyjne w zarządzanych obiektach</w:t>
      </w:r>
      <w:r w:rsidR="00731766" w:rsidRPr="001D200B">
        <w:rPr>
          <w:rFonts w:cstheme="minorHAnsi"/>
        </w:rPr>
        <w:t xml:space="preserve"> oraz </w:t>
      </w:r>
      <w:r w:rsidR="00736159" w:rsidRPr="001D200B">
        <w:rPr>
          <w:rFonts w:cstheme="minorHAnsi"/>
        </w:rPr>
        <w:t xml:space="preserve">montaż instalacji OZE. </w:t>
      </w:r>
    </w:p>
    <w:p w:rsidR="00186E3B" w:rsidRPr="001D200B" w:rsidRDefault="00186E3B" w:rsidP="00A943B2">
      <w:pPr>
        <w:rPr>
          <w:rFonts w:cstheme="minorHAnsi"/>
        </w:rPr>
      </w:pPr>
      <w:r w:rsidRPr="001D200B">
        <w:rPr>
          <w:rFonts w:cstheme="minorHAnsi"/>
        </w:rPr>
        <w:t xml:space="preserve">W ostatnich latach przeprowadzono termomodernizację budynków: Urzędy Miasta i Gminy </w:t>
      </w:r>
      <w:r w:rsidR="004D0524" w:rsidRPr="001D200B">
        <w:rPr>
          <w:rFonts w:cstheme="minorHAnsi"/>
        </w:rPr>
        <w:t xml:space="preserve">w </w:t>
      </w:r>
      <w:r w:rsidRPr="001D200B">
        <w:rPr>
          <w:rFonts w:cstheme="minorHAnsi"/>
        </w:rPr>
        <w:t>Poła</w:t>
      </w:r>
      <w:r w:rsidR="004D0524" w:rsidRPr="001D200B">
        <w:rPr>
          <w:rFonts w:cstheme="minorHAnsi"/>
        </w:rPr>
        <w:t>ńcu</w:t>
      </w:r>
      <w:r w:rsidRPr="001D200B">
        <w:rPr>
          <w:rFonts w:cstheme="minorHAnsi"/>
        </w:rPr>
        <w:t xml:space="preserve"> </w:t>
      </w:r>
      <w:r w:rsidR="009C3B7B" w:rsidRPr="001D200B">
        <w:t>(projekt pn. Termomodernizacja budynku Urzędu Miasta i Gminy w Połańcu)</w:t>
      </w:r>
      <w:r w:rsidR="007B6BA7" w:rsidRPr="001D200B">
        <w:t xml:space="preserve">, </w:t>
      </w:r>
      <w:r w:rsidR="009C3B7B" w:rsidRPr="001D200B">
        <w:t xml:space="preserve">Publicznej Szkoły Podstawowej w Zrębinie (projekt pn. </w:t>
      </w:r>
      <w:r w:rsidR="009C3B7B" w:rsidRPr="001D200B">
        <w:rPr>
          <w:i/>
        </w:rPr>
        <w:t>Termomodernizacja budynku Szkoły Podstawowej w Zrębinie wraz ze zmianą konstrukcji dachu, budową instalacji fotowoltaicznej, instalacją pompy ciepła i z zagospodarowaniem terenu</w:t>
      </w:r>
      <w:r w:rsidR="009C3B7B" w:rsidRPr="001D200B">
        <w:t>)</w:t>
      </w:r>
      <w:r w:rsidR="007B6BA7" w:rsidRPr="001D200B">
        <w:t xml:space="preserve"> oraz świetlicy w</w:t>
      </w:r>
      <w:r w:rsidR="004D0524" w:rsidRPr="001D200B">
        <w:t> </w:t>
      </w:r>
      <w:r w:rsidR="007B6BA7" w:rsidRPr="001D200B">
        <w:t xml:space="preserve">miejscowości Ruszcza. </w:t>
      </w:r>
    </w:p>
    <w:p w:rsidR="00186E3B" w:rsidRPr="001D200B" w:rsidRDefault="00186E3B" w:rsidP="00A943B2">
      <w:pPr>
        <w:rPr>
          <w:rFonts w:cstheme="minorHAnsi"/>
        </w:rPr>
      </w:pPr>
      <w:r w:rsidRPr="001D200B">
        <w:rPr>
          <w:rFonts w:cstheme="minorHAnsi"/>
        </w:rPr>
        <w:t>Aktualnie planowana jest termomodernizacja budyn</w:t>
      </w:r>
      <w:r w:rsidR="002B2563" w:rsidRPr="001D200B">
        <w:rPr>
          <w:rFonts w:cstheme="minorHAnsi"/>
        </w:rPr>
        <w:t>ku Zespołu Placówek Oświatowych w Ruszczy</w:t>
      </w:r>
      <w:r w:rsidR="009C3B7B" w:rsidRPr="001D200B">
        <w:rPr>
          <w:rFonts w:cstheme="minorHAnsi"/>
        </w:rPr>
        <w:t xml:space="preserve"> </w:t>
      </w:r>
      <w:r w:rsidR="009C3B7B" w:rsidRPr="001D200B">
        <w:t>(projekt Termomodernizacja budynku Zespołu Placówek Oświatowych w Ruszczy)</w:t>
      </w:r>
      <w:r w:rsidR="002B2563" w:rsidRPr="001D200B">
        <w:rPr>
          <w:rFonts w:cstheme="minorHAnsi"/>
        </w:rPr>
        <w:t xml:space="preserve">. </w:t>
      </w:r>
    </w:p>
    <w:p w:rsidR="00731766" w:rsidRPr="001D200B" w:rsidRDefault="00736159" w:rsidP="00A943B2">
      <w:pPr>
        <w:rPr>
          <w:rFonts w:cstheme="minorHAnsi"/>
        </w:rPr>
      </w:pPr>
      <w:r w:rsidRPr="001D200B">
        <w:rPr>
          <w:rFonts w:cstheme="minorHAnsi"/>
        </w:rPr>
        <w:t>Gmina realizuje również projekt polegając</w:t>
      </w:r>
      <w:r w:rsidR="00731766" w:rsidRPr="001D200B">
        <w:rPr>
          <w:rFonts w:cstheme="minorHAnsi"/>
        </w:rPr>
        <w:t>y</w:t>
      </w:r>
      <w:r w:rsidRPr="001D200B">
        <w:rPr>
          <w:rFonts w:cstheme="minorHAnsi"/>
        </w:rPr>
        <w:t xml:space="preserve"> na dofinansowaniu </w:t>
      </w:r>
      <w:r w:rsidR="00731766" w:rsidRPr="001D200B">
        <w:rPr>
          <w:rFonts w:cstheme="minorHAnsi"/>
        </w:rPr>
        <w:t>gospodarstw domowych, w</w:t>
      </w:r>
      <w:r w:rsidR="00931F90" w:rsidRPr="001D200B">
        <w:rPr>
          <w:rFonts w:cstheme="minorHAnsi"/>
        </w:rPr>
        <w:t> </w:t>
      </w:r>
      <w:r w:rsidR="00731766" w:rsidRPr="001D200B">
        <w:rPr>
          <w:rFonts w:cstheme="minorHAnsi"/>
        </w:rPr>
        <w:t xml:space="preserve">obszarze wymiany przestarzałych pieców/kotłów na nowoczesne o wyższej sprawności (bądź w przypadku nowych domów montażu nowoczesnych kotłów c.o.). </w:t>
      </w:r>
    </w:p>
    <w:p w:rsidR="00731766" w:rsidRPr="001D200B" w:rsidRDefault="003B5E43" w:rsidP="00A943B2">
      <w:pPr>
        <w:rPr>
          <w:rFonts w:cstheme="minorHAnsi"/>
        </w:rPr>
      </w:pPr>
      <w:r w:rsidRPr="001D200B">
        <w:rPr>
          <w:rFonts w:cstheme="minorHAnsi"/>
        </w:rPr>
        <w:t xml:space="preserve">Gmina w partnerstwie realizować będzie projekt, który obejmie udzielenie dotacji dla mieszkańców na indywidualne instalacje Odnawialnych Źródeł Energii (projekt pn. </w:t>
      </w:r>
      <w:r w:rsidRPr="001D200B">
        <w:rPr>
          <w:rFonts w:cstheme="minorHAnsi"/>
          <w:i/>
        </w:rPr>
        <w:t>Wzrost wykorzystania odnawialnych źródeł energii na terenie gmin partnerskich: Połańca, Oleśnicy i Łubnic</w:t>
      </w:r>
      <w:r w:rsidRPr="001D200B">
        <w:rPr>
          <w:rFonts w:cstheme="minorHAnsi"/>
        </w:rPr>
        <w:t>, dofinansowany w ramach RPO WŚ).</w:t>
      </w:r>
    </w:p>
    <w:p w:rsidR="00C51C97" w:rsidRPr="001D200B" w:rsidRDefault="004C71DE" w:rsidP="00A943B2">
      <w:r w:rsidRPr="001D200B">
        <w:rPr>
          <w:rFonts w:eastAsia="TimesNewRomanPSMT" w:cstheme="minorHAnsi"/>
        </w:rPr>
        <w:t xml:space="preserve">Rezerwy oszczędności energii cieplnej tkwią w możliwości zmniejszenia jej zużycia na ogrzewanie budynków mieszkalnych wskutek ich odpowiedniego docieplenia. </w:t>
      </w:r>
      <w:r w:rsidR="002B2563" w:rsidRPr="001D200B">
        <w:t>Na podstawie diagnozy stanu aktualnego indywidualnych zasobów mieszkaniowych w gminie, należy stwierdzić obecność budynków charakteryzujących się często złym stanem technicznym i</w:t>
      </w:r>
      <w:r w:rsidR="00931F90" w:rsidRPr="001D200B">
        <w:t> </w:t>
      </w:r>
      <w:r w:rsidR="002B2563" w:rsidRPr="001D200B">
        <w:t>niskim stopniem termomodernizacji a częściowo też brakiem instalacji centralnego ogrzewania. Taki stan rzeczy potwierdza realne możliwości uzyskania znacznych oszczędności w zużyciu paliwa i energii dla potrzeb gospodarki ciepłem.</w:t>
      </w:r>
    </w:p>
    <w:p w:rsidR="00E133BC" w:rsidRPr="001D200B" w:rsidRDefault="00E133BC" w:rsidP="00E133BC">
      <w:pPr>
        <w:rPr>
          <w:rFonts w:eastAsia="TimesNewRomanPSMT"/>
        </w:rPr>
      </w:pPr>
      <w:r w:rsidRPr="001D200B">
        <w:t xml:space="preserve">Termomodernizacja wpływa na zmniejszenie energochłonności budynku, a do podstawowych jej elementów zalicza się ocieplenie przegród budowlanych zewnętrznych, ograniczenie infiltracji powietrza poprzez uszczelnienie bądź </w:t>
      </w:r>
      <w:r w:rsidRPr="001D200B">
        <w:rPr>
          <w:rFonts w:eastAsia="TimesNewRomanPSMT"/>
        </w:rPr>
        <w:t xml:space="preserve">wymianę stolarki budowlanej, w tym wymianę okien na szczelne, zapewnienie właściwej wentylacji budynku. </w:t>
      </w:r>
    </w:p>
    <w:p w:rsidR="00E133BC" w:rsidRPr="001D200B" w:rsidRDefault="00E133BC" w:rsidP="00E133BC">
      <w:r w:rsidRPr="001D200B">
        <w:t>Praktyczna wielkość możliwych do uzyskania oszczędności zależy od aktualnego stanu budynku i jego charakterystyki cieplnej. Prace termomodernizacyjne w zabudowie mieszkaniowej, z uwagi na duży koszt przedsięwzięcia, nie są prowadzone kompleksowo, tj. obejmują najczęściej ocieplenie ścian zewnętrznych lub wymianę okien.</w:t>
      </w:r>
    </w:p>
    <w:p w:rsidR="00E133BC" w:rsidRPr="001D200B" w:rsidRDefault="00E133BC" w:rsidP="00E133BC">
      <w:r w:rsidRPr="001D200B">
        <w:lastRenderedPageBreak/>
        <w:t xml:space="preserve">Przygotowanie i prowadzenie prac docieplenia budynków w ramach termomodernizacji powinno w szczególności uwzględniać ochronę ptaków i nietoperzy gniazdujących w ścianach budynków. W przypadku modernizacji budynków będących schronieniem ptaków czy nietoperzy wykonawca prac powinien podjąć środki zaradcze – dostosowując terminy i sposób wykonywania prac do okresów lęgu, rozrodu lub hibernacji ptaków/nietoperzy, zabezpieczając z wyprzedzeniem szczeliny przed zajęciem je przez ptaki i nietoperze. W przypadku zamknięcia otworów na stałe, wskazane jest wykonanie siedlisk zastępczych. Może być również konieczne uzyskanie zezwoleń na odstępstwa od zakazów wydanych w trybie art. 56 ustawy o ochronie przyrody. </w:t>
      </w:r>
    </w:p>
    <w:p w:rsidR="004C71DE" w:rsidRPr="001D200B" w:rsidRDefault="004C71DE" w:rsidP="004C71DE">
      <w:r w:rsidRPr="001D200B">
        <w:t xml:space="preserve">Dla potrzeb budownictwa mieszkaniowego jednorodzinnego powinno się promować instalacje nowoczesnych kotłów o wysokiej sprawności oraz stosowanie paliw o większej wartości opałowej, a niższej zawartości siarki i popiołu. Gmina Połaniec wspiera tego typu przedsięwzięcia w formie dofinansowania (w 2019 roku </w:t>
      </w:r>
      <w:r w:rsidR="00D2721B" w:rsidRPr="001D200B">
        <w:t>18</w:t>
      </w:r>
      <w:r w:rsidRPr="001D200B">
        <w:t xml:space="preserve"> gospodarstw domowych zamontowało nowoczesne źródła ciepła, wsparcie będzie udzielane również w 2020 roku), dla tego typu przedsięwzięć dedykowany jest również program „Czyste Powietrze” obsługiwany przez WFOŚiGW w Kielcach. </w:t>
      </w:r>
    </w:p>
    <w:p w:rsidR="00043042" w:rsidRPr="001D200B" w:rsidRDefault="00043042" w:rsidP="006E46BA">
      <w:pPr>
        <w:rPr>
          <w:rFonts w:cstheme="minorHAnsi"/>
        </w:rPr>
      </w:pPr>
      <w:r w:rsidRPr="001D200B">
        <w:rPr>
          <w:rFonts w:cstheme="minorHAnsi"/>
        </w:rPr>
        <w:t>K</w:t>
      </w:r>
      <w:r w:rsidR="006E46BA" w:rsidRPr="001D200B">
        <w:rPr>
          <w:rFonts w:cstheme="minorHAnsi"/>
        </w:rPr>
        <w:t>ierunk</w:t>
      </w:r>
      <w:r w:rsidRPr="001D200B">
        <w:rPr>
          <w:rFonts w:cstheme="minorHAnsi"/>
        </w:rPr>
        <w:t>i</w:t>
      </w:r>
      <w:r w:rsidR="006E46BA" w:rsidRPr="001D200B">
        <w:rPr>
          <w:rFonts w:cstheme="minorHAnsi"/>
        </w:rPr>
        <w:t xml:space="preserve"> </w:t>
      </w:r>
      <w:r w:rsidRPr="001D200B">
        <w:rPr>
          <w:rFonts w:cstheme="minorHAnsi"/>
        </w:rPr>
        <w:t xml:space="preserve">rozwoju w zakresie zaopatrzenia w ciepło zgodnie z zapisami </w:t>
      </w:r>
      <w:r w:rsidRPr="001D200B">
        <w:rPr>
          <w:rFonts w:cstheme="minorHAnsi"/>
          <w:i/>
        </w:rPr>
        <w:t>Studium uwarunkowań i kierunków zagospodarowania przestrzennego Gminy Połaniec</w:t>
      </w:r>
      <w:r w:rsidRPr="001D200B">
        <w:rPr>
          <w:rFonts w:cstheme="minorHAnsi"/>
        </w:rPr>
        <w:t xml:space="preserve"> obejmują: </w:t>
      </w:r>
    </w:p>
    <w:p w:rsidR="00043042" w:rsidRPr="001D200B" w:rsidRDefault="00EC2286" w:rsidP="00F21741">
      <w:pPr>
        <w:pStyle w:val="Punktatory1"/>
      </w:pPr>
      <w:r w:rsidRPr="001D200B">
        <w:t xml:space="preserve">utrzymanie </w:t>
      </w:r>
      <w:r w:rsidR="00043042" w:rsidRPr="001D200B">
        <w:t>i rozwijanie lokalnych systemów ciepłowniczych;</w:t>
      </w:r>
    </w:p>
    <w:p w:rsidR="00043042" w:rsidRPr="001D200B" w:rsidRDefault="00043042" w:rsidP="00043042">
      <w:pPr>
        <w:pStyle w:val="Punktatory1"/>
      </w:pPr>
      <w:r w:rsidRPr="001D200B">
        <w:t xml:space="preserve">preferowanie paliw ekologicznych typu gaz ziemny, olej opałowy, energia elektryczna bądź urządzeń wykorzystujących energię słoneczną zarówno w budownictwie indywidualnym jak i w lokalnych kotłowniach; </w:t>
      </w:r>
    </w:p>
    <w:p w:rsidR="00043042" w:rsidRPr="001D200B" w:rsidRDefault="00043042" w:rsidP="00043042">
      <w:pPr>
        <w:pStyle w:val="Punktatory1"/>
      </w:pPr>
      <w:r w:rsidRPr="001D200B">
        <w:t xml:space="preserve">tworzenie zachęt do ocieplania istniejących budynków i propagowanie budowy energooszczędnych domów. </w:t>
      </w:r>
    </w:p>
    <w:p w:rsidR="00590AED" w:rsidRPr="001D200B" w:rsidRDefault="00590AED" w:rsidP="00043042">
      <w:pPr>
        <w:rPr>
          <w:rFonts w:cstheme="minorHAnsi"/>
          <w:highlight w:val="yellow"/>
        </w:rPr>
      </w:pPr>
      <w:r w:rsidRPr="001D200B">
        <w:rPr>
          <w:rFonts w:cstheme="minorHAnsi"/>
        </w:rPr>
        <w:t xml:space="preserve">Należy jednak przyjąć, że aktualna dominacja paliwa węglowego w strukturze pokrycia zapotrzebowania na ciepło w istniejącej zabudowie </w:t>
      </w:r>
      <w:r w:rsidR="00043042" w:rsidRPr="001D200B">
        <w:rPr>
          <w:rFonts w:cstheme="minorHAnsi"/>
        </w:rPr>
        <w:t xml:space="preserve">znajdującej się poza zasięgiem sieci ciepłowniczej i sieci gazowej </w:t>
      </w:r>
      <w:r w:rsidRPr="001D200B">
        <w:rPr>
          <w:rFonts w:cstheme="minorHAnsi"/>
        </w:rPr>
        <w:t>będzie się utrzymywać</w:t>
      </w:r>
      <w:r w:rsidR="00043042" w:rsidRPr="001D200B">
        <w:rPr>
          <w:rFonts w:cstheme="minorHAnsi"/>
        </w:rPr>
        <w:t>.</w:t>
      </w:r>
    </w:p>
    <w:p w:rsidR="00361DA1" w:rsidRPr="001D200B" w:rsidRDefault="00361DA1" w:rsidP="00361DA1">
      <w:pPr>
        <w:pStyle w:val="Nagwek2"/>
        <w:rPr>
          <w:rFonts w:cstheme="minorHAnsi"/>
        </w:rPr>
      </w:pPr>
      <w:bookmarkStart w:id="46" w:name="_Toc31972823"/>
      <w:r w:rsidRPr="001D200B">
        <w:rPr>
          <w:rFonts w:cstheme="minorHAnsi"/>
        </w:rPr>
        <w:t>4. Prognoza zapotrzebowania mocy i energii cieplnej</w:t>
      </w:r>
      <w:bookmarkEnd w:id="46"/>
    </w:p>
    <w:p w:rsidR="00CC5334" w:rsidRPr="001D200B" w:rsidRDefault="00362E02" w:rsidP="00ED557B">
      <w:pPr>
        <w:rPr>
          <w:rFonts w:cstheme="minorHAnsi"/>
          <w:highlight w:val="yellow"/>
        </w:rPr>
      </w:pPr>
      <w:r w:rsidRPr="001D200B">
        <w:t>Przedstawiona prognoza zapotrzebowania mocy i energii cieplnej ma charakter szacunkowy i opiera się na ogólnie dostępnych danych statystycznych oraz wskaźnikach energetycznych.</w:t>
      </w:r>
    </w:p>
    <w:p w:rsidR="00C22A0B" w:rsidRPr="001D200B" w:rsidRDefault="00C22A0B" w:rsidP="007E189C">
      <w:pPr>
        <w:rPr>
          <w:rFonts w:cstheme="minorHAnsi"/>
          <w:u w:val="single"/>
        </w:rPr>
      </w:pPr>
      <w:r w:rsidRPr="001D200B">
        <w:rPr>
          <w:rFonts w:cstheme="minorHAnsi"/>
          <w:u w:val="single"/>
        </w:rPr>
        <w:t>Założenia do prognozy:</w:t>
      </w:r>
    </w:p>
    <w:p w:rsidR="00F006D6" w:rsidRPr="001D200B" w:rsidRDefault="00F006D6" w:rsidP="00F21741">
      <w:pPr>
        <w:pStyle w:val="Punktatory1"/>
      </w:pPr>
      <w:r w:rsidRPr="001D200B">
        <w:t>Aktualnie średnia powierzchnia użytkowa mieszkania, przypadająca na mieszkańca gminy Połaniec wynosi 27,7m</w:t>
      </w:r>
      <w:r w:rsidRPr="001D200B">
        <w:rPr>
          <w:vertAlign w:val="superscript"/>
        </w:rPr>
        <w:t>2</w:t>
      </w:r>
      <w:r w:rsidRPr="001D200B">
        <w:t>, przy przeciętnej wielkości jednego mieszkania równej 83,6 m</w:t>
      </w:r>
      <w:r w:rsidRPr="001D200B">
        <w:rPr>
          <w:vertAlign w:val="superscript"/>
        </w:rPr>
        <w:t>2</w:t>
      </w:r>
      <w:r w:rsidRPr="001D200B">
        <w:t xml:space="preserve">. W latach 2003-2018 wybudowano i oddano do użytkowania łącznie 327 </w:t>
      </w:r>
      <w:r w:rsidRPr="001D200B">
        <w:lastRenderedPageBreak/>
        <w:t>budynków mieszkalnych o całkowitej powierzchni użytkowej równiej 47337m</w:t>
      </w:r>
      <w:r w:rsidRPr="001D200B">
        <w:rPr>
          <w:vertAlign w:val="superscript"/>
        </w:rPr>
        <w:t>2</w:t>
      </w:r>
      <w:r w:rsidRPr="001D200B">
        <w:t>, co daje przeciętną wielkość nowego mieszkania ok. 144,8 m</w:t>
      </w:r>
      <w:r w:rsidRPr="001D200B">
        <w:rPr>
          <w:vertAlign w:val="superscript"/>
        </w:rPr>
        <w:t>2</w:t>
      </w:r>
      <w:r w:rsidRPr="001D200B">
        <w:t>.</w:t>
      </w:r>
    </w:p>
    <w:p w:rsidR="00F006D6" w:rsidRPr="001D200B" w:rsidRDefault="00F006D6" w:rsidP="00F21741">
      <w:pPr>
        <w:pStyle w:val="Punktatory1"/>
      </w:pPr>
      <w:r w:rsidRPr="001D200B">
        <w:t>Aktualne zapotrzebowanie mocy cieplnej w skali całego obszaru gminy szacowane jest na 43,1 MW.</w:t>
      </w:r>
    </w:p>
    <w:p w:rsidR="00F006D6" w:rsidRPr="001D200B" w:rsidRDefault="00F006D6" w:rsidP="00F21741">
      <w:pPr>
        <w:pStyle w:val="Punktatory1"/>
      </w:pPr>
      <w:r w:rsidRPr="001D200B">
        <w:t>Obliczone na podstawie szacunków roczne zużycie energii na ogrzewanie i przygotowanie ciepłej wody określono na poziomie 311 TJ (w tym c.o. 265,4TJ i c.w.u. 45,6 TJ).</w:t>
      </w:r>
    </w:p>
    <w:p w:rsidR="00F006D6" w:rsidRPr="001D200B" w:rsidRDefault="00F006D6" w:rsidP="00F21741">
      <w:pPr>
        <w:pStyle w:val="Punktatory1"/>
      </w:pPr>
      <w:r w:rsidRPr="001D200B">
        <w:t>Zapotrzebowanie ciepła na przygotowanie ciepłej wody użytkowej określono na tych samych zasadach jak dla stanu istniejącego.</w:t>
      </w:r>
    </w:p>
    <w:p w:rsidR="00F006D6" w:rsidRPr="001D200B" w:rsidRDefault="00F006D6" w:rsidP="00F21741">
      <w:pPr>
        <w:pStyle w:val="Punktatory1"/>
      </w:pPr>
      <w:r w:rsidRPr="001D200B">
        <w:t>Przyjmuje się szacunkowy wskaźnik zmniejszenia zapotrzebowania na ciepło – w stosunku do 2018 roku –w wyniku termomodernizacji budynków mieszkalnych: 2% do roku 2025, 5% do roku 2030 oraz 8% do roku 2035.</w:t>
      </w:r>
    </w:p>
    <w:p w:rsidR="00F006D6" w:rsidRPr="001D200B" w:rsidRDefault="00F006D6" w:rsidP="00F21741">
      <w:pPr>
        <w:pStyle w:val="Punktatory1"/>
      </w:pPr>
      <w:r w:rsidRPr="001D200B">
        <w:t>Zapotrzebowanie mocy i energii cieplnej prognozowano według trzech scenariuszy, zależnie od wielkości inwestycji mieszkaniowych. W opracowaniu założono, że nowe budynki mieszkalne będą energooszczędne, budowane według najnowszej technologii.</w:t>
      </w:r>
    </w:p>
    <w:p w:rsidR="00F006D6" w:rsidRPr="001D200B" w:rsidRDefault="00F006D6" w:rsidP="00F006D6">
      <w:r w:rsidRPr="001D200B">
        <w:rPr>
          <w:b/>
          <w:iCs/>
        </w:rPr>
        <w:t>SCENARIUSZ I:</w:t>
      </w:r>
      <w:r w:rsidRPr="001D200B">
        <w:rPr>
          <w:iCs/>
        </w:rPr>
        <w:t xml:space="preserve"> </w:t>
      </w:r>
      <w:r w:rsidRPr="001D200B">
        <w:t>tempo przyrostu liczby nowych mieszkań będzie na poziomie połowy aktualnego średniorocznego przyrostu (około 1500 m</w:t>
      </w:r>
      <w:r w:rsidRPr="001D200B">
        <w:rPr>
          <w:vertAlign w:val="superscript"/>
        </w:rPr>
        <w:t>2</w:t>
      </w:r>
      <w:r w:rsidRPr="001D200B">
        <w:t>);</w:t>
      </w:r>
    </w:p>
    <w:p w:rsidR="00F006D6" w:rsidRPr="001D200B" w:rsidRDefault="00F006D6" w:rsidP="00F006D6">
      <w:r w:rsidRPr="001D200B">
        <w:rPr>
          <w:b/>
          <w:iCs/>
        </w:rPr>
        <w:t>SCENARIUSZ II:</w:t>
      </w:r>
      <w:r w:rsidRPr="001D200B">
        <w:t xml:space="preserve"> zostanie zachowane aktualne średnioroczne tempo przyrostu liczby nowych mieszkań (3000 m</w:t>
      </w:r>
      <w:r w:rsidRPr="001D200B">
        <w:rPr>
          <w:vertAlign w:val="superscript"/>
        </w:rPr>
        <w:t>2</w:t>
      </w:r>
      <w:r w:rsidRPr="001D200B">
        <w:t>);</w:t>
      </w:r>
    </w:p>
    <w:p w:rsidR="00F006D6" w:rsidRPr="001D200B" w:rsidRDefault="00F006D6" w:rsidP="00F006D6">
      <w:r w:rsidRPr="001D200B">
        <w:rPr>
          <w:b/>
          <w:iCs/>
        </w:rPr>
        <w:t>SCENARIUSZ III:</w:t>
      </w:r>
      <w:r w:rsidRPr="001D200B">
        <w:t xml:space="preserve"> (optymistyczny) wzrośnie tempo przyrostu liczby nowych mieszkań, których powierzchnia użytkowa będzie wynosić maksymalnie do 6.000m</w:t>
      </w:r>
      <w:r w:rsidRPr="001D200B">
        <w:rPr>
          <w:vertAlign w:val="superscript"/>
        </w:rPr>
        <w:t>2</w:t>
      </w:r>
      <w:r w:rsidRPr="001D200B">
        <w:t>/rok.</w:t>
      </w:r>
    </w:p>
    <w:p w:rsidR="00455A2E" w:rsidRPr="001D200B" w:rsidRDefault="00455A2E" w:rsidP="00455A2E">
      <w:pPr>
        <w:rPr>
          <w:u w:val="single"/>
          <w:lang w:eastAsia="en-US"/>
        </w:rPr>
      </w:pPr>
      <w:r w:rsidRPr="001D200B">
        <w:rPr>
          <w:u w:val="single"/>
          <w:lang w:eastAsia="en-US"/>
        </w:rPr>
        <w:t>Pozostałe założenia wspólne dla wszystkich scenariuszy:</w:t>
      </w:r>
    </w:p>
    <w:p w:rsidR="00455A2E" w:rsidRPr="001D200B" w:rsidRDefault="00455A2E" w:rsidP="00412E46">
      <w:pPr>
        <w:pStyle w:val="Akapitzlist"/>
        <w:numPr>
          <w:ilvl w:val="0"/>
          <w:numId w:val="29"/>
        </w:numPr>
        <w:rPr>
          <w:lang w:eastAsia="en-US"/>
        </w:rPr>
      </w:pPr>
      <w:r w:rsidRPr="001D200B">
        <w:rPr>
          <w:lang w:eastAsia="en-US"/>
        </w:rPr>
        <w:t>Charakter zabudowy pozostaje bez zmian.</w:t>
      </w:r>
    </w:p>
    <w:p w:rsidR="00874012" w:rsidRPr="001D200B" w:rsidRDefault="00455A2E" w:rsidP="00412E46">
      <w:pPr>
        <w:pStyle w:val="Akapitzlist"/>
        <w:numPr>
          <w:ilvl w:val="0"/>
          <w:numId w:val="29"/>
        </w:numPr>
        <w:rPr>
          <w:rFonts w:cstheme="minorHAnsi"/>
        </w:rPr>
      </w:pPr>
      <w:r w:rsidRPr="001D200B">
        <w:rPr>
          <w:lang w:eastAsia="en-US"/>
        </w:rPr>
        <w:t>W zakresie powstawania nowych placówek handlowo-usługowych faktyczne potrzeby zweryfikuje rynek. Rozwój tego sektora będzie adekwatny do przyrostu liczby mieszkań w nowym budownictwie mieszkaniowym.</w:t>
      </w:r>
    </w:p>
    <w:p w:rsidR="00761706" w:rsidRPr="001D200B" w:rsidRDefault="00761706" w:rsidP="00874012">
      <w:pPr>
        <w:rPr>
          <w:rFonts w:cstheme="minorHAnsi"/>
          <w:highlight w:val="yellow"/>
        </w:rPr>
      </w:pPr>
    </w:p>
    <w:p w:rsidR="00761706" w:rsidRPr="001D200B" w:rsidRDefault="00761706" w:rsidP="00361DA1">
      <w:pPr>
        <w:pStyle w:val="Tekstpodstawowy2"/>
        <w:tabs>
          <w:tab w:val="num" w:pos="284"/>
        </w:tabs>
        <w:spacing w:line="340" w:lineRule="atLeast"/>
        <w:rPr>
          <w:rFonts w:cstheme="minorHAnsi"/>
          <w:sz w:val="26"/>
          <w:highlight w:val="yellow"/>
        </w:rPr>
        <w:sectPr w:rsidR="00761706" w:rsidRPr="001D200B" w:rsidSect="0098674C">
          <w:pgSz w:w="11906" w:h="16838"/>
          <w:pgMar w:top="1418" w:right="1418" w:bottom="1418" w:left="1418" w:header="709" w:footer="709" w:gutter="0"/>
          <w:cols w:space="708"/>
          <w:docGrid w:linePitch="360"/>
        </w:sectPr>
      </w:pPr>
    </w:p>
    <w:p w:rsidR="00361DA1" w:rsidRPr="001D200B" w:rsidRDefault="00455A2E" w:rsidP="00455A2E">
      <w:pPr>
        <w:pStyle w:val="Legenda"/>
        <w:rPr>
          <w:rFonts w:cstheme="minorHAnsi"/>
          <w:color w:val="auto"/>
          <w:sz w:val="26"/>
        </w:rPr>
      </w:pPr>
      <w:bookmarkStart w:id="47" w:name="_Toc39476569"/>
      <w:r w:rsidRPr="001D200B">
        <w:rPr>
          <w:color w:val="auto"/>
        </w:rPr>
        <w:lastRenderedPageBreak/>
        <w:t xml:space="preserve">Tabela </w:t>
      </w:r>
      <w:r w:rsidR="005B7234" w:rsidRPr="001D200B">
        <w:rPr>
          <w:color w:val="auto"/>
        </w:rPr>
        <w:fldChar w:fldCharType="begin"/>
      </w:r>
      <w:r w:rsidR="005B7234" w:rsidRPr="001D200B">
        <w:rPr>
          <w:color w:val="auto"/>
        </w:rPr>
        <w:instrText xml:space="preserve"> SEQ Tabela \* ARABIC </w:instrText>
      </w:r>
      <w:r w:rsidR="005B7234" w:rsidRPr="001D200B">
        <w:rPr>
          <w:color w:val="auto"/>
        </w:rPr>
        <w:fldChar w:fldCharType="separate"/>
      </w:r>
      <w:r w:rsidR="00975320" w:rsidRPr="001D200B">
        <w:rPr>
          <w:noProof/>
          <w:color w:val="auto"/>
        </w:rPr>
        <w:t>17</w:t>
      </w:r>
      <w:r w:rsidR="005B7234" w:rsidRPr="001D200B">
        <w:rPr>
          <w:color w:val="auto"/>
        </w:rPr>
        <w:fldChar w:fldCharType="end"/>
      </w:r>
      <w:r w:rsidRPr="001D200B">
        <w:rPr>
          <w:color w:val="auto"/>
        </w:rPr>
        <w:t>. Przyszłościowy bilans ciepła dla gminy Połaniec</w:t>
      </w:r>
      <w:bookmarkEnd w:id="47"/>
    </w:p>
    <w:tbl>
      <w:tblPr>
        <w:tblW w:w="13698" w:type="dxa"/>
        <w:jc w:val="center"/>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9"/>
        <w:gridCol w:w="26"/>
        <w:gridCol w:w="45"/>
        <w:gridCol w:w="1347"/>
        <w:gridCol w:w="26"/>
        <w:gridCol w:w="1391"/>
        <w:gridCol w:w="26"/>
        <w:gridCol w:w="1250"/>
        <w:gridCol w:w="26"/>
        <w:gridCol w:w="1392"/>
        <w:gridCol w:w="26"/>
        <w:gridCol w:w="1249"/>
        <w:gridCol w:w="26"/>
        <w:gridCol w:w="1392"/>
        <w:gridCol w:w="26"/>
        <w:gridCol w:w="1250"/>
        <w:gridCol w:w="26"/>
        <w:gridCol w:w="1249"/>
        <w:gridCol w:w="26"/>
        <w:gridCol w:w="1340"/>
      </w:tblGrid>
      <w:tr w:rsidR="00455A2E" w:rsidRPr="001D200B" w:rsidTr="0081550C">
        <w:trPr>
          <w:cantSplit/>
          <w:jc w:val="center"/>
        </w:trPr>
        <w:tc>
          <w:tcPr>
            <w:tcW w:w="13698" w:type="dxa"/>
            <w:gridSpan w:val="20"/>
            <w:shd w:val="clear" w:color="auto" w:fill="F2F2F2" w:themeFill="background1" w:themeFillShade="F2"/>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SCENARIUSZ I</w:t>
            </w:r>
          </w:p>
        </w:tc>
      </w:tr>
      <w:tr w:rsidR="00455A2E" w:rsidRPr="001D200B" w:rsidTr="0081550C">
        <w:trPr>
          <w:cantSplit/>
          <w:jc w:val="center"/>
        </w:trPr>
        <w:tc>
          <w:tcPr>
            <w:tcW w:w="1559" w:type="dxa"/>
            <w:vMerge w:val="restart"/>
            <w:vAlign w:val="center"/>
          </w:tcPr>
          <w:p w:rsidR="00455A2E" w:rsidRPr="001D200B" w:rsidRDefault="00455A2E" w:rsidP="0081550C">
            <w:pPr>
              <w:pStyle w:val="Tekstpodstawowy2"/>
              <w:spacing w:before="0" w:after="0" w:line="240" w:lineRule="auto"/>
              <w:jc w:val="center"/>
              <w:rPr>
                <w:sz w:val="22"/>
                <w:szCs w:val="22"/>
              </w:rPr>
            </w:pPr>
            <w:r w:rsidRPr="001D200B">
              <w:rPr>
                <w:sz w:val="22"/>
                <w:szCs w:val="22"/>
              </w:rPr>
              <w:t>#</w:t>
            </w:r>
          </w:p>
        </w:tc>
        <w:tc>
          <w:tcPr>
            <w:tcW w:w="4111" w:type="dxa"/>
            <w:gridSpan w:val="7"/>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Przyrost wynikający ze zwiększenia liczby budynków</w:t>
            </w:r>
          </w:p>
        </w:tc>
        <w:tc>
          <w:tcPr>
            <w:tcW w:w="4111" w:type="dxa"/>
            <w:gridSpan w:val="6"/>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Zmniejszenie wynikające z termomodernizacji</w:t>
            </w:r>
          </w:p>
        </w:tc>
        <w:tc>
          <w:tcPr>
            <w:tcW w:w="3917" w:type="dxa"/>
            <w:gridSpan w:val="6"/>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Suma (stan obecny + przyrosty)</w:t>
            </w:r>
          </w:p>
        </w:tc>
      </w:tr>
      <w:tr w:rsidR="00455A2E" w:rsidRPr="001D200B" w:rsidTr="0081550C">
        <w:trPr>
          <w:cantSplit/>
          <w:jc w:val="center"/>
        </w:trPr>
        <w:tc>
          <w:tcPr>
            <w:tcW w:w="1559" w:type="dxa"/>
            <w:vMerge/>
            <w:vAlign w:val="center"/>
          </w:tcPr>
          <w:p w:rsidR="00455A2E" w:rsidRPr="001D200B" w:rsidRDefault="00455A2E" w:rsidP="0081550C">
            <w:pPr>
              <w:pStyle w:val="Tekstpodstawowy2"/>
              <w:spacing w:before="0" w:after="0" w:line="240" w:lineRule="auto"/>
              <w:rPr>
                <w:sz w:val="22"/>
                <w:szCs w:val="22"/>
              </w:rPr>
            </w:pPr>
          </w:p>
        </w:tc>
        <w:tc>
          <w:tcPr>
            <w:tcW w:w="1418" w:type="dxa"/>
            <w:gridSpan w:val="3"/>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2025</w:t>
            </w:r>
          </w:p>
        </w:tc>
        <w:tc>
          <w:tcPr>
            <w:tcW w:w="1417" w:type="dxa"/>
            <w:gridSpan w:val="2"/>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2030</w:t>
            </w:r>
          </w:p>
        </w:tc>
        <w:tc>
          <w:tcPr>
            <w:tcW w:w="1276" w:type="dxa"/>
            <w:gridSpan w:val="2"/>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2035</w:t>
            </w:r>
          </w:p>
        </w:tc>
        <w:tc>
          <w:tcPr>
            <w:tcW w:w="1418" w:type="dxa"/>
            <w:gridSpan w:val="2"/>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2025</w:t>
            </w:r>
          </w:p>
        </w:tc>
        <w:tc>
          <w:tcPr>
            <w:tcW w:w="1275" w:type="dxa"/>
            <w:gridSpan w:val="2"/>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2030</w:t>
            </w:r>
          </w:p>
        </w:tc>
        <w:tc>
          <w:tcPr>
            <w:tcW w:w="1418" w:type="dxa"/>
            <w:gridSpan w:val="2"/>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2035</w:t>
            </w:r>
          </w:p>
        </w:tc>
        <w:tc>
          <w:tcPr>
            <w:tcW w:w="1276" w:type="dxa"/>
            <w:gridSpan w:val="2"/>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2025</w:t>
            </w:r>
          </w:p>
        </w:tc>
        <w:tc>
          <w:tcPr>
            <w:tcW w:w="1275" w:type="dxa"/>
            <w:gridSpan w:val="2"/>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2030</w:t>
            </w:r>
          </w:p>
        </w:tc>
        <w:tc>
          <w:tcPr>
            <w:tcW w:w="1366" w:type="dxa"/>
            <w:gridSpan w:val="2"/>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2035</w:t>
            </w:r>
          </w:p>
        </w:tc>
      </w:tr>
      <w:tr w:rsidR="007B184F" w:rsidRPr="001D200B" w:rsidTr="0081550C">
        <w:trPr>
          <w:cantSplit/>
          <w:jc w:val="center"/>
        </w:trPr>
        <w:tc>
          <w:tcPr>
            <w:tcW w:w="1559" w:type="dxa"/>
            <w:vAlign w:val="center"/>
          </w:tcPr>
          <w:p w:rsidR="007B184F" w:rsidRPr="001D200B" w:rsidRDefault="007B184F" w:rsidP="0081550C">
            <w:pPr>
              <w:pStyle w:val="Tekstpodstawowy2"/>
              <w:spacing w:before="0" w:after="0" w:line="240" w:lineRule="auto"/>
              <w:rPr>
                <w:b/>
              </w:rPr>
            </w:pPr>
            <w:r w:rsidRPr="001D200B">
              <w:rPr>
                <w:b/>
              </w:rPr>
              <w:t>Moc (MW)</w:t>
            </w:r>
          </w:p>
        </w:tc>
        <w:tc>
          <w:tcPr>
            <w:tcW w:w="1418" w:type="dxa"/>
            <w:gridSpan w:val="3"/>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0,61</w:t>
            </w:r>
          </w:p>
        </w:tc>
        <w:tc>
          <w:tcPr>
            <w:tcW w:w="1417"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1,04</w:t>
            </w:r>
          </w:p>
        </w:tc>
        <w:tc>
          <w:tcPr>
            <w:tcW w:w="1276"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1,39</w:t>
            </w:r>
          </w:p>
        </w:tc>
        <w:tc>
          <w:tcPr>
            <w:tcW w:w="1418"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0,15</w:t>
            </w:r>
          </w:p>
        </w:tc>
        <w:tc>
          <w:tcPr>
            <w:tcW w:w="1275"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0,38</w:t>
            </w:r>
          </w:p>
        </w:tc>
        <w:tc>
          <w:tcPr>
            <w:tcW w:w="1418"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0,61</w:t>
            </w:r>
          </w:p>
        </w:tc>
        <w:tc>
          <w:tcPr>
            <w:tcW w:w="1276"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43,6</w:t>
            </w:r>
          </w:p>
        </w:tc>
        <w:tc>
          <w:tcPr>
            <w:tcW w:w="1275"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43,8</w:t>
            </w:r>
          </w:p>
        </w:tc>
        <w:tc>
          <w:tcPr>
            <w:tcW w:w="1366"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43,9</w:t>
            </w:r>
          </w:p>
        </w:tc>
      </w:tr>
      <w:tr w:rsidR="007B184F" w:rsidRPr="001D200B" w:rsidTr="0081550C">
        <w:trPr>
          <w:cantSplit/>
          <w:trHeight w:val="372"/>
          <w:jc w:val="center"/>
        </w:trPr>
        <w:tc>
          <w:tcPr>
            <w:tcW w:w="1559" w:type="dxa"/>
            <w:vAlign w:val="center"/>
          </w:tcPr>
          <w:p w:rsidR="007B184F" w:rsidRPr="001D200B" w:rsidRDefault="007B184F" w:rsidP="0081550C">
            <w:pPr>
              <w:pStyle w:val="Tekstpodstawowy2"/>
              <w:spacing w:before="0" w:after="0" w:line="240" w:lineRule="auto"/>
              <w:rPr>
                <w:b/>
              </w:rPr>
            </w:pPr>
            <w:r w:rsidRPr="001D200B">
              <w:rPr>
                <w:b/>
              </w:rPr>
              <w:t>Energia (TJ)</w:t>
            </w:r>
          </w:p>
        </w:tc>
        <w:tc>
          <w:tcPr>
            <w:tcW w:w="1418" w:type="dxa"/>
            <w:gridSpan w:val="3"/>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6,3</w:t>
            </w:r>
          </w:p>
        </w:tc>
        <w:tc>
          <w:tcPr>
            <w:tcW w:w="1417"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10,8</w:t>
            </w:r>
          </w:p>
        </w:tc>
        <w:tc>
          <w:tcPr>
            <w:tcW w:w="1276"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14,4</w:t>
            </w:r>
          </w:p>
        </w:tc>
        <w:tc>
          <w:tcPr>
            <w:tcW w:w="1418"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1,48</w:t>
            </w:r>
          </w:p>
        </w:tc>
        <w:tc>
          <w:tcPr>
            <w:tcW w:w="1275"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3,69</w:t>
            </w:r>
          </w:p>
        </w:tc>
        <w:tc>
          <w:tcPr>
            <w:tcW w:w="1418"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5,91</w:t>
            </w:r>
          </w:p>
        </w:tc>
        <w:tc>
          <w:tcPr>
            <w:tcW w:w="1276"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315,8</w:t>
            </w:r>
          </w:p>
        </w:tc>
        <w:tc>
          <w:tcPr>
            <w:tcW w:w="1275"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318,1</w:t>
            </w:r>
          </w:p>
        </w:tc>
        <w:tc>
          <w:tcPr>
            <w:tcW w:w="1366"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319,5</w:t>
            </w:r>
          </w:p>
        </w:tc>
      </w:tr>
      <w:tr w:rsidR="00455A2E" w:rsidRPr="001D200B" w:rsidTr="0081550C">
        <w:trPr>
          <w:cantSplit/>
          <w:jc w:val="center"/>
        </w:trPr>
        <w:tc>
          <w:tcPr>
            <w:tcW w:w="13698" w:type="dxa"/>
            <w:gridSpan w:val="20"/>
            <w:shd w:val="clear" w:color="auto" w:fill="F2F2F2" w:themeFill="background1" w:themeFillShade="F2"/>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SCENARIUSZ II</w:t>
            </w:r>
          </w:p>
        </w:tc>
      </w:tr>
      <w:tr w:rsidR="00455A2E" w:rsidRPr="001D200B" w:rsidTr="0081550C">
        <w:trPr>
          <w:cantSplit/>
          <w:jc w:val="center"/>
        </w:trPr>
        <w:tc>
          <w:tcPr>
            <w:tcW w:w="1585" w:type="dxa"/>
            <w:gridSpan w:val="2"/>
            <w:vMerge w:val="restart"/>
            <w:vAlign w:val="center"/>
          </w:tcPr>
          <w:p w:rsidR="00455A2E" w:rsidRPr="001D200B" w:rsidRDefault="00455A2E" w:rsidP="0081550C">
            <w:pPr>
              <w:pStyle w:val="Tekstpodstawowy2"/>
              <w:spacing w:before="0" w:after="0" w:line="240" w:lineRule="auto"/>
              <w:jc w:val="center"/>
            </w:pPr>
            <w:r w:rsidRPr="001D200B">
              <w:t>#</w:t>
            </w:r>
          </w:p>
        </w:tc>
        <w:tc>
          <w:tcPr>
            <w:tcW w:w="4111" w:type="dxa"/>
            <w:gridSpan w:val="7"/>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Przyrost wynikający ze zwiększenia liczby budynków</w:t>
            </w:r>
          </w:p>
        </w:tc>
        <w:tc>
          <w:tcPr>
            <w:tcW w:w="4111" w:type="dxa"/>
            <w:gridSpan w:val="6"/>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Zmniejszenie wynikające z termomodernizacji</w:t>
            </w:r>
          </w:p>
        </w:tc>
        <w:tc>
          <w:tcPr>
            <w:tcW w:w="3891" w:type="dxa"/>
            <w:gridSpan w:val="5"/>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Suma (stan obecny + przyrosty)</w:t>
            </w:r>
          </w:p>
        </w:tc>
      </w:tr>
      <w:tr w:rsidR="00455A2E" w:rsidRPr="001D200B" w:rsidTr="0081550C">
        <w:trPr>
          <w:cantSplit/>
          <w:jc w:val="center"/>
        </w:trPr>
        <w:tc>
          <w:tcPr>
            <w:tcW w:w="1585" w:type="dxa"/>
            <w:gridSpan w:val="2"/>
            <w:vMerge/>
            <w:vAlign w:val="center"/>
          </w:tcPr>
          <w:p w:rsidR="00455A2E" w:rsidRPr="001D200B" w:rsidRDefault="00455A2E" w:rsidP="0081550C">
            <w:pPr>
              <w:pStyle w:val="Tekstpodstawowy2"/>
              <w:spacing w:before="0" w:after="0" w:line="240" w:lineRule="auto"/>
            </w:pPr>
          </w:p>
        </w:tc>
        <w:tc>
          <w:tcPr>
            <w:tcW w:w="1418" w:type="dxa"/>
            <w:gridSpan w:val="3"/>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2025</w:t>
            </w:r>
          </w:p>
        </w:tc>
        <w:tc>
          <w:tcPr>
            <w:tcW w:w="1417" w:type="dxa"/>
            <w:gridSpan w:val="2"/>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2030</w:t>
            </w:r>
          </w:p>
        </w:tc>
        <w:tc>
          <w:tcPr>
            <w:tcW w:w="1276" w:type="dxa"/>
            <w:gridSpan w:val="2"/>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2035</w:t>
            </w:r>
          </w:p>
        </w:tc>
        <w:tc>
          <w:tcPr>
            <w:tcW w:w="1418" w:type="dxa"/>
            <w:gridSpan w:val="2"/>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2025</w:t>
            </w:r>
          </w:p>
        </w:tc>
        <w:tc>
          <w:tcPr>
            <w:tcW w:w="1275" w:type="dxa"/>
            <w:gridSpan w:val="2"/>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2030</w:t>
            </w:r>
          </w:p>
        </w:tc>
        <w:tc>
          <w:tcPr>
            <w:tcW w:w="1418" w:type="dxa"/>
            <w:gridSpan w:val="2"/>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2035</w:t>
            </w:r>
          </w:p>
        </w:tc>
        <w:tc>
          <w:tcPr>
            <w:tcW w:w="1276" w:type="dxa"/>
            <w:gridSpan w:val="2"/>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2025</w:t>
            </w:r>
          </w:p>
        </w:tc>
        <w:tc>
          <w:tcPr>
            <w:tcW w:w="1275" w:type="dxa"/>
            <w:gridSpan w:val="2"/>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2030</w:t>
            </w:r>
          </w:p>
        </w:tc>
        <w:tc>
          <w:tcPr>
            <w:tcW w:w="1340" w:type="dxa"/>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2035</w:t>
            </w:r>
          </w:p>
        </w:tc>
      </w:tr>
      <w:tr w:rsidR="007B184F" w:rsidRPr="001D200B" w:rsidTr="0081550C">
        <w:trPr>
          <w:cantSplit/>
          <w:jc w:val="center"/>
        </w:trPr>
        <w:tc>
          <w:tcPr>
            <w:tcW w:w="1585" w:type="dxa"/>
            <w:gridSpan w:val="2"/>
            <w:vAlign w:val="center"/>
          </w:tcPr>
          <w:p w:rsidR="007B184F" w:rsidRPr="001D200B" w:rsidRDefault="007B184F" w:rsidP="0081550C">
            <w:pPr>
              <w:pStyle w:val="Tekstpodstawowy2"/>
              <w:spacing w:before="0" w:after="0" w:line="240" w:lineRule="auto"/>
              <w:rPr>
                <w:b/>
              </w:rPr>
            </w:pPr>
            <w:r w:rsidRPr="001D200B">
              <w:rPr>
                <w:b/>
              </w:rPr>
              <w:t>Moc (MW)</w:t>
            </w:r>
          </w:p>
        </w:tc>
        <w:tc>
          <w:tcPr>
            <w:tcW w:w="1418" w:type="dxa"/>
            <w:gridSpan w:val="3"/>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1,29</w:t>
            </w:r>
          </w:p>
        </w:tc>
        <w:tc>
          <w:tcPr>
            <w:tcW w:w="1417"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2,29</w:t>
            </w:r>
          </w:p>
        </w:tc>
        <w:tc>
          <w:tcPr>
            <w:tcW w:w="1276"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3,02</w:t>
            </w:r>
          </w:p>
        </w:tc>
        <w:tc>
          <w:tcPr>
            <w:tcW w:w="1418"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0,15</w:t>
            </w:r>
          </w:p>
        </w:tc>
        <w:tc>
          <w:tcPr>
            <w:tcW w:w="1275"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0,38</w:t>
            </w:r>
          </w:p>
        </w:tc>
        <w:tc>
          <w:tcPr>
            <w:tcW w:w="1418"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0,61</w:t>
            </w:r>
          </w:p>
        </w:tc>
        <w:tc>
          <w:tcPr>
            <w:tcW w:w="1276"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44,24</w:t>
            </w:r>
          </w:p>
        </w:tc>
        <w:tc>
          <w:tcPr>
            <w:tcW w:w="1275"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45,01</w:t>
            </w:r>
          </w:p>
        </w:tc>
        <w:tc>
          <w:tcPr>
            <w:tcW w:w="1340" w:type="dxa"/>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45,51</w:t>
            </w:r>
          </w:p>
        </w:tc>
      </w:tr>
      <w:tr w:rsidR="007B184F" w:rsidRPr="001D200B" w:rsidTr="0081550C">
        <w:trPr>
          <w:cantSplit/>
          <w:jc w:val="center"/>
        </w:trPr>
        <w:tc>
          <w:tcPr>
            <w:tcW w:w="1585" w:type="dxa"/>
            <w:gridSpan w:val="2"/>
            <w:vAlign w:val="center"/>
          </w:tcPr>
          <w:p w:rsidR="007B184F" w:rsidRPr="001D200B" w:rsidRDefault="007B184F" w:rsidP="0081550C">
            <w:pPr>
              <w:pStyle w:val="Tekstpodstawowy2"/>
              <w:spacing w:before="0" w:after="0" w:line="240" w:lineRule="auto"/>
              <w:rPr>
                <w:b/>
              </w:rPr>
            </w:pPr>
            <w:r w:rsidRPr="001D200B">
              <w:rPr>
                <w:b/>
              </w:rPr>
              <w:t>Energia (TJ)</w:t>
            </w:r>
          </w:p>
        </w:tc>
        <w:tc>
          <w:tcPr>
            <w:tcW w:w="1418" w:type="dxa"/>
            <w:gridSpan w:val="3"/>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13,86</w:t>
            </w:r>
          </w:p>
        </w:tc>
        <w:tc>
          <w:tcPr>
            <w:tcW w:w="1417"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23,76</w:t>
            </w:r>
          </w:p>
        </w:tc>
        <w:tc>
          <w:tcPr>
            <w:tcW w:w="1276"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33,66</w:t>
            </w:r>
          </w:p>
        </w:tc>
        <w:tc>
          <w:tcPr>
            <w:tcW w:w="1418"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1,48</w:t>
            </w:r>
          </w:p>
        </w:tc>
        <w:tc>
          <w:tcPr>
            <w:tcW w:w="1275"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3,69</w:t>
            </w:r>
          </w:p>
        </w:tc>
        <w:tc>
          <w:tcPr>
            <w:tcW w:w="1418"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5,91</w:t>
            </w:r>
          </w:p>
        </w:tc>
        <w:tc>
          <w:tcPr>
            <w:tcW w:w="1276"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323,4</w:t>
            </w:r>
          </w:p>
        </w:tc>
        <w:tc>
          <w:tcPr>
            <w:tcW w:w="1275"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331,1</w:t>
            </w:r>
          </w:p>
        </w:tc>
        <w:tc>
          <w:tcPr>
            <w:tcW w:w="1340" w:type="dxa"/>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338,7</w:t>
            </w:r>
          </w:p>
        </w:tc>
      </w:tr>
      <w:tr w:rsidR="00455A2E" w:rsidRPr="001D200B" w:rsidTr="0081550C">
        <w:trPr>
          <w:cantSplit/>
          <w:jc w:val="center"/>
        </w:trPr>
        <w:tc>
          <w:tcPr>
            <w:tcW w:w="13698" w:type="dxa"/>
            <w:gridSpan w:val="20"/>
            <w:shd w:val="clear" w:color="auto" w:fill="F2F2F2" w:themeFill="background1" w:themeFillShade="F2"/>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SCENARIUSZ III</w:t>
            </w:r>
          </w:p>
        </w:tc>
      </w:tr>
      <w:tr w:rsidR="00455A2E" w:rsidRPr="001D200B" w:rsidTr="0081550C">
        <w:trPr>
          <w:cantSplit/>
          <w:jc w:val="center"/>
        </w:trPr>
        <w:tc>
          <w:tcPr>
            <w:tcW w:w="1630" w:type="dxa"/>
            <w:gridSpan w:val="3"/>
            <w:vMerge w:val="restart"/>
            <w:vAlign w:val="center"/>
          </w:tcPr>
          <w:p w:rsidR="00455A2E" w:rsidRPr="001D200B" w:rsidRDefault="00455A2E" w:rsidP="0081550C">
            <w:pPr>
              <w:pStyle w:val="Tekstpodstawowy2"/>
              <w:spacing w:before="0" w:after="0" w:line="240" w:lineRule="auto"/>
              <w:jc w:val="center"/>
            </w:pPr>
            <w:r w:rsidRPr="001D200B">
              <w:t>#</w:t>
            </w:r>
          </w:p>
        </w:tc>
        <w:tc>
          <w:tcPr>
            <w:tcW w:w="4066" w:type="dxa"/>
            <w:gridSpan w:val="6"/>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Przyrost wynikający ze zwiększenia liczby budynków</w:t>
            </w:r>
          </w:p>
        </w:tc>
        <w:tc>
          <w:tcPr>
            <w:tcW w:w="4111" w:type="dxa"/>
            <w:gridSpan w:val="6"/>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Zmniejszenie wynikające z termomodernizacji</w:t>
            </w:r>
          </w:p>
        </w:tc>
        <w:tc>
          <w:tcPr>
            <w:tcW w:w="3891" w:type="dxa"/>
            <w:gridSpan w:val="5"/>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Suma (stan obecny + przyrosty)</w:t>
            </w:r>
          </w:p>
        </w:tc>
      </w:tr>
      <w:tr w:rsidR="00455A2E" w:rsidRPr="001D200B" w:rsidTr="0081550C">
        <w:trPr>
          <w:cantSplit/>
          <w:jc w:val="center"/>
        </w:trPr>
        <w:tc>
          <w:tcPr>
            <w:tcW w:w="1630" w:type="dxa"/>
            <w:gridSpan w:val="3"/>
            <w:vMerge/>
            <w:vAlign w:val="center"/>
          </w:tcPr>
          <w:p w:rsidR="00455A2E" w:rsidRPr="001D200B" w:rsidRDefault="00455A2E" w:rsidP="0081550C">
            <w:pPr>
              <w:pStyle w:val="Tekstpodstawowy2"/>
              <w:spacing w:before="0" w:after="0" w:line="240" w:lineRule="auto"/>
            </w:pPr>
          </w:p>
        </w:tc>
        <w:tc>
          <w:tcPr>
            <w:tcW w:w="1373" w:type="dxa"/>
            <w:gridSpan w:val="2"/>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2025</w:t>
            </w:r>
          </w:p>
        </w:tc>
        <w:tc>
          <w:tcPr>
            <w:tcW w:w="1417" w:type="dxa"/>
            <w:gridSpan w:val="2"/>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2030</w:t>
            </w:r>
          </w:p>
        </w:tc>
        <w:tc>
          <w:tcPr>
            <w:tcW w:w="1276" w:type="dxa"/>
            <w:gridSpan w:val="2"/>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2035</w:t>
            </w:r>
          </w:p>
        </w:tc>
        <w:tc>
          <w:tcPr>
            <w:tcW w:w="1418" w:type="dxa"/>
            <w:gridSpan w:val="2"/>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2025</w:t>
            </w:r>
          </w:p>
        </w:tc>
        <w:tc>
          <w:tcPr>
            <w:tcW w:w="1275" w:type="dxa"/>
            <w:gridSpan w:val="2"/>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2030</w:t>
            </w:r>
          </w:p>
        </w:tc>
        <w:tc>
          <w:tcPr>
            <w:tcW w:w="1418" w:type="dxa"/>
            <w:gridSpan w:val="2"/>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2035</w:t>
            </w:r>
          </w:p>
        </w:tc>
        <w:tc>
          <w:tcPr>
            <w:tcW w:w="1276" w:type="dxa"/>
            <w:gridSpan w:val="2"/>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2025</w:t>
            </w:r>
          </w:p>
        </w:tc>
        <w:tc>
          <w:tcPr>
            <w:tcW w:w="1275" w:type="dxa"/>
            <w:gridSpan w:val="2"/>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2030</w:t>
            </w:r>
          </w:p>
        </w:tc>
        <w:tc>
          <w:tcPr>
            <w:tcW w:w="1340" w:type="dxa"/>
            <w:shd w:val="clear" w:color="auto" w:fill="D9D9D9" w:themeFill="background1" w:themeFillShade="D9"/>
            <w:vAlign w:val="center"/>
          </w:tcPr>
          <w:p w:rsidR="00455A2E" w:rsidRPr="001D200B" w:rsidRDefault="00455A2E" w:rsidP="0081550C">
            <w:pPr>
              <w:pStyle w:val="Tekstpodstawowy2"/>
              <w:spacing w:before="0" w:after="0" w:line="240" w:lineRule="auto"/>
              <w:jc w:val="center"/>
              <w:rPr>
                <w:b/>
                <w:sz w:val="22"/>
                <w:szCs w:val="22"/>
              </w:rPr>
            </w:pPr>
            <w:r w:rsidRPr="001D200B">
              <w:rPr>
                <w:b/>
                <w:sz w:val="22"/>
                <w:szCs w:val="22"/>
              </w:rPr>
              <w:t>2035</w:t>
            </w:r>
          </w:p>
        </w:tc>
      </w:tr>
      <w:tr w:rsidR="007B184F" w:rsidRPr="001D200B" w:rsidTr="0081550C">
        <w:trPr>
          <w:cantSplit/>
          <w:jc w:val="center"/>
        </w:trPr>
        <w:tc>
          <w:tcPr>
            <w:tcW w:w="1630" w:type="dxa"/>
            <w:gridSpan w:val="3"/>
            <w:shd w:val="clear" w:color="auto" w:fill="auto"/>
            <w:vAlign w:val="center"/>
          </w:tcPr>
          <w:p w:rsidR="007B184F" w:rsidRPr="001D200B" w:rsidRDefault="007B184F" w:rsidP="0081550C">
            <w:pPr>
              <w:pStyle w:val="Tekstpodstawowy2"/>
              <w:spacing w:before="0" w:after="0" w:line="240" w:lineRule="auto"/>
              <w:rPr>
                <w:b/>
              </w:rPr>
            </w:pPr>
            <w:r w:rsidRPr="001D200B">
              <w:rPr>
                <w:b/>
              </w:rPr>
              <w:t>Moc (MW)</w:t>
            </w:r>
          </w:p>
        </w:tc>
        <w:tc>
          <w:tcPr>
            <w:tcW w:w="1373"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2,18</w:t>
            </w:r>
          </w:p>
        </w:tc>
        <w:tc>
          <w:tcPr>
            <w:tcW w:w="1417"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3,44</w:t>
            </w:r>
          </w:p>
        </w:tc>
        <w:tc>
          <w:tcPr>
            <w:tcW w:w="1276"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5,94</w:t>
            </w:r>
          </w:p>
        </w:tc>
        <w:tc>
          <w:tcPr>
            <w:tcW w:w="1418"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0,15</w:t>
            </w:r>
          </w:p>
        </w:tc>
        <w:tc>
          <w:tcPr>
            <w:tcW w:w="1275"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0,38</w:t>
            </w:r>
          </w:p>
        </w:tc>
        <w:tc>
          <w:tcPr>
            <w:tcW w:w="1418"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0,61</w:t>
            </w:r>
          </w:p>
        </w:tc>
        <w:tc>
          <w:tcPr>
            <w:tcW w:w="1276"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45,13</w:t>
            </w:r>
          </w:p>
        </w:tc>
        <w:tc>
          <w:tcPr>
            <w:tcW w:w="1275"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46,16</w:t>
            </w:r>
          </w:p>
        </w:tc>
        <w:tc>
          <w:tcPr>
            <w:tcW w:w="1340" w:type="dxa"/>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48,43</w:t>
            </w:r>
          </w:p>
        </w:tc>
      </w:tr>
      <w:tr w:rsidR="007B184F" w:rsidRPr="001D200B" w:rsidTr="0081550C">
        <w:trPr>
          <w:cantSplit/>
          <w:jc w:val="center"/>
        </w:trPr>
        <w:tc>
          <w:tcPr>
            <w:tcW w:w="1630" w:type="dxa"/>
            <w:gridSpan w:val="3"/>
            <w:shd w:val="clear" w:color="auto" w:fill="auto"/>
            <w:vAlign w:val="center"/>
          </w:tcPr>
          <w:p w:rsidR="007B184F" w:rsidRPr="001D200B" w:rsidRDefault="007B184F" w:rsidP="0081550C">
            <w:pPr>
              <w:pStyle w:val="Tekstpodstawowy2"/>
              <w:spacing w:before="0" w:after="0" w:line="240" w:lineRule="auto"/>
              <w:rPr>
                <w:b/>
              </w:rPr>
            </w:pPr>
            <w:r w:rsidRPr="001D200B">
              <w:rPr>
                <w:b/>
              </w:rPr>
              <w:t>Energia (TJ)</w:t>
            </w:r>
          </w:p>
        </w:tc>
        <w:tc>
          <w:tcPr>
            <w:tcW w:w="1373"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24,36</w:t>
            </w:r>
          </w:p>
        </w:tc>
        <w:tc>
          <w:tcPr>
            <w:tcW w:w="1417"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39,6</w:t>
            </w:r>
          </w:p>
        </w:tc>
        <w:tc>
          <w:tcPr>
            <w:tcW w:w="1276"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62,3</w:t>
            </w:r>
          </w:p>
        </w:tc>
        <w:tc>
          <w:tcPr>
            <w:tcW w:w="1418"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1,48</w:t>
            </w:r>
          </w:p>
        </w:tc>
        <w:tc>
          <w:tcPr>
            <w:tcW w:w="1275"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3,69</w:t>
            </w:r>
          </w:p>
        </w:tc>
        <w:tc>
          <w:tcPr>
            <w:tcW w:w="1418"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5,91</w:t>
            </w:r>
          </w:p>
        </w:tc>
        <w:tc>
          <w:tcPr>
            <w:tcW w:w="1276"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333,9</w:t>
            </w:r>
          </w:p>
        </w:tc>
        <w:tc>
          <w:tcPr>
            <w:tcW w:w="1275" w:type="dxa"/>
            <w:gridSpan w:val="2"/>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346,9</w:t>
            </w:r>
          </w:p>
        </w:tc>
        <w:tc>
          <w:tcPr>
            <w:tcW w:w="1340" w:type="dxa"/>
            <w:vAlign w:val="bottom"/>
          </w:tcPr>
          <w:p w:rsidR="007B184F" w:rsidRPr="001D200B" w:rsidRDefault="007B184F">
            <w:pPr>
              <w:jc w:val="center"/>
              <w:rPr>
                <w:rFonts w:ascii="Calibri" w:hAnsi="Calibri" w:cs="Calibri"/>
                <w:sz w:val="22"/>
                <w:szCs w:val="22"/>
              </w:rPr>
            </w:pPr>
            <w:r w:rsidRPr="001D200B">
              <w:rPr>
                <w:rFonts w:ascii="Calibri" w:hAnsi="Calibri" w:cs="Calibri"/>
                <w:sz w:val="22"/>
                <w:szCs w:val="22"/>
              </w:rPr>
              <w:t>367,4</w:t>
            </w:r>
          </w:p>
        </w:tc>
      </w:tr>
    </w:tbl>
    <w:p w:rsidR="00361DA1" w:rsidRPr="001D200B" w:rsidRDefault="00361DA1" w:rsidP="00455A2E">
      <w:pPr>
        <w:pStyle w:val="Tekstpodstawowy2"/>
        <w:rPr>
          <w:rFonts w:cstheme="minorHAnsi"/>
          <w:b/>
          <w:sz w:val="16"/>
          <w:u w:val="double"/>
        </w:rPr>
      </w:pPr>
    </w:p>
    <w:p w:rsidR="00761706" w:rsidRPr="001D200B" w:rsidRDefault="00761706" w:rsidP="00361DA1">
      <w:pPr>
        <w:pStyle w:val="Tekstpodstawowy2"/>
        <w:rPr>
          <w:rFonts w:cstheme="minorHAnsi"/>
          <w:bCs/>
          <w:sz w:val="26"/>
        </w:rPr>
      </w:pPr>
    </w:p>
    <w:p w:rsidR="00761706" w:rsidRPr="001D200B" w:rsidRDefault="00761706" w:rsidP="00F21741">
      <w:pPr>
        <w:pStyle w:val="Akapitzlist"/>
        <w:rPr>
          <w:highlight w:val="yellow"/>
        </w:rPr>
        <w:sectPr w:rsidR="00761706" w:rsidRPr="001D200B" w:rsidSect="00761706">
          <w:pgSz w:w="16838" w:h="11906" w:orient="landscape"/>
          <w:pgMar w:top="1418" w:right="1418" w:bottom="1418" w:left="1418" w:header="709" w:footer="709" w:gutter="0"/>
          <w:cols w:space="708"/>
          <w:docGrid w:linePitch="360"/>
        </w:sectPr>
      </w:pPr>
    </w:p>
    <w:p w:rsidR="00AF0DC5" w:rsidRPr="001D200B" w:rsidRDefault="00612B01" w:rsidP="00AF0DC5">
      <w:pPr>
        <w:pStyle w:val="Nagwek2"/>
        <w:rPr>
          <w:rFonts w:cstheme="minorHAnsi"/>
        </w:rPr>
      </w:pPr>
      <w:bookmarkStart w:id="48" w:name="_Toc31972824"/>
      <w:r w:rsidRPr="001D200B">
        <w:rPr>
          <w:rFonts w:cstheme="minorHAnsi"/>
        </w:rPr>
        <w:lastRenderedPageBreak/>
        <w:t>5</w:t>
      </w:r>
      <w:r w:rsidR="00AF0DC5" w:rsidRPr="001D200B">
        <w:rPr>
          <w:rFonts w:cstheme="minorHAnsi"/>
        </w:rPr>
        <w:t xml:space="preserve">. </w:t>
      </w:r>
      <w:r w:rsidR="002743BB" w:rsidRPr="001D200B">
        <w:rPr>
          <w:rFonts w:cstheme="minorHAnsi"/>
        </w:rPr>
        <w:t>Zestawienie nośników ciepła</w:t>
      </w:r>
      <w:bookmarkEnd w:id="48"/>
    </w:p>
    <w:p w:rsidR="00FD2B2C" w:rsidRPr="001D200B" w:rsidRDefault="00FD2B2C" w:rsidP="00FD2B2C">
      <w:pPr>
        <w:rPr>
          <w:rFonts w:cstheme="minorHAnsi"/>
        </w:rPr>
      </w:pPr>
      <w:r w:rsidRPr="001D200B">
        <w:t>Najwięcej ciepła produkuje się w zabudowie mieszkaniowej spalając w tym celu paliwa stałe (głównie węgiel kamienny i drewno). Na pozostałym miejscu w pozostaje ciepło dostarczane sieciowo, które na terenie Połańca pochodzi z członu ciepłowniczego Elektrowni Enea Połaniec S.A. Gaz ziemny i olej opałowy wykorzystywane są również w indywidualnych źródłach ciepła a ich udział w pokryciu potrzeb grzewczych szacuje się na poziomie odpowiednio około 2,5% i 1%. Energia elektryczna wykorzystywana jest powszechnie do przygotowywania ciepłej wody, wykorzystuje się w tym celu termy i bojlery elektryczne. Marginalne w skali gminy, jest wykorzystanie energii elektrycznej do celów grzewczych - ogrzewanie elektryczne jest częściej techniką „dogrzewania”, rzadziej ogrzewania podstawowego. Budynki mieszkalne gospodarstw domowych doposażone są w instalacje typu kolektory słoneczne - s</w:t>
      </w:r>
      <w:r w:rsidRPr="001D200B">
        <w:rPr>
          <w:rFonts w:cstheme="minorHAnsi"/>
        </w:rPr>
        <w:t>zacuje się, że tego typu instalacje posiada około 8% zabudowań mieszkalnych jednorodzinnych (na podstawie bazy danych do PGN dla gminy Połaniec).</w:t>
      </w:r>
    </w:p>
    <w:p w:rsidR="002743BB" w:rsidRPr="001D200B" w:rsidRDefault="002743BB" w:rsidP="002743BB">
      <w:pPr>
        <w:pStyle w:val="Nagwek2"/>
      </w:pPr>
      <w:bookmarkStart w:id="49" w:name="_Toc31972825"/>
      <w:r w:rsidRPr="001D200B">
        <w:t>6. Przedsięwzięcia racjonalizujące użytkowanie ciepła</w:t>
      </w:r>
      <w:bookmarkEnd w:id="49"/>
    </w:p>
    <w:p w:rsidR="002743BB" w:rsidRPr="001D200B" w:rsidRDefault="002743BB" w:rsidP="002743BB">
      <w:r w:rsidRPr="001D200B">
        <w:t>Zapotrzebowanie na energię cieplną nowej zabudowy sukcesywnie spada. Wynika to z możliwości wprowadzania nowych technologii, charakteryzujących się znacznie lepszymi współczynnikami przenikania ciepła. Normy, określające maksymalną wartość tego współczynnika, ulegały następującym zmianom (dla budynków mieszkalnych i użyteczności publicznej):</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1276"/>
        <w:gridCol w:w="1418"/>
        <w:gridCol w:w="1140"/>
        <w:gridCol w:w="1305"/>
      </w:tblGrid>
      <w:tr w:rsidR="002743BB" w:rsidRPr="001D200B" w:rsidTr="0081550C">
        <w:tc>
          <w:tcPr>
            <w:tcW w:w="4077" w:type="dxa"/>
            <w:vMerge w:val="restart"/>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b/>
                <w:bCs/>
                <w:color w:val="auto"/>
                <w:sz w:val="22"/>
                <w:szCs w:val="22"/>
              </w:rPr>
              <w:t>Współczynnik przenikania ciepła U (max) [W/(m</w:t>
            </w:r>
            <w:r w:rsidRPr="001D200B">
              <w:rPr>
                <w:rFonts w:asciiTheme="minorHAnsi" w:hAnsiTheme="minorHAnsi"/>
                <w:b/>
                <w:bCs/>
                <w:color w:val="auto"/>
                <w:sz w:val="22"/>
                <w:szCs w:val="22"/>
                <w:vertAlign w:val="superscript"/>
              </w:rPr>
              <w:t>2</w:t>
            </w:r>
            <w:r w:rsidRPr="001D200B">
              <w:rPr>
                <w:rFonts w:asciiTheme="minorHAnsi" w:hAnsiTheme="minorHAnsi"/>
                <w:b/>
                <w:bCs/>
                <w:color w:val="auto"/>
                <w:sz w:val="22"/>
                <w:szCs w:val="22"/>
              </w:rPr>
              <w:t>xK)]</w:t>
            </w:r>
          </w:p>
        </w:tc>
        <w:tc>
          <w:tcPr>
            <w:tcW w:w="5139" w:type="dxa"/>
            <w:gridSpan w:val="4"/>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b/>
                <w:bCs/>
                <w:color w:val="auto"/>
                <w:sz w:val="22"/>
                <w:szCs w:val="22"/>
              </w:rPr>
              <w:t>Rodzaj przegrody budowlanej</w:t>
            </w:r>
          </w:p>
        </w:tc>
      </w:tr>
      <w:tr w:rsidR="002743BB" w:rsidRPr="001D200B" w:rsidTr="0081550C">
        <w:tc>
          <w:tcPr>
            <w:tcW w:w="4077" w:type="dxa"/>
            <w:vMerge/>
          </w:tcPr>
          <w:p w:rsidR="002743BB" w:rsidRPr="001D200B" w:rsidRDefault="002743BB" w:rsidP="0081550C"/>
        </w:tc>
        <w:tc>
          <w:tcPr>
            <w:tcW w:w="1276" w:type="dxa"/>
          </w:tcPr>
          <w:p w:rsidR="002743BB" w:rsidRPr="001D200B" w:rsidRDefault="002743BB" w:rsidP="0081550C">
            <w:pPr>
              <w:pStyle w:val="Default"/>
              <w:rPr>
                <w:rFonts w:asciiTheme="minorHAnsi" w:hAnsiTheme="minorHAnsi"/>
                <w:color w:val="auto"/>
                <w:sz w:val="22"/>
                <w:szCs w:val="22"/>
              </w:rPr>
            </w:pPr>
            <w:r w:rsidRPr="001D200B">
              <w:rPr>
                <w:rFonts w:asciiTheme="minorHAnsi" w:hAnsiTheme="minorHAnsi"/>
                <w:b/>
                <w:bCs/>
                <w:color w:val="auto"/>
                <w:sz w:val="22"/>
                <w:szCs w:val="22"/>
              </w:rPr>
              <w:t xml:space="preserve">Ściana zewnętrzna </w:t>
            </w:r>
          </w:p>
        </w:tc>
        <w:tc>
          <w:tcPr>
            <w:tcW w:w="1418" w:type="dxa"/>
          </w:tcPr>
          <w:p w:rsidR="002743BB" w:rsidRPr="001D200B" w:rsidRDefault="002743BB" w:rsidP="0081550C">
            <w:pPr>
              <w:pStyle w:val="Default"/>
              <w:rPr>
                <w:rFonts w:asciiTheme="minorHAnsi" w:hAnsiTheme="minorHAnsi"/>
                <w:color w:val="auto"/>
                <w:sz w:val="22"/>
                <w:szCs w:val="22"/>
              </w:rPr>
            </w:pPr>
            <w:r w:rsidRPr="001D200B">
              <w:rPr>
                <w:rFonts w:asciiTheme="minorHAnsi" w:hAnsiTheme="minorHAnsi"/>
                <w:b/>
                <w:bCs/>
                <w:color w:val="auto"/>
                <w:sz w:val="22"/>
                <w:szCs w:val="22"/>
              </w:rPr>
              <w:t xml:space="preserve">Stropodach </w:t>
            </w:r>
          </w:p>
        </w:tc>
        <w:tc>
          <w:tcPr>
            <w:tcW w:w="1140" w:type="dxa"/>
          </w:tcPr>
          <w:p w:rsidR="002743BB" w:rsidRPr="001D200B" w:rsidRDefault="002743BB" w:rsidP="0081550C">
            <w:pPr>
              <w:pStyle w:val="Default"/>
              <w:rPr>
                <w:rFonts w:asciiTheme="minorHAnsi" w:hAnsiTheme="minorHAnsi"/>
                <w:color w:val="auto"/>
                <w:sz w:val="22"/>
                <w:szCs w:val="22"/>
              </w:rPr>
            </w:pPr>
            <w:r w:rsidRPr="001D200B">
              <w:rPr>
                <w:rFonts w:asciiTheme="minorHAnsi" w:hAnsiTheme="minorHAnsi"/>
                <w:b/>
                <w:bCs/>
                <w:color w:val="auto"/>
                <w:sz w:val="22"/>
                <w:szCs w:val="22"/>
              </w:rPr>
              <w:t xml:space="preserve">Okno zespolone </w:t>
            </w:r>
          </w:p>
        </w:tc>
        <w:tc>
          <w:tcPr>
            <w:tcW w:w="1305" w:type="dxa"/>
          </w:tcPr>
          <w:p w:rsidR="002743BB" w:rsidRPr="001D200B" w:rsidRDefault="002743BB" w:rsidP="0081550C">
            <w:pPr>
              <w:pStyle w:val="Default"/>
              <w:rPr>
                <w:rFonts w:asciiTheme="minorHAnsi" w:hAnsiTheme="minorHAnsi"/>
                <w:color w:val="auto"/>
                <w:sz w:val="22"/>
                <w:szCs w:val="22"/>
              </w:rPr>
            </w:pPr>
            <w:r w:rsidRPr="001D200B">
              <w:rPr>
                <w:rFonts w:asciiTheme="minorHAnsi" w:hAnsiTheme="minorHAnsi"/>
                <w:b/>
                <w:bCs/>
                <w:color w:val="auto"/>
                <w:sz w:val="22"/>
                <w:szCs w:val="22"/>
              </w:rPr>
              <w:t xml:space="preserve">Drzwi zewnętrzne </w:t>
            </w:r>
          </w:p>
        </w:tc>
      </w:tr>
      <w:tr w:rsidR="002743BB" w:rsidRPr="001D200B" w:rsidTr="0081550C">
        <w:tc>
          <w:tcPr>
            <w:tcW w:w="4077" w:type="dxa"/>
            <w:vAlign w:val="center"/>
          </w:tcPr>
          <w:p w:rsidR="002743BB" w:rsidRPr="001D200B" w:rsidRDefault="002743BB" w:rsidP="0081550C">
            <w:pPr>
              <w:pStyle w:val="Default"/>
              <w:ind w:firstLine="0"/>
              <w:jc w:val="left"/>
              <w:rPr>
                <w:rFonts w:asciiTheme="minorHAnsi" w:hAnsiTheme="minorHAnsi"/>
                <w:color w:val="auto"/>
                <w:sz w:val="22"/>
                <w:szCs w:val="22"/>
              </w:rPr>
            </w:pPr>
            <w:r w:rsidRPr="001D200B">
              <w:rPr>
                <w:rFonts w:asciiTheme="minorHAnsi" w:hAnsiTheme="minorHAnsi"/>
                <w:color w:val="auto"/>
                <w:sz w:val="22"/>
                <w:szCs w:val="22"/>
              </w:rPr>
              <w:t xml:space="preserve">PN-64/B-03404 </w:t>
            </w:r>
          </w:p>
        </w:tc>
        <w:tc>
          <w:tcPr>
            <w:tcW w:w="1276"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1,16</w:t>
            </w:r>
          </w:p>
        </w:tc>
        <w:tc>
          <w:tcPr>
            <w:tcW w:w="1418"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0,87</w:t>
            </w:r>
          </w:p>
        </w:tc>
        <w:tc>
          <w:tcPr>
            <w:tcW w:w="1140"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3,5</w:t>
            </w:r>
          </w:p>
        </w:tc>
        <w:tc>
          <w:tcPr>
            <w:tcW w:w="1305"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3,5</w:t>
            </w:r>
          </w:p>
        </w:tc>
      </w:tr>
      <w:tr w:rsidR="002743BB" w:rsidRPr="001D200B" w:rsidTr="0081550C">
        <w:tc>
          <w:tcPr>
            <w:tcW w:w="4077" w:type="dxa"/>
            <w:vAlign w:val="center"/>
          </w:tcPr>
          <w:p w:rsidR="002743BB" w:rsidRPr="001D200B" w:rsidRDefault="002743BB" w:rsidP="0081550C">
            <w:pPr>
              <w:pStyle w:val="Default"/>
              <w:ind w:firstLine="0"/>
              <w:jc w:val="left"/>
              <w:rPr>
                <w:rFonts w:asciiTheme="minorHAnsi" w:hAnsiTheme="minorHAnsi"/>
                <w:color w:val="auto"/>
                <w:sz w:val="22"/>
                <w:szCs w:val="22"/>
              </w:rPr>
            </w:pPr>
            <w:r w:rsidRPr="001D200B">
              <w:rPr>
                <w:rFonts w:asciiTheme="minorHAnsi" w:hAnsiTheme="minorHAnsi"/>
                <w:color w:val="auto"/>
                <w:sz w:val="22"/>
                <w:szCs w:val="22"/>
              </w:rPr>
              <w:t xml:space="preserve">PN-74/B-03404 </w:t>
            </w:r>
          </w:p>
        </w:tc>
        <w:tc>
          <w:tcPr>
            <w:tcW w:w="1276"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1,16</w:t>
            </w:r>
          </w:p>
        </w:tc>
        <w:tc>
          <w:tcPr>
            <w:tcW w:w="1418"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0,7</w:t>
            </w:r>
          </w:p>
        </w:tc>
        <w:tc>
          <w:tcPr>
            <w:tcW w:w="1140"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2,9</w:t>
            </w:r>
          </w:p>
        </w:tc>
        <w:tc>
          <w:tcPr>
            <w:tcW w:w="1305"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2,9</w:t>
            </w:r>
          </w:p>
        </w:tc>
      </w:tr>
      <w:tr w:rsidR="002743BB" w:rsidRPr="001D200B" w:rsidTr="0081550C">
        <w:tc>
          <w:tcPr>
            <w:tcW w:w="4077" w:type="dxa"/>
            <w:vAlign w:val="center"/>
          </w:tcPr>
          <w:p w:rsidR="002743BB" w:rsidRPr="001D200B" w:rsidRDefault="002743BB" w:rsidP="0081550C">
            <w:pPr>
              <w:pStyle w:val="Default"/>
              <w:ind w:firstLine="0"/>
              <w:jc w:val="left"/>
              <w:rPr>
                <w:rFonts w:asciiTheme="minorHAnsi" w:hAnsiTheme="minorHAnsi"/>
                <w:color w:val="auto"/>
                <w:sz w:val="22"/>
                <w:szCs w:val="22"/>
              </w:rPr>
            </w:pPr>
            <w:r w:rsidRPr="001D200B">
              <w:rPr>
                <w:rFonts w:asciiTheme="minorHAnsi" w:hAnsiTheme="minorHAnsi"/>
                <w:color w:val="auto"/>
                <w:sz w:val="22"/>
                <w:szCs w:val="22"/>
              </w:rPr>
              <w:t xml:space="preserve">PN-82/B-02020 </w:t>
            </w:r>
          </w:p>
        </w:tc>
        <w:tc>
          <w:tcPr>
            <w:tcW w:w="1276"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0,75</w:t>
            </w:r>
          </w:p>
        </w:tc>
        <w:tc>
          <w:tcPr>
            <w:tcW w:w="1418"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0,45</w:t>
            </w:r>
          </w:p>
        </w:tc>
        <w:tc>
          <w:tcPr>
            <w:tcW w:w="1140"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2,6</w:t>
            </w:r>
          </w:p>
        </w:tc>
        <w:tc>
          <w:tcPr>
            <w:tcW w:w="1305"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2,5</w:t>
            </w:r>
          </w:p>
        </w:tc>
      </w:tr>
      <w:tr w:rsidR="002743BB" w:rsidRPr="001D200B" w:rsidTr="0081550C">
        <w:tc>
          <w:tcPr>
            <w:tcW w:w="4077" w:type="dxa"/>
            <w:vAlign w:val="center"/>
          </w:tcPr>
          <w:p w:rsidR="002743BB" w:rsidRPr="001D200B" w:rsidRDefault="002743BB" w:rsidP="0081550C">
            <w:pPr>
              <w:pStyle w:val="Default"/>
              <w:ind w:firstLine="0"/>
              <w:jc w:val="left"/>
              <w:rPr>
                <w:rFonts w:asciiTheme="minorHAnsi" w:hAnsiTheme="minorHAnsi"/>
                <w:color w:val="auto"/>
                <w:sz w:val="22"/>
                <w:szCs w:val="22"/>
              </w:rPr>
            </w:pPr>
            <w:r w:rsidRPr="001D200B">
              <w:rPr>
                <w:rFonts w:asciiTheme="minorHAnsi" w:hAnsiTheme="minorHAnsi"/>
                <w:color w:val="auto"/>
                <w:sz w:val="22"/>
                <w:szCs w:val="22"/>
              </w:rPr>
              <w:t xml:space="preserve">PN-91/B-02020 </w:t>
            </w:r>
          </w:p>
        </w:tc>
        <w:tc>
          <w:tcPr>
            <w:tcW w:w="1276"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0,55</w:t>
            </w:r>
          </w:p>
        </w:tc>
        <w:tc>
          <w:tcPr>
            <w:tcW w:w="1418"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0,3</w:t>
            </w:r>
          </w:p>
        </w:tc>
        <w:tc>
          <w:tcPr>
            <w:tcW w:w="1140"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2,6</w:t>
            </w:r>
          </w:p>
        </w:tc>
        <w:tc>
          <w:tcPr>
            <w:tcW w:w="1305"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3,0</w:t>
            </w:r>
          </w:p>
        </w:tc>
      </w:tr>
      <w:tr w:rsidR="002743BB" w:rsidRPr="001D200B" w:rsidTr="0081550C">
        <w:tc>
          <w:tcPr>
            <w:tcW w:w="4077" w:type="dxa"/>
            <w:vAlign w:val="center"/>
          </w:tcPr>
          <w:p w:rsidR="002743BB" w:rsidRPr="001D200B" w:rsidRDefault="002743BB" w:rsidP="0081550C">
            <w:pPr>
              <w:pStyle w:val="Default"/>
              <w:ind w:firstLine="0"/>
              <w:jc w:val="left"/>
              <w:rPr>
                <w:rFonts w:asciiTheme="minorHAnsi" w:hAnsiTheme="minorHAnsi"/>
                <w:color w:val="auto"/>
                <w:sz w:val="22"/>
                <w:szCs w:val="22"/>
              </w:rPr>
            </w:pPr>
            <w:r w:rsidRPr="001D200B">
              <w:rPr>
                <w:rFonts w:asciiTheme="minorHAnsi" w:hAnsiTheme="minorHAnsi"/>
                <w:color w:val="auto"/>
                <w:sz w:val="22"/>
                <w:szCs w:val="22"/>
              </w:rPr>
              <w:t xml:space="preserve">Rozporządzenie z 2002r.1) </w:t>
            </w:r>
          </w:p>
        </w:tc>
        <w:tc>
          <w:tcPr>
            <w:tcW w:w="1276"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0,3 – 0,45</w:t>
            </w:r>
          </w:p>
        </w:tc>
        <w:tc>
          <w:tcPr>
            <w:tcW w:w="1418"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0,3</w:t>
            </w:r>
          </w:p>
        </w:tc>
        <w:tc>
          <w:tcPr>
            <w:tcW w:w="1140"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2,0 – 2,6</w:t>
            </w:r>
          </w:p>
        </w:tc>
        <w:tc>
          <w:tcPr>
            <w:tcW w:w="1305"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2,6</w:t>
            </w:r>
          </w:p>
        </w:tc>
      </w:tr>
      <w:tr w:rsidR="002743BB" w:rsidRPr="001D200B" w:rsidTr="0081550C">
        <w:tc>
          <w:tcPr>
            <w:tcW w:w="4077" w:type="dxa"/>
            <w:vAlign w:val="center"/>
          </w:tcPr>
          <w:p w:rsidR="002743BB" w:rsidRPr="001D200B" w:rsidRDefault="002743BB" w:rsidP="0081550C">
            <w:pPr>
              <w:pStyle w:val="Default"/>
              <w:ind w:firstLine="0"/>
              <w:jc w:val="left"/>
              <w:rPr>
                <w:rFonts w:asciiTheme="minorHAnsi" w:hAnsiTheme="minorHAnsi"/>
                <w:color w:val="auto"/>
                <w:sz w:val="22"/>
                <w:szCs w:val="22"/>
              </w:rPr>
            </w:pPr>
            <w:r w:rsidRPr="001D200B">
              <w:rPr>
                <w:rFonts w:asciiTheme="minorHAnsi" w:hAnsiTheme="minorHAnsi"/>
                <w:color w:val="auto"/>
                <w:sz w:val="22"/>
                <w:szCs w:val="22"/>
              </w:rPr>
              <w:t xml:space="preserve">Rozporządzenie z 2008r.2) </w:t>
            </w:r>
          </w:p>
        </w:tc>
        <w:tc>
          <w:tcPr>
            <w:tcW w:w="1276"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0,3</w:t>
            </w:r>
          </w:p>
        </w:tc>
        <w:tc>
          <w:tcPr>
            <w:tcW w:w="1418"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0,25</w:t>
            </w:r>
          </w:p>
        </w:tc>
        <w:tc>
          <w:tcPr>
            <w:tcW w:w="1140" w:type="dxa"/>
            <w:vAlign w:val="center"/>
          </w:tcPr>
          <w:p w:rsidR="002743BB" w:rsidRPr="001D200B" w:rsidRDefault="002743BB" w:rsidP="0081550C">
            <w:pPr>
              <w:pStyle w:val="Default"/>
              <w:ind w:left="175" w:firstLine="0"/>
              <w:rPr>
                <w:rFonts w:asciiTheme="minorHAnsi" w:hAnsiTheme="minorHAnsi"/>
                <w:color w:val="auto"/>
                <w:sz w:val="22"/>
                <w:szCs w:val="22"/>
              </w:rPr>
            </w:pPr>
            <w:r w:rsidRPr="001D200B">
              <w:rPr>
                <w:rFonts w:asciiTheme="minorHAnsi" w:hAnsiTheme="minorHAnsi"/>
                <w:color w:val="auto"/>
                <w:sz w:val="22"/>
                <w:szCs w:val="22"/>
              </w:rPr>
              <w:t>1,7-1,8*                      1,8-2,6**</w:t>
            </w:r>
          </w:p>
        </w:tc>
        <w:tc>
          <w:tcPr>
            <w:tcW w:w="1305"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2,6</w:t>
            </w:r>
          </w:p>
        </w:tc>
      </w:tr>
      <w:tr w:rsidR="002743BB" w:rsidRPr="001D200B" w:rsidTr="0081550C">
        <w:tc>
          <w:tcPr>
            <w:tcW w:w="4077" w:type="dxa"/>
            <w:vAlign w:val="center"/>
          </w:tcPr>
          <w:p w:rsidR="002743BB" w:rsidRPr="001D200B" w:rsidRDefault="002743BB" w:rsidP="0081550C">
            <w:pPr>
              <w:pStyle w:val="Default"/>
              <w:ind w:firstLine="0"/>
              <w:jc w:val="left"/>
              <w:rPr>
                <w:rFonts w:asciiTheme="minorHAnsi" w:hAnsiTheme="minorHAnsi"/>
                <w:color w:val="auto"/>
                <w:sz w:val="22"/>
                <w:szCs w:val="22"/>
              </w:rPr>
            </w:pPr>
            <w:r w:rsidRPr="001D200B">
              <w:rPr>
                <w:rFonts w:asciiTheme="minorHAnsi" w:hAnsiTheme="minorHAnsi"/>
                <w:color w:val="auto"/>
                <w:sz w:val="22"/>
                <w:szCs w:val="22"/>
              </w:rPr>
              <w:t xml:space="preserve">Rozporządzenie z 2013r.3) od 1 stycznia 2014r. </w:t>
            </w:r>
          </w:p>
        </w:tc>
        <w:tc>
          <w:tcPr>
            <w:tcW w:w="1276"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0,25</w:t>
            </w:r>
          </w:p>
        </w:tc>
        <w:tc>
          <w:tcPr>
            <w:tcW w:w="1418"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0,20</w:t>
            </w:r>
          </w:p>
        </w:tc>
        <w:tc>
          <w:tcPr>
            <w:tcW w:w="1140"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1,3</w:t>
            </w:r>
          </w:p>
        </w:tc>
        <w:tc>
          <w:tcPr>
            <w:tcW w:w="1305"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1,7</w:t>
            </w:r>
          </w:p>
        </w:tc>
      </w:tr>
      <w:tr w:rsidR="002743BB" w:rsidRPr="001D200B" w:rsidTr="0081550C">
        <w:tc>
          <w:tcPr>
            <w:tcW w:w="4077" w:type="dxa"/>
            <w:vAlign w:val="center"/>
          </w:tcPr>
          <w:p w:rsidR="002743BB" w:rsidRPr="001D200B" w:rsidRDefault="002743BB" w:rsidP="0081550C">
            <w:pPr>
              <w:pStyle w:val="Default"/>
              <w:ind w:firstLine="0"/>
              <w:jc w:val="left"/>
              <w:rPr>
                <w:rFonts w:asciiTheme="minorHAnsi" w:hAnsiTheme="minorHAnsi"/>
                <w:color w:val="auto"/>
                <w:sz w:val="22"/>
                <w:szCs w:val="22"/>
              </w:rPr>
            </w:pPr>
            <w:r w:rsidRPr="001D200B">
              <w:rPr>
                <w:rFonts w:asciiTheme="minorHAnsi" w:hAnsiTheme="minorHAnsi"/>
                <w:color w:val="auto"/>
                <w:sz w:val="22"/>
                <w:szCs w:val="22"/>
              </w:rPr>
              <w:t xml:space="preserve">Rozporządzenie z 2013r.3) od 1 stycznia 2017r. </w:t>
            </w:r>
          </w:p>
        </w:tc>
        <w:tc>
          <w:tcPr>
            <w:tcW w:w="1276"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0,23</w:t>
            </w:r>
          </w:p>
        </w:tc>
        <w:tc>
          <w:tcPr>
            <w:tcW w:w="1418"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0,18</w:t>
            </w:r>
          </w:p>
        </w:tc>
        <w:tc>
          <w:tcPr>
            <w:tcW w:w="1140"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1,1</w:t>
            </w:r>
          </w:p>
        </w:tc>
        <w:tc>
          <w:tcPr>
            <w:tcW w:w="1305"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1,5</w:t>
            </w:r>
          </w:p>
        </w:tc>
      </w:tr>
      <w:tr w:rsidR="002743BB" w:rsidRPr="001D200B" w:rsidTr="0081550C">
        <w:tc>
          <w:tcPr>
            <w:tcW w:w="4077" w:type="dxa"/>
            <w:vAlign w:val="center"/>
          </w:tcPr>
          <w:p w:rsidR="002743BB" w:rsidRPr="001D200B" w:rsidRDefault="002743BB" w:rsidP="0081550C">
            <w:pPr>
              <w:pStyle w:val="Default"/>
              <w:ind w:firstLine="0"/>
              <w:jc w:val="left"/>
              <w:rPr>
                <w:rFonts w:asciiTheme="minorHAnsi" w:hAnsiTheme="minorHAnsi"/>
                <w:color w:val="auto"/>
                <w:sz w:val="22"/>
                <w:szCs w:val="22"/>
              </w:rPr>
            </w:pPr>
            <w:r w:rsidRPr="001D200B">
              <w:rPr>
                <w:rFonts w:asciiTheme="minorHAnsi" w:hAnsiTheme="minorHAnsi"/>
                <w:color w:val="auto"/>
                <w:sz w:val="22"/>
                <w:szCs w:val="22"/>
              </w:rPr>
              <w:t xml:space="preserve">Rozporządzenie z 2013r.3) od 1 stycznia 2021r.*** </w:t>
            </w:r>
          </w:p>
        </w:tc>
        <w:tc>
          <w:tcPr>
            <w:tcW w:w="1276"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0,20</w:t>
            </w:r>
          </w:p>
        </w:tc>
        <w:tc>
          <w:tcPr>
            <w:tcW w:w="1418"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0,15</w:t>
            </w:r>
          </w:p>
        </w:tc>
        <w:tc>
          <w:tcPr>
            <w:tcW w:w="1140"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0,9</w:t>
            </w:r>
          </w:p>
        </w:tc>
        <w:tc>
          <w:tcPr>
            <w:tcW w:w="1305" w:type="dxa"/>
            <w:vAlign w:val="center"/>
          </w:tcPr>
          <w:p w:rsidR="002743BB" w:rsidRPr="001D200B" w:rsidRDefault="002743BB" w:rsidP="0081550C">
            <w:pPr>
              <w:pStyle w:val="Default"/>
              <w:jc w:val="center"/>
              <w:rPr>
                <w:rFonts w:asciiTheme="minorHAnsi" w:hAnsiTheme="minorHAnsi"/>
                <w:color w:val="auto"/>
                <w:sz w:val="22"/>
                <w:szCs w:val="22"/>
              </w:rPr>
            </w:pPr>
            <w:r w:rsidRPr="001D200B">
              <w:rPr>
                <w:rFonts w:asciiTheme="minorHAnsi" w:hAnsiTheme="minorHAnsi"/>
                <w:color w:val="auto"/>
                <w:sz w:val="22"/>
                <w:szCs w:val="22"/>
              </w:rPr>
              <w:t>1,3</w:t>
            </w:r>
          </w:p>
        </w:tc>
      </w:tr>
    </w:tbl>
    <w:p w:rsidR="002743BB" w:rsidRPr="001D200B" w:rsidRDefault="002743BB" w:rsidP="002743BB">
      <w:pPr>
        <w:pStyle w:val="Bezodstpw"/>
      </w:pPr>
      <w:r w:rsidRPr="001D200B">
        <w:t>* dla budynków mieszkalnych</w:t>
      </w:r>
    </w:p>
    <w:p w:rsidR="002743BB" w:rsidRPr="001D200B" w:rsidRDefault="002743BB" w:rsidP="002743BB">
      <w:pPr>
        <w:pStyle w:val="Bezodstpw"/>
      </w:pPr>
      <w:r w:rsidRPr="001D200B">
        <w:t xml:space="preserve"> ** dla budynków zamieszkania zbiorowego </w:t>
      </w:r>
    </w:p>
    <w:p w:rsidR="002743BB" w:rsidRPr="001D200B" w:rsidRDefault="002743BB" w:rsidP="002743BB">
      <w:pPr>
        <w:pStyle w:val="Bezodstpw"/>
      </w:pPr>
      <w:r w:rsidRPr="001D200B">
        <w:t>*** od 1 stycznia 2019 r. – w przypadku budynków zajmowanych przez władze publiczne oraz będących ich własnością</w:t>
      </w:r>
    </w:p>
    <w:p w:rsidR="002743BB" w:rsidRPr="001D200B" w:rsidRDefault="002743BB" w:rsidP="002743BB">
      <w:pPr>
        <w:pStyle w:val="Bezodstpw"/>
      </w:pPr>
      <w:r w:rsidRPr="001D200B">
        <w:lastRenderedPageBreak/>
        <w:t xml:space="preserve">1) Rozporządzenie Ministra Infrastruktury z dnia 12 kwietnia 2002 r. w sprawie warunków technicznych, jakim powinny odpowiadać budynki i ich usytuowanie (Dz. U. z 2002r. Nr 75, poz. 690 z póź. zmianami) </w:t>
      </w:r>
    </w:p>
    <w:p w:rsidR="002743BB" w:rsidRPr="001D200B" w:rsidRDefault="002743BB" w:rsidP="002743BB">
      <w:pPr>
        <w:pStyle w:val="Bezodstpw"/>
      </w:pPr>
      <w:r w:rsidRPr="001D200B">
        <w:t>2) Rozporządzenie Ministra Infrastruktury z dnia 6 listopada 2008r. zmieniające rozporządzenie w sprawie warunków technicznych, jakim powinny odpowiadać budynki i ich usytuowanie (Dz. U. z 2008r. Nr 201, poz. 1238)</w:t>
      </w:r>
    </w:p>
    <w:p w:rsidR="002743BB" w:rsidRPr="001D200B" w:rsidRDefault="002743BB" w:rsidP="002743BB">
      <w:pPr>
        <w:pStyle w:val="Bezodstpw"/>
      </w:pPr>
      <w:r w:rsidRPr="001D200B">
        <w:t xml:space="preserve"> 3) Rozporządzenie Ministra Transportu, Budownictwa i Gospodarki Morskiej z dnia 5 lipca 2013r. zmieniające rozporządzenie w sprawie warunków technicznych, jakim powinny odpowiadać budynki i ich usytuowanie (Dz. U. z 2013r. poz. 926)</w:t>
      </w:r>
    </w:p>
    <w:p w:rsidR="002743BB" w:rsidRPr="001D200B" w:rsidRDefault="002743BB" w:rsidP="002743BB">
      <w:pPr>
        <w:pStyle w:val="Tekstpodstawowy2"/>
      </w:pPr>
      <w:r w:rsidRPr="001D200B">
        <w:t xml:space="preserve">Zarówno w budynkach użyteczności publicznej jak i w mieszkaniach można podjąć działania, które przyczynią się do poprawy ich bilansu cieplnego. Do działań tych należy zaliczyć np.: </w:t>
      </w:r>
    </w:p>
    <w:p w:rsidR="002743BB" w:rsidRPr="001D200B" w:rsidRDefault="002743BB" w:rsidP="00412E46">
      <w:pPr>
        <w:pStyle w:val="Tekstpodstawowy2"/>
        <w:numPr>
          <w:ilvl w:val="0"/>
          <w:numId w:val="31"/>
        </w:numPr>
      </w:pPr>
      <w:r w:rsidRPr="001D200B">
        <w:t xml:space="preserve">ocieplanie stropodachów, ścian zewnętrznych, stropów piwnic; </w:t>
      </w:r>
    </w:p>
    <w:p w:rsidR="002743BB" w:rsidRPr="001D200B" w:rsidRDefault="002743BB" w:rsidP="00412E46">
      <w:pPr>
        <w:pStyle w:val="Tekstpodstawowy2"/>
        <w:numPr>
          <w:ilvl w:val="0"/>
          <w:numId w:val="31"/>
        </w:numPr>
      </w:pPr>
      <w:r w:rsidRPr="001D200B">
        <w:t>wymiana okien i drzwi;</w:t>
      </w:r>
    </w:p>
    <w:p w:rsidR="002743BB" w:rsidRPr="001D200B" w:rsidRDefault="002743BB" w:rsidP="00412E46">
      <w:pPr>
        <w:pStyle w:val="Tekstpodstawowy2"/>
        <w:numPr>
          <w:ilvl w:val="0"/>
          <w:numId w:val="31"/>
        </w:numPr>
      </w:pPr>
      <w:r w:rsidRPr="001D200B">
        <w:t>modernizacja instalacji grzewczych;</w:t>
      </w:r>
    </w:p>
    <w:p w:rsidR="002743BB" w:rsidRPr="001D200B" w:rsidRDefault="002743BB" w:rsidP="00412E46">
      <w:pPr>
        <w:pStyle w:val="Tekstpodstawowy2"/>
        <w:numPr>
          <w:ilvl w:val="0"/>
          <w:numId w:val="31"/>
        </w:numPr>
        <w:rPr>
          <w:rFonts w:cstheme="minorHAnsi"/>
        </w:rPr>
      </w:pPr>
      <w:r w:rsidRPr="001D200B">
        <w:t>zamontowanie zaworów termostatycznych, liczników sterowania automatycznego</w:t>
      </w:r>
    </w:p>
    <w:p w:rsidR="00971C5B" w:rsidRPr="001D200B" w:rsidRDefault="00971C5B" w:rsidP="00971C5B">
      <w:pPr>
        <w:rPr>
          <w:rFonts w:cstheme="minorHAnsi"/>
          <w:bCs/>
        </w:rPr>
      </w:pPr>
      <w:r w:rsidRPr="001D200B">
        <w:rPr>
          <w:rFonts w:eastAsia="ArialMT" w:cstheme="minorHAnsi"/>
        </w:rPr>
        <w:t xml:space="preserve">Racjonalizacja użytkowania energii w systemie ciepłowniczym to szereg działań, które winny obejmować składniki tego systemu, tj. źródła ciepła oraz system sieci i węzłów ciepłowniczych odbiorczych. Ustawa </w:t>
      </w:r>
      <w:r w:rsidRPr="001D200B">
        <w:rPr>
          <w:rFonts w:eastAsia="ArialMT" w:cstheme="minorHAnsi"/>
          <w:i/>
        </w:rPr>
        <w:t>prawo energetyczne</w:t>
      </w:r>
      <w:r w:rsidRPr="001D200B">
        <w:rPr>
          <w:rFonts w:eastAsia="ArialMT" w:cstheme="minorHAnsi"/>
        </w:rPr>
        <w:t xml:space="preserve"> nakłada na przedsiębiorstwa energetyczne obowiązek planowania i podejmowania działań, które mają na celu racjonalizację produkcji i przesyłania energii ze skutkiem w postaci korzystniejszych warunków dostawy energii do odbiorcy końcowego.</w:t>
      </w:r>
    </w:p>
    <w:p w:rsidR="00AF0DC5" w:rsidRPr="001D200B" w:rsidRDefault="002743BB" w:rsidP="00AF0DC5">
      <w:pPr>
        <w:pStyle w:val="Nagwek2"/>
        <w:rPr>
          <w:rFonts w:cstheme="minorHAnsi"/>
        </w:rPr>
      </w:pPr>
      <w:bookmarkStart w:id="50" w:name="_Toc31972826"/>
      <w:r w:rsidRPr="001D200B">
        <w:rPr>
          <w:rFonts w:cstheme="minorHAnsi"/>
        </w:rPr>
        <w:t>7</w:t>
      </w:r>
      <w:r w:rsidR="00AF0DC5" w:rsidRPr="001D200B">
        <w:rPr>
          <w:rFonts w:cstheme="minorHAnsi"/>
        </w:rPr>
        <w:t>. Lokalne nadwyżki oraz zasoby paliw i energii</w:t>
      </w:r>
      <w:bookmarkEnd w:id="50"/>
    </w:p>
    <w:p w:rsidR="00FD2B2C" w:rsidRPr="001D200B" w:rsidRDefault="00F05F70" w:rsidP="00FD2B2C">
      <w:r w:rsidRPr="001D200B">
        <w:rPr>
          <w:rFonts w:cstheme="minorHAnsi"/>
        </w:rPr>
        <w:t xml:space="preserve">Nadwyżka mocy cieplnej </w:t>
      </w:r>
      <w:r w:rsidR="00922DD1" w:rsidRPr="001D200B">
        <w:rPr>
          <w:rFonts w:cstheme="minorHAnsi"/>
        </w:rPr>
        <w:t xml:space="preserve">istnieje po stronie systemowego źródła ciepła, tj. w stacji ciepłowniczej zainstalowanej w Elektrowni Połaniec. </w:t>
      </w:r>
      <w:r w:rsidR="00FD2B2C" w:rsidRPr="001D200B">
        <w:t xml:space="preserve">Wytwórca ciepła dysponuje więc rezerwami mocy cieplnej pozwalającymi na podłączenia nowych odbiorców. </w:t>
      </w:r>
    </w:p>
    <w:p w:rsidR="00FD2B2C" w:rsidRPr="001D200B" w:rsidRDefault="00FD2B2C" w:rsidP="00FD2B2C">
      <w:r w:rsidRPr="001D200B">
        <w:t xml:space="preserve">Modernizacja i rozbudowa sieci cieplnej z przyłączeniem nowych odbiorców pozwoliłaby na zagospodarowanie istniejącego potencjału oraz na obniżenie kosztów wytwarzania ciepła. Takie rozwiązanie jest istotne również w kontekście poprawy jakości powietrza, gdyż wyłączenie z eksploatacji indywidualnych węglowych źródeł ciepła ograniczy niską emisje i jej skutki dla społeczeństwa. </w:t>
      </w:r>
    </w:p>
    <w:p w:rsidR="00FD2B2C" w:rsidRPr="001D200B" w:rsidRDefault="00FD2B2C" w:rsidP="00FD2B2C">
      <w:r w:rsidRPr="001D200B">
        <w:t>Większe zakłady produkcyjne posiadające własne źródła ciepła, nie zgłosiły nadwyżek energii cieplnej możliwych do zagospodarowania.</w:t>
      </w:r>
    </w:p>
    <w:p w:rsidR="00BD4E50" w:rsidRPr="001D200B" w:rsidRDefault="00BD4E50" w:rsidP="00AF0DC5">
      <w:pPr>
        <w:pStyle w:val="Tekstpodstawowy2"/>
        <w:spacing w:line="400" w:lineRule="atLeast"/>
        <w:rPr>
          <w:rFonts w:cstheme="minorHAnsi"/>
          <w:b/>
          <w:highlight w:val="yellow"/>
        </w:rPr>
      </w:pPr>
    </w:p>
    <w:p w:rsidR="00A23753" w:rsidRPr="001D200B" w:rsidRDefault="00A23753" w:rsidP="00AF0DC5">
      <w:pPr>
        <w:pStyle w:val="Tekstpodstawowy2"/>
        <w:spacing w:line="400" w:lineRule="atLeast"/>
        <w:rPr>
          <w:rFonts w:cstheme="minorHAnsi"/>
          <w:b/>
          <w:highlight w:val="yellow"/>
        </w:rPr>
        <w:sectPr w:rsidR="00A23753" w:rsidRPr="001D200B" w:rsidSect="0098674C">
          <w:pgSz w:w="11906" w:h="16838"/>
          <w:pgMar w:top="1418" w:right="1418" w:bottom="1418" w:left="1418" w:header="709" w:footer="709" w:gutter="0"/>
          <w:cols w:space="708"/>
          <w:docGrid w:linePitch="360"/>
        </w:sectPr>
      </w:pPr>
    </w:p>
    <w:p w:rsidR="00876A8E" w:rsidRPr="001D200B" w:rsidRDefault="00876A8E" w:rsidP="00876A8E">
      <w:pPr>
        <w:pStyle w:val="Nagwek1"/>
        <w:rPr>
          <w:rFonts w:cstheme="minorHAnsi"/>
        </w:rPr>
      </w:pPr>
      <w:bookmarkStart w:id="51" w:name="_Toc31972827"/>
      <w:r w:rsidRPr="001D200B">
        <w:rPr>
          <w:rFonts w:cstheme="minorHAnsi"/>
        </w:rPr>
        <w:lastRenderedPageBreak/>
        <w:t>IV. Zaopatrzenie w energię elektryczną</w:t>
      </w:r>
      <w:bookmarkEnd w:id="51"/>
    </w:p>
    <w:p w:rsidR="004C57F5" w:rsidRPr="001D200B" w:rsidRDefault="004C57F5" w:rsidP="004C57F5">
      <w:pPr>
        <w:rPr>
          <w:rFonts w:cstheme="minorHAnsi"/>
        </w:rPr>
      </w:pPr>
      <w:r w:rsidRPr="001D200B">
        <w:rPr>
          <w:rFonts w:cstheme="minorHAnsi"/>
        </w:rPr>
        <w:t xml:space="preserve">Charakterystyka i ocena istniejącego systemu elektroenergetycznego oparta została na informacjach uzyskanych od przedsiębiorstw energetycznych, których zasięg działania obejmuje gminę Połaniec. </w:t>
      </w:r>
    </w:p>
    <w:p w:rsidR="004C57F5" w:rsidRPr="001D200B" w:rsidRDefault="004C57F5" w:rsidP="004C57F5">
      <w:pPr>
        <w:rPr>
          <w:rFonts w:cstheme="minorHAnsi"/>
        </w:rPr>
      </w:pPr>
      <w:r w:rsidRPr="001D200B">
        <w:rPr>
          <w:rFonts w:cstheme="minorHAnsi"/>
        </w:rPr>
        <w:t xml:space="preserve">Elektroenergetyczna sieć przesyłowa na terenie południowo – wschodniej Polski leży w gestii przedsiębiorstwa </w:t>
      </w:r>
      <w:r w:rsidRPr="001D200B">
        <w:rPr>
          <w:rFonts w:cstheme="minorHAnsi"/>
          <w:u w:val="single"/>
        </w:rPr>
        <w:t>Polskie Sieci Elektroenergetyczne S.A. w Radomiu</w:t>
      </w:r>
      <w:r w:rsidRPr="001D200B">
        <w:rPr>
          <w:rFonts w:cstheme="minorHAnsi"/>
        </w:rPr>
        <w:t>. Na terenie gminy wskazane przedsiębiorstwo eksploatuje infrastrukturę energetyczną: stacj</w:t>
      </w:r>
      <w:r w:rsidR="00A71DAB" w:rsidRPr="001D200B">
        <w:rPr>
          <w:rFonts w:cstheme="minorHAnsi"/>
        </w:rPr>
        <w:t xml:space="preserve">e </w:t>
      </w:r>
      <w:r w:rsidRPr="001D200B">
        <w:rPr>
          <w:rFonts w:cstheme="minorHAnsi"/>
        </w:rPr>
        <w:t>elektroenergetyczn</w:t>
      </w:r>
      <w:r w:rsidR="00A71DAB" w:rsidRPr="001D200B">
        <w:rPr>
          <w:rFonts w:cstheme="minorHAnsi"/>
        </w:rPr>
        <w:t>e</w:t>
      </w:r>
      <w:r w:rsidRPr="001D200B">
        <w:rPr>
          <w:rFonts w:cstheme="minorHAnsi"/>
        </w:rPr>
        <w:t xml:space="preserve"> 400/220</w:t>
      </w:r>
      <w:r w:rsidR="00A71DAB" w:rsidRPr="001D200B">
        <w:rPr>
          <w:rFonts w:cstheme="minorHAnsi"/>
        </w:rPr>
        <w:t xml:space="preserve"> kV Połaniec i </w:t>
      </w:r>
      <w:r w:rsidRPr="001D200B">
        <w:rPr>
          <w:rFonts w:cstheme="minorHAnsi"/>
        </w:rPr>
        <w:t xml:space="preserve">110/15kV </w:t>
      </w:r>
      <w:r w:rsidR="00A71DAB" w:rsidRPr="001D200B">
        <w:rPr>
          <w:rFonts w:cstheme="minorHAnsi"/>
        </w:rPr>
        <w:t xml:space="preserve">Połaniec </w:t>
      </w:r>
      <w:r w:rsidRPr="001D200B">
        <w:rPr>
          <w:rFonts w:cstheme="minorHAnsi"/>
        </w:rPr>
        <w:t xml:space="preserve">oraz linie elektroenergetyczne przesyłowe 400kV i 220kV. </w:t>
      </w:r>
    </w:p>
    <w:p w:rsidR="004C57F5" w:rsidRPr="001D200B" w:rsidRDefault="004C57F5" w:rsidP="004C57F5">
      <w:pPr>
        <w:rPr>
          <w:rFonts w:cstheme="minorHAnsi"/>
        </w:rPr>
      </w:pPr>
      <w:r w:rsidRPr="001D200B">
        <w:rPr>
          <w:rFonts w:cstheme="minorHAnsi"/>
        </w:rPr>
        <w:t xml:space="preserve">Operatorem elektroenergetycznego systemu dystrybucji energii elektrycznej do odbiorców końcowych jest przedsiębiorstwo </w:t>
      </w:r>
      <w:r w:rsidRPr="001D200B">
        <w:rPr>
          <w:rFonts w:cstheme="minorHAnsi"/>
          <w:u w:val="single"/>
        </w:rPr>
        <w:t>PGE Dystrybucja S.A. Oddział Rzeszów</w:t>
      </w:r>
      <w:r w:rsidRPr="001D200B">
        <w:rPr>
          <w:rFonts w:cstheme="minorHAnsi"/>
        </w:rPr>
        <w:t>, wchodzące w</w:t>
      </w:r>
      <w:r w:rsidR="00A71DAB" w:rsidRPr="001D200B">
        <w:rPr>
          <w:rFonts w:cstheme="minorHAnsi"/>
        </w:rPr>
        <w:t xml:space="preserve"> </w:t>
      </w:r>
      <w:r w:rsidRPr="001D200B">
        <w:rPr>
          <w:rFonts w:cstheme="minorHAnsi"/>
        </w:rPr>
        <w:t xml:space="preserve">skład grupy energetycznej – PGE Polska Grupa Energetyczna S.A. Za sprawność systemu elektroenergetycznego oraz jego rozbudowę na opisywanym terenie odpowiada w/w przedsiębiorstwo energetyczne, a w jego ramach Rejon Energetyczny Staszów. </w:t>
      </w:r>
    </w:p>
    <w:p w:rsidR="004C57F5" w:rsidRPr="001D200B" w:rsidRDefault="004C57F5" w:rsidP="004C57F5">
      <w:pPr>
        <w:rPr>
          <w:rFonts w:cstheme="minorHAnsi"/>
        </w:rPr>
      </w:pPr>
      <w:r w:rsidRPr="001D200B">
        <w:rPr>
          <w:rFonts w:cstheme="minorHAnsi"/>
        </w:rPr>
        <w:t>Na terenie gminy Połaniec zlokalizowani są następujący wytwórcy energii elektrycznej:</w:t>
      </w:r>
    </w:p>
    <w:p w:rsidR="004C57F5" w:rsidRPr="001D200B" w:rsidRDefault="00A71DAB" w:rsidP="00F006D6">
      <w:pPr>
        <w:pStyle w:val="Punktory"/>
        <w:rPr>
          <w:lang w:val="pl-PL"/>
        </w:rPr>
      </w:pPr>
      <w:r w:rsidRPr="001D200B">
        <w:rPr>
          <w:u w:val="single"/>
          <w:lang w:val="pl-PL"/>
        </w:rPr>
        <w:t xml:space="preserve">Enea </w:t>
      </w:r>
      <w:r w:rsidR="004C57F5" w:rsidRPr="001D200B">
        <w:rPr>
          <w:u w:val="single"/>
          <w:lang w:val="pl-PL"/>
        </w:rPr>
        <w:t>Elektrownia Połaniec S.A.</w:t>
      </w:r>
      <w:r w:rsidR="004C57F5" w:rsidRPr="001D200B">
        <w:rPr>
          <w:lang w:val="pl-PL"/>
        </w:rPr>
        <w:t xml:space="preserve"> –o mocy zainstalowanej na poziomie 18</w:t>
      </w:r>
      <w:r w:rsidRPr="001D200B">
        <w:rPr>
          <w:lang w:val="pl-PL"/>
        </w:rPr>
        <w:t>82</w:t>
      </w:r>
      <w:r w:rsidR="004C57F5" w:rsidRPr="001D200B">
        <w:rPr>
          <w:lang w:val="pl-PL"/>
        </w:rPr>
        <w:t xml:space="preserve">MW (osiem bloków energetycznych każdy o mocy </w:t>
      </w:r>
      <w:r w:rsidR="00EA2FCB" w:rsidRPr="001D200B">
        <w:rPr>
          <w:lang w:val="pl-PL"/>
        </w:rPr>
        <w:t xml:space="preserve">od </w:t>
      </w:r>
      <w:r w:rsidR="004C57F5" w:rsidRPr="001D200B">
        <w:rPr>
          <w:lang w:val="pl-PL"/>
        </w:rPr>
        <w:t>225MW</w:t>
      </w:r>
      <w:r w:rsidR="00EA2FCB" w:rsidRPr="001D200B">
        <w:rPr>
          <w:lang w:val="pl-PL"/>
        </w:rPr>
        <w:t xml:space="preserve"> do 242 MW</w:t>
      </w:r>
      <w:r w:rsidR="004C57F5" w:rsidRPr="001D200B">
        <w:rPr>
          <w:lang w:val="pl-PL"/>
        </w:rPr>
        <w:t xml:space="preserve">) i rocznej produkcji energii elektrycznej w wielkości około </w:t>
      </w:r>
      <w:r w:rsidR="00EA2FCB" w:rsidRPr="001D200B">
        <w:rPr>
          <w:lang w:val="pl-PL"/>
        </w:rPr>
        <w:t>9</w:t>
      </w:r>
      <w:r w:rsidR="004C57F5" w:rsidRPr="001D200B">
        <w:rPr>
          <w:lang w:val="pl-PL"/>
        </w:rPr>
        <w:t xml:space="preserve">TWh.) Elektrownia jest typową elektrownią systemową obecnie </w:t>
      </w:r>
      <w:r w:rsidR="00EA2FCB" w:rsidRPr="001D200B">
        <w:rPr>
          <w:lang w:val="pl-PL"/>
        </w:rPr>
        <w:t>wytwarza energię w siedmiu blokach opalanych mieszanką węgla i biomasy oraz w „ziel</w:t>
      </w:r>
      <w:r w:rsidR="00106DE1" w:rsidRPr="001D200B">
        <w:rPr>
          <w:lang w:val="pl-PL"/>
        </w:rPr>
        <w:t>o</w:t>
      </w:r>
      <w:r w:rsidR="00EA2FCB" w:rsidRPr="001D200B">
        <w:rPr>
          <w:lang w:val="pl-PL"/>
        </w:rPr>
        <w:t xml:space="preserve">nym bloku” (225MW) </w:t>
      </w:r>
      <w:r w:rsidR="004C57F5" w:rsidRPr="001D200B">
        <w:rPr>
          <w:lang w:val="pl-PL"/>
        </w:rPr>
        <w:t>opalan</w:t>
      </w:r>
      <w:r w:rsidR="00EA2FCB" w:rsidRPr="001D200B">
        <w:rPr>
          <w:lang w:val="pl-PL"/>
        </w:rPr>
        <w:t>ym mieszanką biomasy leśnej i</w:t>
      </w:r>
      <w:r w:rsidR="0011400E" w:rsidRPr="001D200B">
        <w:rPr>
          <w:lang w:val="pl-PL"/>
        </w:rPr>
        <w:t xml:space="preserve"> </w:t>
      </w:r>
      <w:r w:rsidR="00EA2FCB" w:rsidRPr="001D200B">
        <w:rPr>
          <w:lang w:val="pl-PL"/>
        </w:rPr>
        <w:t xml:space="preserve">agro. </w:t>
      </w:r>
      <w:r w:rsidR="004C57F5" w:rsidRPr="001D200B">
        <w:rPr>
          <w:lang w:val="pl-PL"/>
        </w:rPr>
        <w:t>Elektrownia zlokalizowana jest w pobliżu miasta Połaniec (miejscowość Zawada) nad rzeką Wisłą</w:t>
      </w:r>
      <w:r w:rsidR="00005669" w:rsidRPr="001D200B">
        <w:rPr>
          <w:lang w:val="pl-PL"/>
        </w:rPr>
        <w:t>.</w:t>
      </w:r>
    </w:p>
    <w:p w:rsidR="004C57F5" w:rsidRPr="001D200B" w:rsidRDefault="004C57F5" w:rsidP="00F006D6">
      <w:pPr>
        <w:pStyle w:val="Punktory"/>
        <w:rPr>
          <w:lang w:val="pl-PL"/>
        </w:rPr>
      </w:pPr>
      <w:r w:rsidRPr="001D200B">
        <w:rPr>
          <w:u w:val="single"/>
          <w:lang w:val="pl-PL"/>
        </w:rPr>
        <w:t>Mała Elektrownia Wodna Połaniec</w:t>
      </w:r>
      <w:r w:rsidRPr="001D200B">
        <w:rPr>
          <w:lang w:val="pl-PL"/>
        </w:rPr>
        <w:t xml:space="preserve"> o mocy zainstalowanej 0,016MW, przyłączona do sieci niskiego napięcia (nN) PGE Dystrybucja S.A. Oddział Rzeszów. Elektrownia usytuowania jest na rzece Wschodniej i należy do prywatnego inwestora).</w:t>
      </w:r>
    </w:p>
    <w:p w:rsidR="00005669" w:rsidRPr="001D200B" w:rsidRDefault="00F543D7" w:rsidP="00F006D6">
      <w:pPr>
        <w:pStyle w:val="Punktory"/>
        <w:rPr>
          <w:lang w:val="pl-PL"/>
        </w:rPr>
      </w:pPr>
      <w:r w:rsidRPr="001D200B">
        <w:rPr>
          <w:u w:val="single"/>
          <w:lang w:val="pl-PL"/>
        </w:rPr>
        <w:t>Mikroinstalacje fotowoltaiczne</w:t>
      </w:r>
      <w:r w:rsidRPr="001D200B">
        <w:rPr>
          <w:lang w:val="pl-PL"/>
        </w:rPr>
        <w:t xml:space="preserve"> zlokalizowane w miejscowościach: Połaniec, Kamieniec, Maśnik, Ruda, Ruszcza, Rybitwy, Tursko Małe Kolonia, Winnica, Wymysłów, Zawada, Zrębin, o łącznej mocy przyłączeniowej 0,377MW, przyłączone do sieci niskiego napięcia (nN) PGE Dystrybucja S.A. Oddział Rzeszów.</w:t>
      </w:r>
    </w:p>
    <w:p w:rsidR="004C57F5" w:rsidRPr="001D200B" w:rsidRDefault="004C57F5" w:rsidP="00370323">
      <w:pPr>
        <w:pStyle w:val="Nagwek2"/>
        <w:rPr>
          <w:rFonts w:cstheme="minorHAnsi"/>
        </w:rPr>
      </w:pPr>
      <w:bookmarkStart w:id="52" w:name="_Toc31972828"/>
      <w:r w:rsidRPr="001D200B">
        <w:rPr>
          <w:rFonts w:cstheme="minorHAnsi"/>
        </w:rPr>
        <w:lastRenderedPageBreak/>
        <w:t>1. Charakterystyka stanu obecnego</w:t>
      </w:r>
      <w:bookmarkEnd w:id="52"/>
    </w:p>
    <w:p w:rsidR="004C57F5" w:rsidRPr="001D200B" w:rsidRDefault="004C57F5" w:rsidP="004C57F5">
      <w:pPr>
        <w:rPr>
          <w:rFonts w:cstheme="minorHAnsi"/>
        </w:rPr>
      </w:pPr>
      <w:r w:rsidRPr="001D200B">
        <w:rPr>
          <w:rFonts w:cstheme="minorHAnsi"/>
        </w:rPr>
        <w:t>Gminę Połaniec charakteryzuje wysoka gęstoś</w:t>
      </w:r>
      <w:r w:rsidR="00BC487F" w:rsidRPr="001D200B">
        <w:rPr>
          <w:rFonts w:cstheme="minorHAnsi"/>
        </w:rPr>
        <w:t>ć</w:t>
      </w:r>
      <w:r w:rsidRPr="001D200B">
        <w:rPr>
          <w:rFonts w:cstheme="minorHAnsi"/>
        </w:rPr>
        <w:t xml:space="preserve"> elektroenergetycznych powiązań sieciowych, co wynika z usytuowania na tym terenie największej w południowo –wschodniej Polsce elektrowni systemowej – </w:t>
      </w:r>
      <w:r w:rsidR="00BB51FB" w:rsidRPr="001D200B">
        <w:rPr>
          <w:rFonts w:cstheme="minorHAnsi"/>
        </w:rPr>
        <w:t xml:space="preserve">Enea Elektrownia Połaniec S.A. </w:t>
      </w:r>
      <w:r w:rsidRPr="001D200B">
        <w:rPr>
          <w:rFonts w:cstheme="minorHAnsi"/>
        </w:rPr>
        <w:t xml:space="preserve"> </w:t>
      </w:r>
    </w:p>
    <w:p w:rsidR="00014851" w:rsidRPr="001D200B" w:rsidRDefault="00014851" w:rsidP="00C064C8">
      <w:pPr>
        <w:pStyle w:val="Tekstpodstawowy2"/>
        <w:shd w:val="clear" w:color="auto" w:fill="F2F2F2" w:themeFill="background1" w:themeFillShade="F2"/>
        <w:rPr>
          <w:b/>
        </w:rPr>
      </w:pPr>
      <w:r w:rsidRPr="001D200B">
        <w:rPr>
          <w:b/>
        </w:rPr>
        <w:t>LINIE NAJWYŻSZEGO I WYSOKIEGO NAPIĘCIA</w:t>
      </w:r>
    </w:p>
    <w:p w:rsidR="00014851" w:rsidRPr="001D200B" w:rsidRDefault="00014851" w:rsidP="00014851">
      <w:pPr>
        <w:rPr>
          <w:rFonts w:cstheme="minorHAnsi"/>
        </w:rPr>
      </w:pPr>
      <w:r w:rsidRPr="001D200B">
        <w:rPr>
          <w:rFonts w:cstheme="minorHAnsi"/>
        </w:rPr>
        <w:t xml:space="preserve">Przez teren gminy poprowadzone są napowietrzne linie elektroenergetyczne najwyższego napięcia (400kV, 220kV), eksploatowane przez operatora systemu przesyłowego Polskie Sieci Elektroenergetyczne S.A. oraz napowietrzne linie wysokiego napięcia (110kV) eksploatowane przez PGE Dystrybucja S.A. Oddział Rzeszów. </w:t>
      </w:r>
    </w:p>
    <w:p w:rsidR="004C57F5" w:rsidRPr="001D200B" w:rsidRDefault="008B65B4" w:rsidP="004C57F5">
      <w:pPr>
        <w:rPr>
          <w:rFonts w:cstheme="minorHAnsi"/>
          <w:i/>
          <w:u w:val="single"/>
        </w:rPr>
      </w:pPr>
      <w:r w:rsidRPr="001D200B">
        <w:rPr>
          <w:rFonts w:cstheme="minorHAnsi"/>
          <w:i/>
          <w:u w:val="single"/>
        </w:rPr>
        <w:t>Linie przesyłowe</w:t>
      </w:r>
      <w:r w:rsidR="003C184E" w:rsidRPr="001D200B">
        <w:rPr>
          <w:rFonts w:cstheme="minorHAnsi"/>
          <w:i/>
          <w:u w:val="single"/>
        </w:rPr>
        <w:t xml:space="preserve"> najwyższego napięcia</w:t>
      </w:r>
      <w:r w:rsidRPr="001D200B">
        <w:rPr>
          <w:rFonts w:cstheme="minorHAnsi"/>
          <w:i/>
          <w:u w:val="single"/>
        </w:rPr>
        <w:t>:</w:t>
      </w:r>
    </w:p>
    <w:p w:rsidR="004C57F5" w:rsidRPr="001D200B" w:rsidRDefault="004C57F5" w:rsidP="00F006D6">
      <w:pPr>
        <w:pStyle w:val="Punktory"/>
        <w:rPr>
          <w:lang w:val="pl-PL"/>
        </w:rPr>
      </w:pPr>
      <w:r w:rsidRPr="001D200B">
        <w:rPr>
          <w:lang w:val="pl-PL"/>
        </w:rPr>
        <w:t>linia 400 kV Połaniec – Rzeszów</w:t>
      </w:r>
    </w:p>
    <w:p w:rsidR="004C57F5" w:rsidRPr="001D200B" w:rsidRDefault="004C57F5" w:rsidP="00F006D6">
      <w:pPr>
        <w:pStyle w:val="Punktory"/>
        <w:rPr>
          <w:lang w:val="pl-PL"/>
        </w:rPr>
      </w:pPr>
      <w:r w:rsidRPr="001D200B">
        <w:rPr>
          <w:lang w:val="pl-PL"/>
        </w:rPr>
        <w:t>linia 400 kV Połaniec – Ostrowiec</w:t>
      </w:r>
      <w:r w:rsidR="00D131BA" w:rsidRPr="001D200B">
        <w:rPr>
          <w:lang w:val="pl-PL"/>
        </w:rPr>
        <w:t xml:space="preserve"> Świętokrzyski</w:t>
      </w:r>
    </w:p>
    <w:p w:rsidR="004C57F5" w:rsidRPr="001D200B" w:rsidRDefault="004C57F5" w:rsidP="00F006D6">
      <w:pPr>
        <w:pStyle w:val="Punktory"/>
        <w:rPr>
          <w:lang w:val="pl-PL"/>
        </w:rPr>
      </w:pPr>
      <w:r w:rsidRPr="001D200B">
        <w:rPr>
          <w:lang w:val="pl-PL"/>
        </w:rPr>
        <w:t>linia 400 kV Połaniec – Kielce</w:t>
      </w:r>
    </w:p>
    <w:p w:rsidR="004C57F5" w:rsidRPr="001D200B" w:rsidRDefault="004C57F5" w:rsidP="00F006D6">
      <w:pPr>
        <w:pStyle w:val="Punktory"/>
        <w:rPr>
          <w:lang w:val="pl-PL"/>
        </w:rPr>
      </w:pPr>
      <w:r w:rsidRPr="001D200B">
        <w:rPr>
          <w:lang w:val="pl-PL"/>
        </w:rPr>
        <w:t>linia 400 kV Połaniec – Tarnów</w:t>
      </w:r>
    </w:p>
    <w:p w:rsidR="004C57F5" w:rsidRPr="001D200B" w:rsidRDefault="004C57F5" w:rsidP="00F006D6">
      <w:pPr>
        <w:pStyle w:val="Punktory"/>
        <w:rPr>
          <w:lang w:val="pl-PL"/>
        </w:rPr>
      </w:pPr>
      <w:r w:rsidRPr="001D200B">
        <w:rPr>
          <w:lang w:val="pl-PL"/>
        </w:rPr>
        <w:t>li</w:t>
      </w:r>
      <w:r w:rsidR="008B65B4" w:rsidRPr="001D200B">
        <w:rPr>
          <w:lang w:val="pl-PL"/>
        </w:rPr>
        <w:t>nia 220 kV Połaniec – Chmielów I</w:t>
      </w:r>
    </w:p>
    <w:p w:rsidR="004C57F5" w:rsidRPr="001D200B" w:rsidRDefault="004C57F5" w:rsidP="00F006D6">
      <w:pPr>
        <w:pStyle w:val="Punktory"/>
        <w:rPr>
          <w:lang w:val="pl-PL"/>
        </w:rPr>
      </w:pPr>
      <w:r w:rsidRPr="001D200B">
        <w:rPr>
          <w:lang w:val="pl-PL"/>
        </w:rPr>
        <w:t>li</w:t>
      </w:r>
      <w:r w:rsidR="008B65B4" w:rsidRPr="001D200B">
        <w:rPr>
          <w:lang w:val="pl-PL"/>
        </w:rPr>
        <w:t>nia 220 kV Połaniec – Chmielów II</w:t>
      </w:r>
    </w:p>
    <w:p w:rsidR="004C57F5" w:rsidRPr="001D200B" w:rsidRDefault="004C57F5" w:rsidP="00F006D6">
      <w:pPr>
        <w:pStyle w:val="Punktory"/>
        <w:rPr>
          <w:lang w:val="pl-PL"/>
        </w:rPr>
      </w:pPr>
      <w:r w:rsidRPr="001D200B">
        <w:rPr>
          <w:lang w:val="pl-PL"/>
        </w:rPr>
        <w:t>linia 220 kV Połaniec – Radkowice</w:t>
      </w:r>
    </w:p>
    <w:p w:rsidR="004C57F5" w:rsidRPr="001D200B" w:rsidRDefault="004C57F5" w:rsidP="00F006D6">
      <w:pPr>
        <w:pStyle w:val="Punktory"/>
        <w:rPr>
          <w:lang w:val="pl-PL"/>
        </w:rPr>
      </w:pPr>
      <w:r w:rsidRPr="001D200B">
        <w:rPr>
          <w:lang w:val="pl-PL"/>
        </w:rPr>
        <w:t>linia 220 kV Połaniec - Klikowa</w:t>
      </w:r>
    </w:p>
    <w:p w:rsidR="004C57F5" w:rsidRPr="001D200B" w:rsidRDefault="004C57F5" w:rsidP="004C57F5">
      <w:pPr>
        <w:rPr>
          <w:rFonts w:cstheme="minorHAnsi"/>
        </w:rPr>
      </w:pPr>
      <w:r w:rsidRPr="001D200B">
        <w:rPr>
          <w:rFonts w:cstheme="minorHAnsi"/>
        </w:rPr>
        <w:t>w/w linie przesyłowe energii elektrycznej dochodzą do stac</w:t>
      </w:r>
      <w:r w:rsidR="008B65B4" w:rsidRPr="001D200B">
        <w:rPr>
          <w:rFonts w:cstheme="minorHAnsi"/>
        </w:rPr>
        <w:t xml:space="preserve">ji elektroenergetycznych 400/220kV i </w:t>
      </w:r>
      <w:r w:rsidRPr="001D200B">
        <w:rPr>
          <w:rFonts w:cstheme="minorHAnsi"/>
        </w:rPr>
        <w:t>110/15 kV zlokalizowan</w:t>
      </w:r>
      <w:r w:rsidR="008B65B4" w:rsidRPr="001D200B">
        <w:rPr>
          <w:rFonts w:cstheme="minorHAnsi"/>
        </w:rPr>
        <w:t>ych przy E</w:t>
      </w:r>
      <w:r w:rsidRPr="001D200B">
        <w:rPr>
          <w:rFonts w:cstheme="minorHAnsi"/>
        </w:rPr>
        <w:t xml:space="preserve">lektrowni Połaniec. </w:t>
      </w:r>
    </w:p>
    <w:p w:rsidR="003C184E" w:rsidRPr="001D200B" w:rsidRDefault="003C184E" w:rsidP="003C184E">
      <w:pPr>
        <w:rPr>
          <w:rFonts w:cstheme="minorHAnsi"/>
          <w:i/>
          <w:u w:val="single"/>
        </w:rPr>
      </w:pPr>
      <w:r w:rsidRPr="001D200B">
        <w:rPr>
          <w:rFonts w:cstheme="minorHAnsi"/>
          <w:i/>
          <w:u w:val="single"/>
        </w:rPr>
        <w:t>Linie przesyłowe wysokiego napięcia:</w:t>
      </w:r>
    </w:p>
    <w:p w:rsidR="004C57F5" w:rsidRPr="001D200B" w:rsidRDefault="004C57F5" w:rsidP="00F006D6">
      <w:pPr>
        <w:pStyle w:val="Punktory"/>
        <w:rPr>
          <w:lang w:val="pl-PL"/>
        </w:rPr>
      </w:pPr>
      <w:r w:rsidRPr="001D200B">
        <w:rPr>
          <w:lang w:val="pl-PL"/>
        </w:rPr>
        <w:t>linia 110 kV Połaniec – Osiek (dł. linii na terenie gminy Połaniec ok. 5,6km)</w:t>
      </w:r>
    </w:p>
    <w:p w:rsidR="004C57F5" w:rsidRPr="001D200B" w:rsidRDefault="004C57F5" w:rsidP="00F006D6">
      <w:pPr>
        <w:pStyle w:val="Punktory"/>
        <w:rPr>
          <w:lang w:val="pl-PL"/>
        </w:rPr>
      </w:pPr>
      <w:r w:rsidRPr="001D200B">
        <w:rPr>
          <w:lang w:val="pl-PL"/>
        </w:rPr>
        <w:t>linia 110 kV Połaniec – Staszów (dł. linii na terenie gminy Połaniec ok. 5,7km)</w:t>
      </w:r>
    </w:p>
    <w:p w:rsidR="004C57F5" w:rsidRPr="001D200B" w:rsidRDefault="004C57F5" w:rsidP="00F006D6">
      <w:pPr>
        <w:pStyle w:val="Punktory"/>
        <w:rPr>
          <w:lang w:val="pl-PL"/>
        </w:rPr>
      </w:pPr>
      <w:r w:rsidRPr="001D200B">
        <w:rPr>
          <w:lang w:val="pl-PL"/>
        </w:rPr>
        <w:t>linia 110 kV Połaniec – Grzybów (dł. linii na terenie gminy Połaniec ok. 9,9km)</w:t>
      </w:r>
    </w:p>
    <w:p w:rsidR="004C57F5" w:rsidRPr="001D200B" w:rsidRDefault="004C57F5" w:rsidP="00F006D6">
      <w:pPr>
        <w:pStyle w:val="Punktory"/>
        <w:rPr>
          <w:lang w:val="pl-PL"/>
        </w:rPr>
      </w:pPr>
      <w:r w:rsidRPr="001D200B">
        <w:rPr>
          <w:lang w:val="pl-PL"/>
        </w:rPr>
        <w:t>linia 110kV Połaniec – Cegielnia Oleśnica (dł. linii na terenie gminy Połaniec ok. 9,9km)</w:t>
      </w:r>
    </w:p>
    <w:p w:rsidR="004C57F5" w:rsidRPr="001D200B" w:rsidRDefault="004C57F5" w:rsidP="00F006D6">
      <w:pPr>
        <w:pStyle w:val="Punktory"/>
        <w:rPr>
          <w:lang w:val="pl-PL"/>
        </w:rPr>
      </w:pPr>
      <w:r w:rsidRPr="001D200B">
        <w:rPr>
          <w:lang w:val="pl-PL"/>
        </w:rPr>
        <w:t>linia 110 kV Połaniec – Mielec (dł. linii na terenie gminy Połaniec około 0,9km)</w:t>
      </w:r>
    </w:p>
    <w:p w:rsidR="004C57F5" w:rsidRPr="001D200B" w:rsidRDefault="004C57F5" w:rsidP="00F006D6">
      <w:pPr>
        <w:pStyle w:val="Punktory"/>
        <w:rPr>
          <w:lang w:val="pl-PL"/>
        </w:rPr>
      </w:pPr>
      <w:r w:rsidRPr="001D200B">
        <w:rPr>
          <w:lang w:val="pl-PL"/>
        </w:rPr>
        <w:t>linia 110 kV Połaniec – Mielec Smoczka (dł. linii na terenie gminy Połaniec około 0,9km)</w:t>
      </w:r>
    </w:p>
    <w:p w:rsidR="004C57F5" w:rsidRPr="001D200B" w:rsidRDefault="004C57F5" w:rsidP="004C57F5">
      <w:pPr>
        <w:rPr>
          <w:rFonts w:cstheme="minorHAnsi"/>
        </w:rPr>
      </w:pPr>
      <w:r w:rsidRPr="001D200B">
        <w:rPr>
          <w:rFonts w:cstheme="minorHAnsi"/>
        </w:rPr>
        <w:t>Ponadto na terenie gminy znajdują się linie elektroenergetyczne 110kV eksploato</w:t>
      </w:r>
      <w:r w:rsidR="003C184E" w:rsidRPr="001D200B">
        <w:rPr>
          <w:rFonts w:cstheme="minorHAnsi"/>
        </w:rPr>
        <w:t>wane przez wytwórcę energii, tj. Enea Elektrownia Połaniec S.A.</w:t>
      </w:r>
    </w:p>
    <w:p w:rsidR="006F3D25" w:rsidRPr="001D200B" w:rsidRDefault="006F3D25" w:rsidP="006F3D25">
      <w:r w:rsidRPr="001D200B">
        <w:t xml:space="preserve">Podstawowe źródło zaopatrzenia w energię elektryczną terenu gminy Połaniec stanowią dwa główne punkty zasilania (tzw. GPZ-ty): </w:t>
      </w:r>
    </w:p>
    <w:p w:rsidR="004C57F5" w:rsidRPr="001D200B" w:rsidRDefault="006F3D25" w:rsidP="004C57F5">
      <w:pPr>
        <w:rPr>
          <w:rFonts w:cstheme="minorHAnsi"/>
        </w:rPr>
      </w:pPr>
      <w:r w:rsidRPr="001D200B">
        <w:rPr>
          <w:b/>
          <w:u w:val="single"/>
        </w:rPr>
        <w:lastRenderedPageBreak/>
        <w:t xml:space="preserve">GPZ Połaniec </w:t>
      </w:r>
      <w:r w:rsidRPr="001D200B">
        <w:rPr>
          <w:i/>
        </w:rPr>
        <w:t>–</w:t>
      </w:r>
      <w:r w:rsidRPr="001D200B">
        <w:rPr>
          <w:b/>
          <w:i/>
        </w:rPr>
        <w:t xml:space="preserve"> </w:t>
      </w:r>
      <w:r w:rsidRPr="001D200B">
        <w:t xml:space="preserve">stacja </w:t>
      </w:r>
      <w:r w:rsidR="00121FC6" w:rsidRPr="001D200B">
        <w:t xml:space="preserve">110/15kV </w:t>
      </w:r>
      <w:r w:rsidRPr="001D200B">
        <w:t xml:space="preserve">zlokalizowana przy Elektrowni Połaniec </w:t>
      </w:r>
      <w:r w:rsidRPr="001D200B">
        <w:rPr>
          <w:rFonts w:cstheme="minorHAnsi"/>
        </w:rPr>
        <w:t>w sąsiedztwie stacji elektroenergetycznej 400/220 kV Połaniec</w:t>
      </w:r>
      <w:r w:rsidR="009E1C2E" w:rsidRPr="001D200B">
        <w:rPr>
          <w:rFonts w:cstheme="minorHAnsi"/>
        </w:rPr>
        <w:t>. Wyposażenie: dwa transformatory o mocy 10MVA i 16 MVA. Stacja jest własnością PSE S.A. GPZ Połaniec posiada rezerwę mocy.</w:t>
      </w:r>
    </w:p>
    <w:p w:rsidR="006F3D25" w:rsidRPr="001D200B" w:rsidRDefault="006F3D25" w:rsidP="004C57F5">
      <w:pPr>
        <w:rPr>
          <w:rFonts w:cstheme="minorHAnsi"/>
        </w:rPr>
      </w:pPr>
      <w:r w:rsidRPr="001D200B">
        <w:rPr>
          <w:rFonts w:cstheme="minorHAnsi"/>
          <w:b/>
          <w:u w:val="single"/>
        </w:rPr>
        <w:t>GPZ Grzybów</w:t>
      </w:r>
      <w:r w:rsidRPr="001D200B">
        <w:rPr>
          <w:rFonts w:cstheme="minorHAnsi"/>
        </w:rPr>
        <w:t xml:space="preserve"> – </w:t>
      </w:r>
      <w:r w:rsidR="00121FC6" w:rsidRPr="001D200B">
        <w:rPr>
          <w:rFonts w:cstheme="minorHAnsi"/>
        </w:rPr>
        <w:t>stacja 110/30/15 kV zlokalizowana na terenie gminy Staszów.</w:t>
      </w:r>
      <w:r w:rsidR="009E1C2E" w:rsidRPr="001D200B">
        <w:rPr>
          <w:rFonts w:cstheme="minorHAnsi"/>
        </w:rPr>
        <w:t xml:space="preserve"> Wyposażenie: dwa transformatory o mocy 2x 16 MVA. GPZ Grzybów posiada rezerwę mocy.</w:t>
      </w:r>
    </w:p>
    <w:p w:rsidR="004C57F5" w:rsidRPr="001D200B" w:rsidRDefault="004C57F5" w:rsidP="004C57F5">
      <w:pPr>
        <w:rPr>
          <w:rFonts w:cstheme="minorHAnsi"/>
        </w:rPr>
      </w:pPr>
      <w:r w:rsidRPr="001D200B">
        <w:rPr>
          <w:rFonts w:cstheme="minorHAnsi"/>
        </w:rPr>
        <w:t xml:space="preserve">Stacje transformatorowe GPZ mają za zadanie obniżyć wysokie napięcie (110kV) na napięcie średnie i są punktem zasilania, z którego wyprowadzone są magistralne linie średniego napięcia w kierunku stacji transformatorowych SN/nN. </w:t>
      </w:r>
    </w:p>
    <w:p w:rsidR="00D3226E" w:rsidRPr="001D200B" w:rsidRDefault="00D3226E" w:rsidP="00C064C8">
      <w:pPr>
        <w:pStyle w:val="Tekstpodstawowy2"/>
        <w:shd w:val="clear" w:color="auto" w:fill="F2F2F2" w:themeFill="background1" w:themeFillShade="F2"/>
        <w:rPr>
          <w:b/>
        </w:rPr>
      </w:pPr>
      <w:r w:rsidRPr="001D200B">
        <w:rPr>
          <w:b/>
        </w:rPr>
        <w:t>LINIE ŚREDNIEGO I NISKIEGO NAPIĘCIA</w:t>
      </w:r>
    </w:p>
    <w:p w:rsidR="00B61D44" w:rsidRPr="001D200B" w:rsidRDefault="00D3226E" w:rsidP="00C066C8">
      <w:pPr>
        <w:rPr>
          <w:rFonts w:cstheme="minorHAnsi"/>
        </w:rPr>
      </w:pPr>
      <w:r w:rsidRPr="001D200B">
        <w:t>Lokalna sieć rozdzielcza średniego napięcia wykonana jest jako napowietrzno – kablowa. Według informacji PGE Dystrybucja S.A. sieć elektroenergetyczna średniego napięcia na terenie gminy Połaniec jest na ogół w dobrym stanie technicznym</w:t>
      </w:r>
      <w:r w:rsidR="000D5C74" w:rsidRPr="001D200B">
        <w:t xml:space="preserve">. </w:t>
      </w:r>
      <w:r w:rsidR="00C066C8" w:rsidRPr="001D200B">
        <w:rPr>
          <w:rFonts w:cstheme="minorHAnsi"/>
        </w:rPr>
        <w:t>Istniejący układ rozprowadzenia sieci średniego napięcia gwarantuje wystarczający poziom niezawodności zasilania odbiorców – miasto Połaniec, jak i tereny wiejskie gminy zasilane są promieniowo, jako linie odgałęźne od linii magistralnych.</w:t>
      </w:r>
    </w:p>
    <w:p w:rsidR="00C066C8" w:rsidRPr="001D200B" w:rsidRDefault="00C066C8" w:rsidP="00C066C8">
      <w:pPr>
        <w:rPr>
          <w:rFonts w:cstheme="minorHAnsi"/>
        </w:rPr>
      </w:pPr>
      <w:r w:rsidRPr="001D200B">
        <w:rPr>
          <w:rFonts w:cstheme="minorHAnsi"/>
        </w:rPr>
        <w:t>Linie magistralne średniego napięcia wykonane są kablami o przekroju 120mm</w:t>
      </w:r>
      <w:r w:rsidRPr="001D200B">
        <w:rPr>
          <w:rFonts w:cstheme="minorHAnsi"/>
          <w:vertAlign w:val="superscript"/>
        </w:rPr>
        <w:t>2</w:t>
      </w:r>
      <w:r w:rsidRPr="001D200B">
        <w:rPr>
          <w:rFonts w:cstheme="minorHAnsi"/>
        </w:rPr>
        <w:t xml:space="preserve"> oraz przewodami o przekroju 70mm</w:t>
      </w:r>
      <w:r w:rsidRPr="001D200B">
        <w:rPr>
          <w:rFonts w:cstheme="minorHAnsi"/>
          <w:vertAlign w:val="superscript"/>
        </w:rPr>
        <w:t>2</w:t>
      </w:r>
      <w:r w:rsidRPr="001D200B">
        <w:rPr>
          <w:rFonts w:cstheme="minorHAnsi"/>
        </w:rPr>
        <w:t xml:space="preserve">. Linie odgałęźne średniego napięcia to w przewadze typowe przewody </w:t>
      </w:r>
      <w:r w:rsidR="00B61D44" w:rsidRPr="001D200B">
        <w:rPr>
          <w:rFonts w:cstheme="minorHAnsi"/>
        </w:rPr>
        <w:t>nieizolowane</w:t>
      </w:r>
      <w:r w:rsidRPr="001D200B">
        <w:rPr>
          <w:rFonts w:cstheme="minorHAnsi"/>
        </w:rPr>
        <w:t xml:space="preserve"> stalowo – aluminiowe (ALF) o przekroju 35mm</w:t>
      </w:r>
      <w:r w:rsidRPr="001D200B">
        <w:rPr>
          <w:rFonts w:cstheme="minorHAnsi"/>
          <w:vertAlign w:val="superscript"/>
        </w:rPr>
        <w:t>2</w:t>
      </w:r>
      <w:r w:rsidRPr="001D200B">
        <w:rPr>
          <w:rFonts w:cstheme="minorHAnsi"/>
        </w:rPr>
        <w:t>.</w:t>
      </w:r>
    </w:p>
    <w:p w:rsidR="00D3226E" w:rsidRPr="001D200B" w:rsidRDefault="00B61D44" w:rsidP="004C57F5">
      <w:pPr>
        <w:rPr>
          <w:rFonts w:cstheme="minorHAnsi"/>
        </w:rPr>
      </w:pPr>
      <w:r w:rsidRPr="001D200B">
        <w:t>Według informacji PGE Dystrybucja S.A. l</w:t>
      </w:r>
      <w:r w:rsidR="000D5C74" w:rsidRPr="001D200B">
        <w:t>inie elektroenergetyczne posiadają rezerwy mocy umożliwiające zasilanie istniejących i przyszłych odbiorców.</w:t>
      </w:r>
    </w:p>
    <w:p w:rsidR="004C57F5" w:rsidRPr="001D200B" w:rsidRDefault="004C57F5" w:rsidP="004C57F5">
      <w:pPr>
        <w:rPr>
          <w:rFonts w:cstheme="minorHAnsi"/>
          <w:i/>
          <w:u w:val="single"/>
        </w:rPr>
      </w:pPr>
      <w:r w:rsidRPr="001D200B">
        <w:rPr>
          <w:rFonts w:cstheme="minorHAnsi"/>
          <w:i/>
          <w:u w:val="single"/>
        </w:rPr>
        <w:t xml:space="preserve">Zestawienie magistralnych linii średniego napięcia </w:t>
      </w:r>
      <w:r w:rsidR="00C641FA" w:rsidRPr="001D200B">
        <w:rPr>
          <w:rFonts w:cstheme="minorHAnsi"/>
          <w:i/>
          <w:u w:val="single"/>
        </w:rPr>
        <w:t xml:space="preserve">zasilających teren </w:t>
      </w:r>
      <w:r w:rsidRPr="001D200B">
        <w:rPr>
          <w:rFonts w:cstheme="minorHAnsi"/>
          <w:i/>
          <w:u w:val="single"/>
        </w:rPr>
        <w:t xml:space="preserve">gminy Połaniec: </w:t>
      </w:r>
    </w:p>
    <w:p w:rsidR="004C57F5" w:rsidRPr="001D200B" w:rsidRDefault="004C57F5" w:rsidP="00F21741">
      <w:pPr>
        <w:pStyle w:val="Punktatory1"/>
      </w:pPr>
      <w:r w:rsidRPr="001D200B">
        <w:t>GPZ Połaniec – Ruszcza</w:t>
      </w:r>
    </w:p>
    <w:p w:rsidR="004C57F5" w:rsidRPr="001D200B" w:rsidRDefault="004C57F5" w:rsidP="00F21741">
      <w:pPr>
        <w:pStyle w:val="Punktatory1"/>
      </w:pPr>
      <w:r w:rsidRPr="001D200B">
        <w:t>GPZ Połaniec – Łubnice</w:t>
      </w:r>
    </w:p>
    <w:p w:rsidR="004C57F5" w:rsidRPr="001D200B" w:rsidRDefault="004C57F5" w:rsidP="00F21741">
      <w:pPr>
        <w:pStyle w:val="Punktatory1"/>
      </w:pPr>
      <w:r w:rsidRPr="001D200B">
        <w:t>GPZ Połaniec – Rytwiany</w:t>
      </w:r>
    </w:p>
    <w:p w:rsidR="004C57F5" w:rsidRPr="001D200B" w:rsidRDefault="004C57F5" w:rsidP="00F21741">
      <w:pPr>
        <w:pStyle w:val="Punktatory1"/>
      </w:pPr>
      <w:r w:rsidRPr="001D200B">
        <w:t>GPZ Połaniec – Osiek</w:t>
      </w:r>
    </w:p>
    <w:p w:rsidR="00C641FA" w:rsidRPr="001D200B" w:rsidRDefault="00C641FA" w:rsidP="00F21741">
      <w:pPr>
        <w:pStyle w:val="Punktatory1"/>
      </w:pPr>
      <w:r w:rsidRPr="001D200B">
        <w:t xml:space="preserve">GPZ Połaniec – Oczyszczalnia </w:t>
      </w:r>
    </w:p>
    <w:p w:rsidR="00D3226E" w:rsidRPr="001D200B" w:rsidRDefault="00D3226E" w:rsidP="00F21741">
      <w:pPr>
        <w:pStyle w:val="Punktatory1"/>
      </w:pPr>
      <w:r w:rsidRPr="001D200B">
        <w:t>GPZ Połaniec – Osiedl</w:t>
      </w:r>
      <w:r w:rsidR="00522E15" w:rsidRPr="001D200B">
        <w:t>e</w:t>
      </w:r>
      <w:r w:rsidRPr="001D200B">
        <w:t xml:space="preserve"> 1</w:t>
      </w:r>
    </w:p>
    <w:p w:rsidR="00D3226E" w:rsidRPr="001D200B" w:rsidRDefault="00D3226E" w:rsidP="00F21741">
      <w:pPr>
        <w:pStyle w:val="Punktatory1"/>
      </w:pPr>
      <w:r w:rsidRPr="001D200B">
        <w:t>GPZ Połaniec – Osiedl</w:t>
      </w:r>
      <w:r w:rsidR="00522E15" w:rsidRPr="001D200B">
        <w:t>e</w:t>
      </w:r>
      <w:r w:rsidRPr="001D200B">
        <w:t xml:space="preserve"> 2</w:t>
      </w:r>
    </w:p>
    <w:p w:rsidR="00D3226E" w:rsidRPr="001D200B" w:rsidRDefault="00D3226E" w:rsidP="00F21741">
      <w:pPr>
        <w:pStyle w:val="Punktatory1"/>
      </w:pPr>
      <w:r w:rsidRPr="001D200B">
        <w:t>GPZ Połaniec – PKP</w:t>
      </w:r>
    </w:p>
    <w:p w:rsidR="00D3226E" w:rsidRPr="001D200B" w:rsidRDefault="00D3226E" w:rsidP="00F21741">
      <w:pPr>
        <w:pStyle w:val="Punktatory1"/>
      </w:pPr>
      <w:r w:rsidRPr="001D200B">
        <w:t>GPZ Połaniec – PSE</w:t>
      </w:r>
    </w:p>
    <w:p w:rsidR="00D3226E" w:rsidRPr="001D200B" w:rsidRDefault="00D3226E" w:rsidP="00F21741">
      <w:pPr>
        <w:pStyle w:val="Punktatory1"/>
      </w:pPr>
      <w:r w:rsidRPr="001D200B">
        <w:t>GPZ Połaniec – SUW</w:t>
      </w:r>
    </w:p>
    <w:p w:rsidR="00D3226E" w:rsidRPr="001D200B" w:rsidRDefault="00D3226E" w:rsidP="00F21741">
      <w:pPr>
        <w:pStyle w:val="Punktatory1"/>
      </w:pPr>
      <w:r w:rsidRPr="001D200B">
        <w:t>GPZ Połaniec – Smoczka</w:t>
      </w:r>
    </w:p>
    <w:p w:rsidR="00D3226E" w:rsidRPr="001D200B" w:rsidRDefault="00D3226E" w:rsidP="00F21741">
      <w:pPr>
        <w:pStyle w:val="Punktatory1"/>
      </w:pPr>
      <w:r w:rsidRPr="001D200B">
        <w:t>GPZ Połaniec - Mielec</w:t>
      </w:r>
    </w:p>
    <w:p w:rsidR="004C57F5" w:rsidRPr="001D200B" w:rsidRDefault="004C57F5" w:rsidP="00F21741">
      <w:pPr>
        <w:pStyle w:val="Punktatory1"/>
      </w:pPr>
      <w:r w:rsidRPr="001D200B">
        <w:lastRenderedPageBreak/>
        <w:t>GPZ Grzybów - Sichów</w:t>
      </w:r>
    </w:p>
    <w:p w:rsidR="00B61D44" w:rsidRPr="001D200B" w:rsidRDefault="00B61D44" w:rsidP="00B61D44">
      <w:r w:rsidRPr="001D200B">
        <w:t xml:space="preserve">W układ sieci średniego napięcia włączone są stacje transformatorowe średniego na niskie napięcie (SN/nN), z których wyprowadzone są linie niskiego napięcia, służące do rozdziału energii elektrycznej bezpośrednio do odbiorców. </w:t>
      </w:r>
    </w:p>
    <w:p w:rsidR="006E16E1" w:rsidRPr="001D200B" w:rsidRDefault="006E16E1" w:rsidP="006E16E1">
      <w:r w:rsidRPr="001D200B">
        <w:t xml:space="preserve">Najwięksi odbiorcy energii elektrycznej na terenie gminy zasilani są z sieci średniego napięcia. Stacje zasilające zakłady przemysłowe/produkcyjne z reguły są ich własnością – na terenie gminy znajduje się kilkadziesiąt stacji użytkowanych przez właścicieli prywatnych. </w:t>
      </w:r>
    </w:p>
    <w:p w:rsidR="004C57F5" w:rsidRPr="001D200B" w:rsidRDefault="004C57F5" w:rsidP="004C57F5">
      <w:pPr>
        <w:rPr>
          <w:rFonts w:cstheme="minorHAnsi"/>
        </w:rPr>
      </w:pPr>
      <w:r w:rsidRPr="001D200B">
        <w:rPr>
          <w:rFonts w:cstheme="minorHAnsi"/>
        </w:rPr>
        <w:t xml:space="preserve">Moc zainstalowana na stacjach transformatorowych zaspakaja obecne zapotrzebowanie na energię elektryczną. W przypadku zwiększonego zapotrzebowania istnieje możliwość wymiany transformatorów w stacjach na jednostki o większej mocy lub budowa nowych stacji transformatorowych. Większość transformatorów jest w dobrym stanie technicznym. </w:t>
      </w:r>
      <w:r w:rsidR="00984F12" w:rsidRPr="001D200B">
        <w:rPr>
          <w:rFonts w:cstheme="minorHAnsi"/>
        </w:rPr>
        <w:t xml:space="preserve">Rozmieszczenie stacji </w:t>
      </w:r>
      <w:r w:rsidRPr="001D200B">
        <w:rPr>
          <w:rFonts w:cstheme="minorHAnsi"/>
        </w:rPr>
        <w:t xml:space="preserve">transformatorowych pokazano </w:t>
      </w:r>
      <w:r w:rsidR="00984F12" w:rsidRPr="001D200B">
        <w:rPr>
          <w:rFonts w:cstheme="minorHAnsi"/>
        </w:rPr>
        <w:t>na załączniku graficznym.</w:t>
      </w:r>
      <w:r w:rsidRPr="001D200B">
        <w:rPr>
          <w:rFonts w:cstheme="minorHAnsi"/>
        </w:rPr>
        <w:t xml:space="preserve"> </w:t>
      </w:r>
    </w:p>
    <w:p w:rsidR="000C78CA" w:rsidRPr="001D200B" w:rsidRDefault="00984F12" w:rsidP="00984F12">
      <w:r w:rsidRPr="001D200B">
        <w:t xml:space="preserve">Sieć niskiego napięcia to ostatnie ogniowo na drodze przesyłu energii elektrycznej do odbiorców zasilanych z sieci niskiego napięcia - są to odbiorcy komunalno-bytowi (gospodarstwa domowe oraz obiekty gminne), sektor handlu i usług oraz drobne obiekty związane z działalnością przemysłową. </w:t>
      </w:r>
      <w:r w:rsidR="000C78CA" w:rsidRPr="001D200B">
        <w:t>Sieci niskiego napięcia w przewadze wykonane są liniami napowietrznymi (</w:t>
      </w:r>
      <w:r w:rsidR="000C78CA" w:rsidRPr="001D200B">
        <w:rPr>
          <w:rFonts w:cstheme="minorHAnsi"/>
        </w:rPr>
        <w:t>przewody aluminiowe, nieizolowane typu AL o przekrojach 50-70mm</w:t>
      </w:r>
      <w:r w:rsidR="000C78CA" w:rsidRPr="001D200B">
        <w:rPr>
          <w:rFonts w:cstheme="minorHAnsi"/>
          <w:vertAlign w:val="superscript"/>
        </w:rPr>
        <w:t>2</w:t>
      </w:r>
      <w:r w:rsidR="000C78CA" w:rsidRPr="001D200B">
        <w:rPr>
          <w:rFonts w:cstheme="minorHAnsi"/>
        </w:rPr>
        <w:t xml:space="preserve"> trzony i 25-35mm</w:t>
      </w:r>
      <w:r w:rsidR="000C78CA" w:rsidRPr="001D200B">
        <w:rPr>
          <w:rFonts w:cstheme="minorHAnsi"/>
          <w:vertAlign w:val="superscript"/>
        </w:rPr>
        <w:t>2</w:t>
      </w:r>
      <w:r w:rsidR="000C78CA" w:rsidRPr="001D200B">
        <w:rPr>
          <w:rFonts w:cstheme="minorHAnsi"/>
        </w:rPr>
        <w:t xml:space="preserve"> odgałęzienia</w:t>
      </w:r>
      <w:r w:rsidR="002F37E2" w:rsidRPr="001D200B">
        <w:rPr>
          <w:rFonts w:cstheme="minorHAnsi"/>
        </w:rPr>
        <w:t>)</w:t>
      </w:r>
      <w:r w:rsidR="000C78CA" w:rsidRPr="001D200B">
        <w:rPr>
          <w:rFonts w:cstheme="minorHAnsi"/>
        </w:rPr>
        <w:t xml:space="preserve">. </w:t>
      </w:r>
      <w:r w:rsidR="009D4DA9" w:rsidRPr="001D200B">
        <w:rPr>
          <w:rFonts w:cstheme="minorHAnsi"/>
        </w:rPr>
        <w:t>Jedynie ok. 30% linii napowietrznych niskiego napięcia na terenie gminy wykonana jest przewodami izolowanymi</w:t>
      </w:r>
      <w:r w:rsidR="00FB1B64" w:rsidRPr="001D200B">
        <w:rPr>
          <w:rFonts w:cstheme="minorHAnsi"/>
        </w:rPr>
        <w:t xml:space="preserve"> typu AsXSn</w:t>
      </w:r>
      <w:r w:rsidR="009D4DA9" w:rsidRPr="001D200B">
        <w:rPr>
          <w:rFonts w:cstheme="minorHAnsi"/>
        </w:rPr>
        <w:t>.</w:t>
      </w:r>
      <w:r w:rsidR="009D4DA9" w:rsidRPr="001D200B">
        <w:rPr>
          <w:rFonts w:cstheme="minorHAnsi"/>
          <w:vertAlign w:val="superscript"/>
        </w:rPr>
        <w:t xml:space="preserve"> </w:t>
      </w:r>
      <w:r w:rsidR="009D4DA9" w:rsidRPr="001D200B">
        <w:rPr>
          <w:rFonts w:cstheme="minorHAnsi"/>
        </w:rPr>
        <w:t>W obszarach charakteryzujących się typowo miejskim zainwestowaniem, w tym znaczną gęstością zabudowań, poprowadzono linie kablowe nN, są to kable o przekrojach 35 i 120mm</w:t>
      </w:r>
      <w:r w:rsidR="009D4DA9" w:rsidRPr="001D200B">
        <w:rPr>
          <w:rFonts w:cstheme="minorHAnsi"/>
          <w:vertAlign w:val="superscript"/>
        </w:rPr>
        <w:t>2</w:t>
      </w:r>
      <w:r w:rsidR="009D4DA9" w:rsidRPr="001D200B">
        <w:rPr>
          <w:rFonts w:cstheme="minorHAnsi"/>
        </w:rPr>
        <w:t xml:space="preserve">. </w:t>
      </w:r>
    </w:p>
    <w:p w:rsidR="00FB1B64" w:rsidRPr="001D200B" w:rsidRDefault="00FB1B64" w:rsidP="00FB1B64">
      <w:r w:rsidRPr="001D200B">
        <w:t xml:space="preserve">Sieci elektroenergetyczne to zarówno sieci kablowe, jak i napowietrzne, tj. szczególnie narażone na awarie wywołane czynnikami atmosferycznymi. Linie napowietrzne stanowią około 65% z ogólnej długości sieci średniego napięcia i około </w:t>
      </w:r>
      <w:r w:rsidR="00723F58" w:rsidRPr="001D200B">
        <w:t>56</w:t>
      </w:r>
      <w:r w:rsidRPr="001D200B">
        <w:t xml:space="preserve">% z ogólnej długości linii niskiego napięcia. </w:t>
      </w:r>
    </w:p>
    <w:p w:rsidR="004C57F5" w:rsidRPr="001D200B" w:rsidRDefault="004C57F5" w:rsidP="004C57F5">
      <w:pPr>
        <w:rPr>
          <w:rFonts w:cstheme="minorHAnsi"/>
        </w:rPr>
      </w:pPr>
    </w:p>
    <w:p w:rsidR="004C57F5" w:rsidRPr="001D200B" w:rsidRDefault="004C57F5" w:rsidP="004C57F5">
      <w:pPr>
        <w:rPr>
          <w:rFonts w:cstheme="minorHAnsi"/>
        </w:rPr>
      </w:pPr>
      <w:r w:rsidRPr="001D200B">
        <w:rPr>
          <w:rFonts w:cstheme="minorHAnsi"/>
        </w:rPr>
        <w:t xml:space="preserve">Istniejąca sieć elektroenergetyczna pokrywa w 100% potrzeby zasilania w energię elektryczną wszystkich odbiorców zlokalizowanych na terenie gminy, wiele jednostek transformatorowych posiada rezerwę mocy. Ogólnie stan eksploatowanej infrastruktury elektroenergetycznej ocenia się jako zadowalający. Z oceny stanu funkcjonalnego sieci średnich napięć wynika, za największe problemy mogą występować w obszarach o znacznym rozproszeniu zabudowy i odbiorców gdzie, linie są rozległe, w związku z czym mogą występować problemy z utrzymaniem normatywnych parametrów technicznych (obecnie nieznaczne spadki napięcia występują sporadycznie). Długość obwodów to jeden z podstawowych mierników oceny stanu technicznego sieci nN – pożądanym jest, aby długość obwodu mierzona od stacji transformatorowej SN/nN nie była większa niż 500m. Najsłabszym ogniwem układu doprowadzającego energię do odbiorców finalnych, o </w:t>
      </w:r>
      <w:r w:rsidRPr="001D200B">
        <w:rPr>
          <w:rFonts w:cstheme="minorHAnsi"/>
        </w:rPr>
        <w:lastRenderedPageBreak/>
        <w:t xml:space="preserve">wysokim stopniu zagrożenia awarią są linie napowietrzne z przewodami gołymi charakteryzujące się długim okresem eksploatacji. </w:t>
      </w:r>
    </w:p>
    <w:p w:rsidR="004C57F5" w:rsidRPr="001D200B" w:rsidRDefault="004C57F5" w:rsidP="004C57F5">
      <w:pPr>
        <w:rPr>
          <w:rFonts w:cstheme="minorHAnsi"/>
        </w:rPr>
      </w:pPr>
      <w:r w:rsidRPr="001D200B">
        <w:rPr>
          <w:rFonts w:cstheme="minorHAnsi"/>
        </w:rPr>
        <w:t>Najstarsze elementy infrastruktury energetycznej powstawały według obowiązujących, stosownie do okresu budowy, rozwiązań katalogowych oraz w okresie znacznie mniejszego zapotrzebowania na energię elektryczną (w latach powszechnej elektryfikacji, lata sześćdziesiąte i siedemdziesiąte). Dlatego też, z uwarunkowań technicznych, tj. potrzeby dostarczania istniejącym odbiorcom energii elektrycznej o prawidłowych parametrach oraz powiększania się terenów zurbanizowanych wynika konieczność rozbudowy i modernizacji sieci średniego i niskiego napięcia</w:t>
      </w:r>
      <w:r w:rsidR="00723F58" w:rsidRPr="001D200B">
        <w:rPr>
          <w:rFonts w:cstheme="minorHAnsi"/>
        </w:rPr>
        <w:t>. W</w:t>
      </w:r>
      <w:r w:rsidRPr="001D200B">
        <w:rPr>
          <w:rFonts w:cstheme="minorHAnsi"/>
        </w:rPr>
        <w:t xml:space="preserve"> pracach modernizacyjnych zakład energetyczny winien uwzględnić:</w:t>
      </w:r>
    </w:p>
    <w:p w:rsidR="004C57F5" w:rsidRPr="001D200B" w:rsidRDefault="004C57F5" w:rsidP="00F006D6">
      <w:pPr>
        <w:pStyle w:val="Punktory"/>
        <w:rPr>
          <w:lang w:val="pl-PL"/>
        </w:rPr>
      </w:pPr>
      <w:r w:rsidRPr="001D200B">
        <w:rPr>
          <w:lang w:val="pl-PL"/>
        </w:rPr>
        <w:t>sukcesywne odnawianie starej infrastruktury energetycznej;</w:t>
      </w:r>
    </w:p>
    <w:p w:rsidR="004C57F5" w:rsidRPr="001D200B" w:rsidRDefault="004C57F5" w:rsidP="00F006D6">
      <w:pPr>
        <w:pStyle w:val="Punktory"/>
        <w:rPr>
          <w:lang w:val="pl-PL"/>
        </w:rPr>
      </w:pPr>
      <w:r w:rsidRPr="001D200B">
        <w:rPr>
          <w:lang w:val="pl-PL"/>
        </w:rPr>
        <w:t>zwiększenie przepustowości sieci co podyktowane jest przyrostem obecnie stosowanych i wykorzystywanych odbiorników elektrycznych;</w:t>
      </w:r>
    </w:p>
    <w:p w:rsidR="004C57F5" w:rsidRPr="001D200B" w:rsidRDefault="004C57F5" w:rsidP="00F006D6">
      <w:pPr>
        <w:pStyle w:val="Punktory"/>
        <w:rPr>
          <w:lang w:val="pl-PL"/>
        </w:rPr>
      </w:pPr>
      <w:r w:rsidRPr="001D200B">
        <w:rPr>
          <w:lang w:val="pl-PL"/>
        </w:rPr>
        <w:t xml:space="preserve">skracanie długości obwodów poprzez dobudowywanie nowych stacji transformatorowych, w szczególności w obwodach bardzo długich (powyżej 1000m). </w:t>
      </w:r>
    </w:p>
    <w:p w:rsidR="00723F58" w:rsidRPr="001D200B" w:rsidRDefault="00723F58" w:rsidP="00915383">
      <w:r w:rsidRPr="001D200B">
        <w:t xml:space="preserve">Właściciel sieci, w miarę możliwości finansowych, prowadzi prace polegające na sukcesywnej wymianie wyeksploatowanych urządzeń na nowe, doposażeniu sieci terenowej w nowe stacje transformatorowe, nowe linie elektroenergetyczne zwiększając tym samym pewność dostaw energii o właściwych parametrach oraz zmniejszając awaryjność sieci. </w:t>
      </w:r>
    </w:p>
    <w:p w:rsidR="004C57F5" w:rsidRPr="001D200B" w:rsidRDefault="004C57F5" w:rsidP="00C064C8">
      <w:pPr>
        <w:shd w:val="clear" w:color="auto" w:fill="F2F2F2" w:themeFill="background1" w:themeFillShade="F2"/>
        <w:rPr>
          <w:rFonts w:cstheme="minorHAnsi"/>
          <w:b/>
        </w:rPr>
      </w:pPr>
      <w:r w:rsidRPr="001D200B">
        <w:rPr>
          <w:rFonts w:cstheme="minorHAnsi"/>
          <w:b/>
        </w:rPr>
        <w:t xml:space="preserve">OŚWIETLENIE ULICZNE </w:t>
      </w:r>
    </w:p>
    <w:p w:rsidR="00723F58" w:rsidRPr="001D200B" w:rsidRDefault="00723F58" w:rsidP="00723F58">
      <w:r w:rsidRPr="001D200B">
        <w:t xml:space="preserve">Na podstawie ustawy </w:t>
      </w:r>
      <w:r w:rsidRPr="001D200B">
        <w:rPr>
          <w:i/>
          <w:iCs/>
        </w:rPr>
        <w:t xml:space="preserve">Prawo energetyczne </w:t>
      </w:r>
      <w:r w:rsidRPr="001D200B">
        <w:t>(art. 18 ust. 1) do zadań własnych gminy w zakresie zaopatrzenia w energię elektryczną należy między innymi planowanie oświetlenia miejsc publicznych i dróg, znajdujących się na terenie gminy oraz finansowanie tego oświetlenia.</w:t>
      </w:r>
    </w:p>
    <w:p w:rsidR="004C57F5" w:rsidRPr="001D200B" w:rsidRDefault="004C57F5" w:rsidP="004C57F5">
      <w:pPr>
        <w:rPr>
          <w:rFonts w:cstheme="minorHAnsi"/>
        </w:rPr>
      </w:pPr>
      <w:r w:rsidRPr="001D200B">
        <w:rPr>
          <w:rFonts w:cstheme="minorHAnsi"/>
        </w:rPr>
        <w:t xml:space="preserve">Sieć oświetleniowa wyposażona </w:t>
      </w:r>
      <w:r w:rsidR="00005D6E" w:rsidRPr="001D200B">
        <w:rPr>
          <w:rFonts w:cstheme="minorHAnsi"/>
        </w:rPr>
        <w:t xml:space="preserve">w lampy sodowe o różnych mocach w ilości 1824 punkty. </w:t>
      </w:r>
      <w:r w:rsidR="001F1744" w:rsidRPr="001D200B">
        <w:t>Roczne zużycie energii na potrzeby oświetlenia przestrzeni publicznej kształtuje się na poziomie 1129MWh/ rok.</w:t>
      </w:r>
    </w:p>
    <w:p w:rsidR="004C57F5" w:rsidRPr="001D200B" w:rsidRDefault="001F1744" w:rsidP="00C064C8">
      <w:pPr>
        <w:shd w:val="clear" w:color="auto" w:fill="F2F2F2" w:themeFill="background1" w:themeFillShade="F2"/>
        <w:rPr>
          <w:rFonts w:cstheme="minorHAnsi"/>
          <w:highlight w:val="yellow"/>
        </w:rPr>
      </w:pPr>
      <w:r w:rsidRPr="001D200B">
        <w:rPr>
          <w:b/>
        </w:rPr>
        <w:t>Bilans zużycia energii elektrycznej przez odbiorców gminy Połaniec</w:t>
      </w:r>
    </w:p>
    <w:p w:rsidR="002A0FD9" w:rsidRPr="001D200B" w:rsidRDefault="002A0FD9" w:rsidP="002A0FD9">
      <w:r w:rsidRPr="001D200B">
        <w:t xml:space="preserve">Charakterystyka odbioru energii elektrycznej oraz pobierana moc decydują o przyporządkowaniu odbiorcy do danej grupy taryfowej: </w:t>
      </w:r>
    </w:p>
    <w:p w:rsidR="002A0FD9" w:rsidRPr="001D200B" w:rsidRDefault="002A0FD9" w:rsidP="00F21741">
      <w:pPr>
        <w:pStyle w:val="Punktatory1"/>
        <w:rPr>
          <w:u w:val="single"/>
        </w:rPr>
      </w:pPr>
      <w:r w:rsidRPr="001D200B">
        <w:t>grupa taryfowa A – odbiorcy zasilani z sieci wysokiego napięcia,</w:t>
      </w:r>
    </w:p>
    <w:p w:rsidR="002A0FD9" w:rsidRPr="001D200B" w:rsidRDefault="002A0FD9" w:rsidP="00F21741">
      <w:pPr>
        <w:pStyle w:val="Punktatory1"/>
        <w:rPr>
          <w:u w:val="single"/>
        </w:rPr>
      </w:pPr>
      <w:r w:rsidRPr="001D200B">
        <w:t>grupa taryfowa B – odbiorcy zasilani z sieci średniego napięcia,</w:t>
      </w:r>
    </w:p>
    <w:p w:rsidR="002A0FD9" w:rsidRPr="001D200B" w:rsidRDefault="002A0FD9" w:rsidP="00F21741">
      <w:pPr>
        <w:pStyle w:val="Punktatory1"/>
        <w:rPr>
          <w:u w:val="single"/>
        </w:rPr>
      </w:pPr>
      <w:r w:rsidRPr="001D200B">
        <w:t>grupa taryfowa C i R– odbiorcy zasilani z sieci nN (handel, drobne usługi, oświetlenie uliczne),</w:t>
      </w:r>
    </w:p>
    <w:p w:rsidR="002A0FD9" w:rsidRPr="001D200B" w:rsidRDefault="002A0FD9" w:rsidP="00F21741">
      <w:pPr>
        <w:pStyle w:val="Punktatory1"/>
        <w:rPr>
          <w:u w:val="single"/>
        </w:rPr>
      </w:pPr>
      <w:r w:rsidRPr="001D200B">
        <w:lastRenderedPageBreak/>
        <w:t xml:space="preserve">grupa taryfowa G –  odbiorcy zasilani z sieci nN (gospodarstwa domowe). </w:t>
      </w:r>
    </w:p>
    <w:p w:rsidR="002A0FD9" w:rsidRPr="001D200B" w:rsidRDefault="002A0FD9" w:rsidP="002A0FD9">
      <w:r w:rsidRPr="001D200B">
        <w:t xml:space="preserve">Na terenie gminy Połaniec nie ma odbiorców zasilanych z sieci WN (grupa taryfowa A). </w:t>
      </w:r>
    </w:p>
    <w:p w:rsidR="00DA262A" w:rsidRPr="001D200B" w:rsidRDefault="00DA262A" w:rsidP="00DA262A">
      <w:r w:rsidRPr="001D200B">
        <w:t xml:space="preserve">Odbiorcy energii elektrycznej na terenie gminy zasilani są głównie z sieci niskiego napięcia i rozliczani według taryf G i C. Są to głównie gospodarstwa domowe (zabudowa mieszkaniowa), placówki handlowo-usługowe, drobna wytwórczość, obiekty gminne (urzędy, szkoły, ośrodki zdrowia, itd.) oraz oświetlenie dróg i miejsc publicznych. Energia elektryczna dostarczana jest wszystkim odbiorcom na tradycyjne cele przygotowania posiłków, przygotowania wody użytkowej, napędu urządzeń elektrycznych, oświetlenia. </w:t>
      </w:r>
    </w:p>
    <w:p w:rsidR="00DA262A" w:rsidRPr="001D200B" w:rsidRDefault="00DA262A" w:rsidP="00DA262A">
      <w:r w:rsidRPr="001D200B">
        <w:t>Odbiorcy zasilani z sieci średniego napięcia 15kV (rozliczani według taryfy B) są nieliczni i stanowią tzw. duży odbiór energii elektrycznej.</w:t>
      </w:r>
    </w:p>
    <w:p w:rsidR="00DA262A" w:rsidRPr="001D200B" w:rsidRDefault="00DA262A" w:rsidP="00DA262A">
      <w:r w:rsidRPr="001D200B">
        <w:t>Według informacji uzyskanych od przedsiębiorstwa energetycznego PGE Dystrybucja S.A. Oddział Rzeszów, na terenie gminy Połaniec jest 5.326 odbiorców energii elektrycznej a zużycie całkowite kształtuje się na poziomie około 16 899,2 MWh</w:t>
      </w:r>
      <w:r w:rsidR="00733306" w:rsidRPr="001D200B">
        <w:t>/rok</w:t>
      </w:r>
      <w:r w:rsidRPr="001D200B">
        <w:t xml:space="preserve"> (stan za 2018r.). </w:t>
      </w:r>
    </w:p>
    <w:p w:rsidR="004C57F5" w:rsidRPr="001D200B" w:rsidRDefault="00DA262A" w:rsidP="00DA262A">
      <w:pPr>
        <w:pStyle w:val="Legenda"/>
        <w:rPr>
          <w:rFonts w:cstheme="minorHAnsi"/>
          <w:color w:val="auto"/>
          <w:highlight w:val="yellow"/>
        </w:rPr>
      </w:pPr>
      <w:bookmarkStart w:id="53" w:name="_Toc39476570"/>
      <w:r w:rsidRPr="001D200B">
        <w:rPr>
          <w:color w:val="auto"/>
        </w:rPr>
        <w:t xml:space="preserve">Tabela </w:t>
      </w:r>
      <w:r w:rsidR="005B7234" w:rsidRPr="001D200B">
        <w:rPr>
          <w:color w:val="auto"/>
        </w:rPr>
        <w:fldChar w:fldCharType="begin"/>
      </w:r>
      <w:r w:rsidR="005B7234" w:rsidRPr="001D200B">
        <w:rPr>
          <w:color w:val="auto"/>
        </w:rPr>
        <w:instrText xml:space="preserve"> SEQ Tabela \* ARABIC </w:instrText>
      </w:r>
      <w:r w:rsidR="005B7234" w:rsidRPr="001D200B">
        <w:rPr>
          <w:color w:val="auto"/>
        </w:rPr>
        <w:fldChar w:fldCharType="separate"/>
      </w:r>
      <w:r w:rsidR="00522E15" w:rsidRPr="001D200B">
        <w:rPr>
          <w:noProof/>
          <w:color w:val="auto"/>
        </w:rPr>
        <w:t>18</w:t>
      </w:r>
      <w:r w:rsidR="005B7234" w:rsidRPr="001D200B">
        <w:rPr>
          <w:color w:val="auto"/>
        </w:rPr>
        <w:fldChar w:fldCharType="end"/>
      </w:r>
      <w:r w:rsidRPr="001D200B">
        <w:rPr>
          <w:color w:val="auto"/>
        </w:rPr>
        <w:t>. Liczba odbiorców i zużycie energii elektrycznej na terenie gminy Połaniec w latach 2015 – 2018 – odbiorcy zasilani z sieci PGE Dystrybucja S.A. Oddział Rzeszów</w:t>
      </w:r>
      <w:bookmarkEnd w:id="5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3402"/>
        <w:gridCol w:w="1125"/>
        <w:gridCol w:w="1125"/>
        <w:gridCol w:w="1125"/>
        <w:gridCol w:w="1125"/>
      </w:tblGrid>
      <w:tr w:rsidR="00DA262A" w:rsidRPr="001D200B" w:rsidTr="00DA262A">
        <w:tc>
          <w:tcPr>
            <w:tcW w:w="4786" w:type="dxa"/>
            <w:gridSpan w:val="2"/>
            <w:shd w:val="clear" w:color="auto" w:fill="F2F2F2" w:themeFill="background1" w:themeFillShade="F2"/>
          </w:tcPr>
          <w:p w:rsidR="00DA262A" w:rsidRPr="001D200B" w:rsidRDefault="00DA262A" w:rsidP="002B387F">
            <w:pPr>
              <w:spacing w:before="0" w:after="0" w:line="240" w:lineRule="auto"/>
              <w:jc w:val="center"/>
              <w:rPr>
                <w:b/>
              </w:rPr>
            </w:pPr>
            <w:r w:rsidRPr="001D200B">
              <w:rPr>
                <w:b/>
              </w:rPr>
              <w:t>Wyszczególnienie</w:t>
            </w:r>
          </w:p>
        </w:tc>
        <w:tc>
          <w:tcPr>
            <w:tcW w:w="1125" w:type="dxa"/>
            <w:shd w:val="clear" w:color="auto" w:fill="F2F2F2" w:themeFill="background1" w:themeFillShade="F2"/>
            <w:vAlign w:val="center"/>
          </w:tcPr>
          <w:p w:rsidR="00DA262A" w:rsidRPr="001D200B" w:rsidRDefault="00DA262A" w:rsidP="002B387F">
            <w:pPr>
              <w:spacing w:before="0" w:after="0" w:line="240" w:lineRule="auto"/>
              <w:jc w:val="center"/>
              <w:rPr>
                <w:b/>
              </w:rPr>
            </w:pPr>
            <w:r w:rsidRPr="001D200B">
              <w:rPr>
                <w:b/>
              </w:rPr>
              <w:t>2015</w:t>
            </w:r>
          </w:p>
        </w:tc>
        <w:tc>
          <w:tcPr>
            <w:tcW w:w="1125" w:type="dxa"/>
            <w:shd w:val="clear" w:color="auto" w:fill="F2F2F2" w:themeFill="background1" w:themeFillShade="F2"/>
            <w:vAlign w:val="center"/>
          </w:tcPr>
          <w:p w:rsidR="00DA262A" w:rsidRPr="001D200B" w:rsidRDefault="00DA262A" w:rsidP="002B387F">
            <w:pPr>
              <w:spacing w:before="0" w:after="0" w:line="240" w:lineRule="auto"/>
              <w:jc w:val="center"/>
              <w:rPr>
                <w:b/>
              </w:rPr>
            </w:pPr>
            <w:r w:rsidRPr="001D200B">
              <w:rPr>
                <w:b/>
              </w:rPr>
              <w:t>2016</w:t>
            </w:r>
          </w:p>
        </w:tc>
        <w:tc>
          <w:tcPr>
            <w:tcW w:w="1125" w:type="dxa"/>
            <w:shd w:val="clear" w:color="auto" w:fill="F2F2F2" w:themeFill="background1" w:themeFillShade="F2"/>
          </w:tcPr>
          <w:p w:rsidR="00DA262A" w:rsidRPr="001D200B" w:rsidRDefault="00DA262A" w:rsidP="002B387F">
            <w:pPr>
              <w:spacing w:before="0" w:after="0" w:line="240" w:lineRule="auto"/>
              <w:jc w:val="center"/>
              <w:rPr>
                <w:b/>
              </w:rPr>
            </w:pPr>
            <w:r w:rsidRPr="001D200B">
              <w:rPr>
                <w:b/>
              </w:rPr>
              <w:t>2017</w:t>
            </w:r>
          </w:p>
        </w:tc>
        <w:tc>
          <w:tcPr>
            <w:tcW w:w="1125" w:type="dxa"/>
            <w:shd w:val="clear" w:color="auto" w:fill="F2F2F2" w:themeFill="background1" w:themeFillShade="F2"/>
          </w:tcPr>
          <w:p w:rsidR="00DA262A" w:rsidRPr="001D200B" w:rsidRDefault="00DA262A" w:rsidP="002B387F">
            <w:pPr>
              <w:spacing w:before="0" w:after="0" w:line="240" w:lineRule="auto"/>
              <w:jc w:val="center"/>
              <w:rPr>
                <w:b/>
              </w:rPr>
            </w:pPr>
            <w:r w:rsidRPr="001D200B">
              <w:rPr>
                <w:b/>
              </w:rPr>
              <w:t>2018</w:t>
            </w:r>
          </w:p>
        </w:tc>
      </w:tr>
      <w:tr w:rsidR="00DA262A" w:rsidRPr="001D200B" w:rsidTr="00DA262A">
        <w:trPr>
          <w:trHeight w:val="519"/>
        </w:trPr>
        <w:tc>
          <w:tcPr>
            <w:tcW w:w="1384" w:type="dxa"/>
            <w:vMerge w:val="restart"/>
            <w:vAlign w:val="center"/>
          </w:tcPr>
          <w:p w:rsidR="00DA262A" w:rsidRPr="001D200B" w:rsidRDefault="00DA262A" w:rsidP="00DA262A">
            <w:pPr>
              <w:spacing w:before="0" w:after="0" w:line="240" w:lineRule="auto"/>
              <w:jc w:val="center"/>
              <w:rPr>
                <w:b/>
              </w:rPr>
            </w:pPr>
            <w:r w:rsidRPr="001D200B">
              <w:rPr>
                <w:b/>
              </w:rPr>
              <w:t>Gmina Połaniec</w:t>
            </w:r>
          </w:p>
        </w:tc>
        <w:tc>
          <w:tcPr>
            <w:tcW w:w="3402" w:type="dxa"/>
            <w:vAlign w:val="center"/>
          </w:tcPr>
          <w:p w:rsidR="00DA262A" w:rsidRPr="001D200B" w:rsidRDefault="00DA262A" w:rsidP="002B387F">
            <w:pPr>
              <w:spacing w:before="0" w:after="0" w:line="240" w:lineRule="auto"/>
            </w:pPr>
            <w:r w:rsidRPr="001D200B">
              <w:t>Liczba odbiorców [szt.]</w:t>
            </w:r>
          </w:p>
        </w:tc>
        <w:tc>
          <w:tcPr>
            <w:tcW w:w="1125" w:type="dxa"/>
            <w:vAlign w:val="center"/>
          </w:tcPr>
          <w:p w:rsidR="00DA262A" w:rsidRPr="001D200B" w:rsidRDefault="00DA262A" w:rsidP="002B387F">
            <w:pPr>
              <w:spacing w:before="0" w:after="0" w:line="240" w:lineRule="auto"/>
              <w:jc w:val="center"/>
            </w:pPr>
            <w:r w:rsidRPr="001D200B">
              <w:t>5 294</w:t>
            </w:r>
          </w:p>
        </w:tc>
        <w:tc>
          <w:tcPr>
            <w:tcW w:w="1125" w:type="dxa"/>
            <w:vAlign w:val="center"/>
          </w:tcPr>
          <w:p w:rsidR="00DA262A" w:rsidRPr="001D200B" w:rsidRDefault="00DA262A" w:rsidP="002B387F">
            <w:pPr>
              <w:spacing w:before="0" w:after="0" w:line="240" w:lineRule="auto"/>
              <w:jc w:val="center"/>
            </w:pPr>
            <w:r w:rsidRPr="001D200B">
              <w:t>5 315</w:t>
            </w:r>
          </w:p>
        </w:tc>
        <w:tc>
          <w:tcPr>
            <w:tcW w:w="1125" w:type="dxa"/>
            <w:vAlign w:val="center"/>
          </w:tcPr>
          <w:p w:rsidR="00DA262A" w:rsidRPr="001D200B" w:rsidRDefault="00DA262A" w:rsidP="002B387F">
            <w:pPr>
              <w:spacing w:before="0" w:after="0" w:line="240" w:lineRule="auto"/>
              <w:jc w:val="center"/>
            </w:pPr>
            <w:r w:rsidRPr="001D200B">
              <w:t>5 322</w:t>
            </w:r>
          </w:p>
        </w:tc>
        <w:tc>
          <w:tcPr>
            <w:tcW w:w="1125" w:type="dxa"/>
            <w:vAlign w:val="center"/>
          </w:tcPr>
          <w:p w:rsidR="00DA262A" w:rsidRPr="001D200B" w:rsidRDefault="00DA262A" w:rsidP="002B387F">
            <w:pPr>
              <w:spacing w:before="0" w:after="0" w:line="240" w:lineRule="auto"/>
              <w:jc w:val="center"/>
            </w:pPr>
            <w:r w:rsidRPr="001D200B">
              <w:t>5 326</w:t>
            </w:r>
          </w:p>
        </w:tc>
      </w:tr>
      <w:tr w:rsidR="00DA262A" w:rsidRPr="001D200B" w:rsidTr="00DA262A">
        <w:tc>
          <w:tcPr>
            <w:tcW w:w="1384" w:type="dxa"/>
            <w:vMerge/>
            <w:vAlign w:val="center"/>
          </w:tcPr>
          <w:p w:rsidR="00DA262A" w:rsidRPr="001D200B" w:rsidRDefault="00DA262A" w:rsidP="002B387F">
            <w:pPr>
              <w:spacing w:before="0" w:after="0" w:line="240" w:lineRule="auto"/>
            </w:pPr>
          </w:p>
        </w:tc>
        <w:tc>
          <w:tcPr>
            <w:tcW w:w="3402" w:type="dxa"/>
            <w:vAlign w:val="center"/>
          </w:tcPr>
          <w:p w:rsidR="00DA262A" w:rsidRPr="001D200B" w:rsidRDefault="00DA262A" w:rsidP="002B387F">
            <w:pPr>
              <w:spacing w:before="0" w:after="0" w:line="240" w:lineRule="auto"/>
            </w:pPr>
            <w:r w:rsidRPr="001D200B">
              <w:t>Zużycie energii elektrycznej [MWh]</w:t>
            </w:r>
          </w:p>
        </w:tc>
        <w:tc>
          <w:tcPr>
            <w:tcW w:w="1125" w:type="dxa"/>
            <w:vAlign w:val="center"/>
          </w:tcPr>
          <w:p w:rsidR="00DA262A" w:rsidRPr="001D200B" w:rsidRDefault="00DA262A" w:rsidP="002B387F">
            <w:pPr>
              <w:spacing w:before="0" w:after="0" w:line="240" w:lineRule="auto"/>
              <w:jc w:val="center"/>
            </w:pPr>
            <w:r w:rsidRPr="001D200B">
              <w:t>17 543,9</w:t>
            </w:r>
          </w:p>
        </w:tc>
        <w:tc>
          <w:tcPr>
            <w:tcW w:w="1125" w:type="dxa"/>
            <w:vAlign w:val="center"/>
          </w:tcPr>
          <w:p w:rsidR="00DA262A" w:rsidRPr="001D200B" w:rsidRDefault="00DA262A" w:rsidP="002B387F">
            <w:pPr>
              <w:spacing w:before="0" w:after="0" w:line="240" w:lineRule="auto"/>
              <w:jc w:val="center"/>
            </w:pPr>
            <w:r w:rsidRPr="001D200B">
              <w:t>17 012,2</w:t>
            </w:r>
          </w:p>
        </w:tc>
        <w:tc>
          <w:tcPr>
            <w:tcW w:w="1125" w:type="dxa"/>
            <w:vAlign w:val="center"/>
          </w:tcPr>
          <w:p w:rsidR="00DA262A" w:rsidRPr="001D200B" w:rsidRDefault="00DA262A" w:rsidP="002B387F">
            <w:pPr>
              <w:spacing w:before="0" w:after="0" w:line="240" w:lineRule="auto"/>
              <w:jc w:val="center"/>
            </w:pPr>
            <w:r w:rsidRPr="001D200B">
              <w:t>16 093,6</w:t>
            </w:r>
          </w:p>
        </w:tc>
        <w:tc>
          <w:tcPr>
            <w:tcW w:w="1125" w:type="dxa"/>
            <w:vAlign w:val="center"/>
          </w:tcPr>
          <w:p w:rsidR="00DA262A" w:rsidRPr="001D200B" w:rsidRDefault="00DA262A" w:rsidP="002B387F">
            <w:pPr>
              <w:spacing w:before="0" w:after="0" w:line="240" w:lineRule="auto"/>
              <w:jc w:val="center"/>
            </w:pPr>
            <w:r w:rsidRPr="001D200B">
              <w:t>16 899,2</w:t>
            </w:r>
          </w:p>
        </w:tc>
      </w:tr>
    </w:tbl>
    <w:p w:rsidR="00DA262A" w:rsidRPr="001D200B" w:rsidRDefault="00DA262A" w:rsidP="00DA262A">
      <w:pPr>
        <w:pStyle w:val="podtabelk"/>
      </w:pPr>
      <w:r w:rsidRPr="001D200B">
        <w:t>Źródło: Dane PGE Dystrybucja S.A. Oddział Rzeszów</w:t>
      </w:r>
    </w:p>
    <w:p w:rsidR="00DA262A" w:rsidRPr="001D200B" w:rsidRDefault="00DA262A" w:rsidP="00DA262A">
      <w:r w:rsidRPr="001D200B">
        <w:t>Z ogólnej struktury odbiorców i wielkości zużycia energii elektrycznej na opisywanym terenie wynika, że:</w:t>
      </w:r>
    </w:p>
    <w:p w:rsidR="006E1B54" w:rsidRPr="001D200B" w:rsidRDefault="00DA262A" w:rsidP="00915383">
      <w:pPr>
        <w:pStyle w:val="Akapitzlist"/>
      </w:pPr>
      <w:r w:rsidRPr="001D200B">
        <w:t xml:space="preserve">odbiorcy zasilani na napięciu średnim (rozliczani według taryfy B) są nieliczni </w:t>
      </w:r>
      <w:r w:rsidR="00733306" w:rsidRPr="001D200B">
        <w:t xml:space="preserve">(kilkunastu odbiorców) </w:t>
      </w:r>
      <w:r w:rsidR="0061394B" w:rsidRPr="001D200B">
        <w:t xml:space="preserve">i </w:t>
      </w:r>
      <w:r w:rsidR="00733306" w:rsidRPr="001D200B">
        <w:t xml:space="preserve">zużywają </w:t>
      </w:r>
      <w:r w:rsidR="006E1B54" w:rsidRPr="001D200B">
        <w:t>około 16%</w:t>
      </w:r>
      <w:r w:rsidR="00733306" w:rsidRPr="001D200B">
        <w:t xml:space="preserve"> energii elektrycznej dostarczanej na teren gminy Połaniec;</w:t>
      </w:r>
    </w:p>
    <w:p w:rsidR="006E1B54" w:rsidRPr="001D200B" w:rsidRDefault="006E1B54" w:rsidP="00915383">
      <w:pPr>
        <w:pStyle w:val="Akapitzlist"/>
      </w:pPr>
      <w:r w:rsidRPr="001D200B">
        <w:t xml:space="preserve">odbiorcy zasilani z sieci </w:t>
      </w:r>
      <w:r w:rsidR="00733306" w:rsidRPr="001D200B">
        <w:t>niskiego napięcia</w:t>
      </w:r>
      <w:r w:rsidRPr="001D200B">
        <w:t xml:space="preserve"> rozliczani według grupy taryfowej C (m.in. placówki handlowo – usługowe, drobna wytwórczość, obiekty gminne: urzędy, szkoły, ośrodki zdrowia, itp. oraz oświetlenie dróg i miejsc publicznych) pobierają ponad 38% rocznego zużycia energii na terenie gminy;</w:t>
      </w:r>
    </w:p>
    <w:p w:rsidR="006E1B54" w:rsidRPr="001D200B" w:rsidRDefault="006E1B54" w:rsidP="00915383">
      <w:pPr>
        <w:pStyle w:val="Akapitzlist"/>
      </w:pPr>
      <w:r w:rsidRPr="001D200B">
        <w:t>największe zapotrzebowanie na energię elektryczną jest w grupie gospodarstw domowych (odbiorcy rozliczani wg grupy taryfowej G) – stanowi około 46% zużycia energii w 2018 roku;</w:t>
      </w:r>
    </w:p>
    <w:p w:rsidR="006E1B54" w:rsidRPr="001D200B" w:rsidRDefault="006E1B54" w:rsidP="00915383">
      <w:pPr>
        <w:pStyle w:val="Akapitzlist"/>
      </w:pPr>
      <w:r w:rsidRPr="001D200B">
        <w:t>średni roczny pobór energii przez 1 odbiorcę w poszczególnych grupach odbioru w</w:t>
      </w:r>
      <w:r w:rsidR="002B387F" w:rsidRPr="001D200B">
        <w:t> </w:t>
      </w:r>
      <w:r w:rsidRPr="001D200B">
        <w:t xml:space="preserve">2018 roku kształtował się na poziome: </w:t>
      </w:r>
    </w:p>
    <w:p w:rsidR="006E1B54" w:rsidRPr="001D200B" w:rsidRDefault="006E1B54" w:rsidP="00412E46">
      <w:pPr>
        <w:numPr>
          <w:ilvl w:val="0"/>
          <w:numId w:val="21"/>
        </w:numPr>
        <w:spacing w:before="0" w:after="0"/>
      </w:pPr>
      <w:r w:rsidRPr="001D200B">
        <w:t>w grupie taryfowej B – około 200,0 MWh,</w:t>
      </w:r>
    </w:p>
    <w:p w:rsidR="006E1B54" w:rsidRPr="001D200B" w:rsidRDefault="006E1B54" w:rsidP="00412E46">
      <w:pPr>
        <w:numPr>
          <w:ilvl w:val="0"/>
          <w:numId w:val="21"/>
        </w:numPr>
        <w:spacing w:before="0" w:after="0"/>
      </w:pPr>
      <w:r w:rsidRPr="001D200B">
        <w:lastRenderedPageBreak/>
        <w:t>w grupie taryfowej C  – około 15,0 MWh,</w:t>
      </w:r>
    </w:p>
    <w:p w:rsidR="006E1B54" w:rsidRPr="001D200B" w:rsidRDefault="006E1B54" w:rsidP="00412E46">
      <w:pPr>
        <w:numPr>
          <w:ilvl w:val="0"/>
          <w:numId w:val="21"/>
        </w:numPr>
        <w:spacing w:before="0"/>
      </w:pPr>
      <w:r w:rsidRPr="001D200B">
        <w:t>w grupie taryfowej G +R – około 1,6 MWh.</w:t>
      </w:r>
    </w:p>
    <w:p w:rsidR="00F5319E" w:rsidRPr="001D200B" w:rsidRDefault="00DA262A" w:rsidP="00F006D6">
      <w:pPr>
        <w:pStyle w:val="Akapitzlist"/>
      </w:pPr>
      <w:r w:rsidRPr="001D200B">
        <w:t xml:space="preserve">zapotrzebowanie terenu gminy na energię elektryczną </w:t>
      </w:r>
      <w:r w:rsidR="00F5319E" w:rsidRPr="001D200B">
        <w:t xml:space="preserve">utrzymuje się na względnie stałym poziomie (na podstawie </w:t>
      </w:r>
      <w:r w:rsidR="0021171A" w:rsidRPr="001D200B">
        <w:t>poboru energii w okresie 2015-2018)</w:t>
      </w:r>
      <w:r w:rsidR="00725FBD" w:rsidRPr="001D200B">
        <w:t xml:space="preserve"> i tendencja ta dotyczy</w:t>
      </w:r>
      <w:r w:rsidR="00733306" w:rsidRPr="001D200B">
        <w:t xml:space="preserve"> </w:t>
      </w:r>
      <w:r w:rsidR="00D13B1E" w:rsidRPr="001D200B">
        <w:t xml:space="preserve">w największym zakresie </w:t>
      </w:r>
      <w:r w:rsidR="00733DF3" w:rsidRPr="001D200B">
        <w:t xml:space="preserve">odbiorców zasilanych z sieci niskiego napięcia. Zużycie energii z sieci średniego napięcia sukcesywnie spada: przeciętnie o około 320 MWh/rocznie. </w:t>
      </w:r>
    </w:p>
    <w:p w:rsidR="004C57F5" w:rsidRPr="001D200B" w:rsidRDefault="002B387F" w:rsidP="00F01D4E">
      <w:pPr>
        <w:pStyle w:val="Tytu"/>
        <w:rPr>
          <w:rFonts w:cstheme="minorHAnsi"/>
          <w:b/>
        </w:rPr>
      </w:pPr>
      <w:r w:rsidRPr="001D200B">
        <w:rPr>
          <w:rFonts w:cstheme="minorHAnsi"/>
          <w:b/>
          <w:noProof/>
        </w:rPr>
        <w:drawing>
          <wp:anchor distT="0" distB="0" distL="114300" distR="114300" simplePos="0" relativeHeight="251677696" behindDoc="0" locked="0" layoutInCell="1" allowOverlap="1">
            <wp:simplePos x="0" y="0"/>
            <wp:positionH relativeFrom="column">
              <wp:posOffset>-20955</wp:posOffset>
            </wp:positionH>
            <wp:positionV relativeFrom="paragraph">
              <wp:posOffset>384175</wp:posOffset>
            </wp:positionV>
            <wp:extent cx="5788025" cy="2760345"/>
            <wp:effectExtent l="0" t="0" r="0" b="0"/>
            <wp:wrapSquare wrapText="bothSides"/>
            <wp:docPr id="29"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bookmarkStart w:id="54" w:name="_Toc31371909"/>
      <w:r w:rsidR="004C57F5" w:rsidRPr="001D200B">
        <w:rPr>
          <w:rFonts w:cstheme="minorHAnsi"/>
          <w:b/>
        </w:rPr>
        <w:t xml:space="preserve">Wykres </w:t>
      </w:r>
      <w:r w:rsidR="005B7234" w:rsidRPr="001D200B">
        <w:rPr>
          <w:rFonts w:cstheme="minorHAnsi"/>
          <w:b/>
        </w:rPr>
        <w:fldChar w:fldCharType="begin"/>
      </w:r>
      <w:r w:rsidR="00F200FE" w:rsidRPr="001D200B">
        <w:rPr>
          <w:rFonts w:cstheme="minorHAnsi"/>
          <w:b/>
        </w:rPr>
        <w:instrText xml:space="preserve"> SEQ Wykres \* ARABIC </w:instrText>
      </w:r>
      <w:r w:rsidR="005B7234" w:rsidRPr="001D200B">
        <w:rPr>
          <w:rFonts w:cstheme="minorHAnsi"/>
          <w:b/>
        </w:rPr>
        <w:fldChar w:fldCharType="separate"/>
      </w:r>
      <w:r w:rsidR="00975320" w:rsidRPr="001D200B">
        <w:rPr>
          <w:rFonts w:cstheme="minorHAnsi"/>
          <w:b/>
          <w:noProof/>
        </w:rPr>
        <w:t>7</w:t>
      </w:r>
      <w:r w:rsidR="005B7234" w:rsidRPr="001D200B">
        <w:rPr>
          <w:rFonts w:cstheme="minorHAnsi"/>
          <w:b/>
        </w:rPr>
        <w:fldChar w:fldCharType="end"/>
      </w:r>
      <w:r w:rsidR="004C57F5" w:rsidRPr="001D200B">
        <w:rPr>
          <w:rFonts w:cstheme="minorHAnsi"/>
          <w:b/>
        </w:rPr>
        <w:t xml:space="preserve">. Struktura zużycia energii elektrycznej </w:t>
      </w:r>
      <w:r w:rsidRPr="001D200B">
        <w:rPr>
          <w:rFonts w:cstheme="minorHAnsi"/>
          <w:b/>
        </w:rPr>
        <w:t xml:space="preserve">w 2018 roku  </w:t>
      </w:r>
      <w:r w:rsidR="004C57F5" w:rsidRPr="001D200B">
        <w:rPr>
          <w:rFonts w:cstheme="minorHAnsi"/>
          <w:b/>
        </w:rPr>
        <w:t>– według poziomu napięć</w:t>
      </w:r>
      <w:bookmarkEnd w:id="54"/>
    </w:p>
    <w:p w:rsidR="004C57F5" w:rsidRPr="001D200B" w:rsidRDefault="004C57F5" w:rsidP="004C57F5">
      <w:pPr>
        <w:rPr>
          <w:rFonts w:cstheme="minorHAnsi"/>
          <w:sz w:val="20"/>
        </w:rPr>
      </w:pPr>
      <w:r w:rsidRPr="001D200B">
        <w:rPr>
          <w:rFonts w:cstheme="minorHAnsi"/>
          <w:sz w:val="20"/>
        </w:rPr>
        <w:t>* opracowanie własne - struktura zużycia energii elektrycznej dostarczanej przez PGE Dystrybucja S.A. Oddział Rzeszów</w:t>
      </w:r>
    </w:p>
    <w:p w:rsidR="002B387F" w:rsidRPr="001D200B" w:rsidRDefault="002B387F">
      <w:pPr>
        <w:spacing w:before="0" w:after="0" w:line="240" w:lineRule="auto"/>
        <w:jc w:val="left"/>
        <w:rPr>
          <w:rFonts w:cstheme="minorHAnsi"/>
          <w:highlight w:val="yellow"/>
        </w:rPr>
      </w:pPr>
    </w:p>
    <w:p w:rsidR="002B387F" w:rsidRPr="001D200B" w:rsidRDefault="002B387F" w:rsidP="002B387F">
      <w:pPr>
        <w:rPr>
          <w:rFonts w:cstheme="minorHAnsi"/>
        </w:rPr>
      </w:pPr>
      <w:r w:rsidRPr="001D200B">
        <w:rPr>
          <w:rFonts w:cstheme="minorHAnsi"/>
        </w:rPr>
        <w:t>Sukcesywny rozwój budownictwa mieszkaniowego, wyższy standard zamieszkania, w tym wzrost liczby odbiorników energii elektrycznej przyczyni się do wzrostu zapotrzebowania na energię elektryczną, wzrost ten w perspektywie długoterminowej będzie hamowany spadkiem liczby mieszkańców gminy (zgodnie z prognozą) oraz racjonalizacją potrzeb na skutek wzrostu cen energii elektrycznej.</w:t>
      </w:r>
    </w:p>
    <w:p w:rsidR="004C57F5" w:rsidRPr="001D200B" w:rsidRDefault="004C57F5" w:rsidP="004C57F5">
      <w:pPr>
        <w:rPr>
          <w:rFonts w:cstheme="minorHAnsi"/>
        </w:rPr>
      </w:pPr>
      <w:r w:rsidRPr="001D200B">
        <w:rPr>
          <w:rFonts w:cstheme="minorHAnsi"/>
        </w:rPr>
        <w:t>Sektor przemysłowy charakteryzuje się największą zmiennością zapotrzebowania na energię, która jest funkcją zachodzących zmian w wielkości i strukturze produkcji. W latach 20</w:t>
      </w:r>
      <w:r w:rsidR="002E4403" w:rsidRPr="001D200B">
        <w:rPr>
          <w:rFonts w:cstheme="minorHAnsi"/>
        </w:rPr>
        <w:t>15</w:t>
      </w:r>
      <w:r w:rsidRPr="001D200B">
        <w:rPr>
          <w:rFonts w:cstheme="minorHAnsi"/>
        </w:rPr>
        <w:t>-201</w:t>
      </w:r>
      <w:r w:rsidR="002E4403" w:rsidRPr="001D200B">
        <w:rPr>
          <w:rFonts w:cstheme="minorHAnsi"/>
        </w:rPr>
        <w:t>8</w:t>
      </w:r>
      <w:r w:rsidRPr="001D200B">
        <w:rPr>
          <w:rFonts w:cstheme="minorHAnsi"/>
        </w:rPr>
        <w:t xml:space="preserve"> pobór energii z</w:t>
      </w:r>
      <w:r w:rsidR="002E4403" w:rsidRPr="001D200B">
        <w:rPr>
          <w:rFonts w:cstheme="minorHAnsi"/>
        </w:rPr>
        <w:t xml:space="preserve"> </w:t>
      </w:r>
      <w:r w:rsidRPr="001D200B">
        <w:rPr>
          <w:rFonts w:cstheme="minorHAnsi"/>
        </w:rPr>
        <w:t xml:space="preserve">sieci średniego napięcia kształtował się na poziomie </w:t>
      </w:r>
      <w:r w:rsidR="002E4403" w:rsidRPr="001D200B">
        <w:rPr>
          <w:rFonts w:cstheme="minorHAnsi"/>
        </w:rPr>
        <w:t>od 3,6 GWh do 2,6 GWh z wyraźną tendencją spadku zapotrzebowania.</w:t>
      </w:r>
    </w:p>
    <w:p w:rsidR="00915383" w:rsidRPr="001D200B" w:rsidRDefault="00915383">
      <w:pPr>
        <w:spacing w:before="0" w:after="0" w:line="240" w:lineRule="auto"/>
        <w:jc w:val="left"/>
        <w:rPr>
          <w:rFonts w:cstheme="minorHAnsi"/>
        </w:rPr>
      </w:pPr>
      <w:r w:rsidRPr="001D200B">
        <w:rPr>
          <w:rFonts w:cstheme="minorHAnsi"/>
        </w:rPr>
        <w:br w:type="page"/>
      </w:r>
    </w:p>
    <w:p w:rsidR="002E4403" w:rsidRPr="001D200B" w:rsidRDefault="00CD40B5" w:rsidP="00CD40B5">
      <w:pPr>
        <w:pStyle w:val="Legenda"/>
        <w:rPr>
          <w:rFonts w:cstheme="minorHAnsi"/>
          <w:color w:val="auto"/>
        </w:rPr>
      </w:pPr>
      <w:bookmarkStart w:id="55" w:name="_Toc31371910"/>
      <w:r w:rsidRPr="001D200B">
        <w:rPr>
          <w:color w:val="auto"/>
        </w:rPr>
        <w:lastRenderedPageBreak/>
        <w:t xml:space="preserve">Wykres </w:t>
      </w:r>
      <w:r w:rsidR="005B7234" w:rsidRPr="001D200B">
        <w:rPr>
          <w:color w:val="auto"/>
        </w:rPr>
        <w:fldChar w:fldCharType="begin"/>
      </w:r>
      <w:r w:rsidR="005B7234" w:rsidRPr="001D200B">
        <w:rPr>
          <w:color w:val="auto"/>
        </w:rPr>
        <w:instrText xml:space="preserve"> SEQ Wykres \* ARABIC </w:instrText>
      </w:r>
      <w:r w:rsidR="005B7234" w:rsidRPr="001D200B">
        <w:rPr>
          <w:color w:val="auto"/>
        </w:rPr>
        <w:fldChar w:fldCharType="separate"/>
      </w:r>
      <w:r w:rsidR="00975320" w:rsidRPr="001D200B">
        <w:rPr>
          <w:noProof/>
          <w:color w:val="auto"/>
        </w:rPr>
        <w:t>8</w:t>
      </w:r>
      <w:r w:rsidR="005B7234" w:rsidRPr="001D200B">
        <w:rPr>
          <w:color w:val="auto"/>
        </w:rPr>
        <w:fldChar w:fldCharType="end"/>
      </w:r>
      <w:r w:rsidRPr="001D200B">
        <w:rPr>
          <w:color w:val="auto"/>
        </w:rPr>
        <w:t xml:space="preserve">. </w:t>
      </w:r>
      <w:r w:rsidR="002E4403" w:rsidRPr="001D200B">
        <w:rPr>
          <w:color w:val="auto"/>
        </w:rPr>
        <w:t xml:space="preserve">Zmiany całkowitego zużycia energii elektrycznej </w:t>
      </w:r>
      <w:r w:rsidR="00970423" w:rsidRPr="001D200B">
        <w:rPr>
          <w:color w:val="auto"/>
        </w:rPr>
        <w:t xml:space="preserve">na terenie gminy Połaniec </w:t>
      </w:r>
      <w:r w:rsidRPr="001D200B">
        <w:rPr>
          <w:color w:val="auto"/>
        </w:rPr>
        <w:t>w</w:t>
      </w:r>
      <w:r w:rsidR="00970423" w:rsidRPr="001D200B">
        <w:rPr>
          <w:color w:val="auto"/>
        </w:rPr>
        <w:t> </w:t>
      </w:r>
      <w:r w:rsidRPr="001D200B">
        <w:rPr>
          <w:color w:val="auto"/>
        </w:rPr>
        <w:t>latach 2015-2018</w:t>
      </w:r>
      <w:bookmarkEnd w:id="55"/>
    </w:p>
    <w:p w:rsidR="002E4403" w:rsidRPr="001D200B" w:rsidRDefault="001124E4" w:rsidP="004C57F5">
      <w:pPr>
        <w:rPr>
          <w:rFonts w:cstheme="minorHAnsi"/>
        </w:rPr>
      </w:pPr>
      <w:r w:rsidRPr="001D200B">
        <w:rPr>
          <w:rFonts w:cstheme="minorHAnsi"/>
          <w:noProof/>
        </w:rPr>
        <w:drawing>
          <wp:inline distT="0" distB="0" distL="0" distR="0">
            <wp:extent cx="5486400" cy="2495550"/>
            <wp:effectExtent l="0" t="0" r="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4C57F5" w:rsidRPr="001D200B" w:rsidRDefault="004C57F5" w:rsidP="00370323">
      <w:pPr>
        <w:pStyle w:val="Nagwek2"/>
        <w:rPr>
          <w:rFonts w:cstheme="minorHAnsi"/>
        </w:rPr>
      </w:pPr>
      <w:bookmarkStart w:id="56" w:name="_Toc31972829"/>
      <w:r w:rsidRPr="001D200B">
        <w:rPr>
          <w:rFonts w:cstheme="minorHAnsi"/>
        </w:rPr>
        <w:t>2. Ocena stanu obecnego. Cele podstawowe</w:t>
      </w:r>
      <w:bookmarkEnd w:id="56"/>
    </w:p>
    <w:p w:rsidR="004C57F5" w:rsidRPr="001D200B" w:rsidRDefault="004C57F5" w:rsidP="00F01D4E">
      <w:pPr>
        <w:pStyle w:val="Tytu"/>
        <w:rPr>
          <w:rFonts w:cstheme="minorHAnsi"/>
          <w:b/>
        </w:rPr>
      </w:pPr>
      <w:bookmarkStart w:id="57" w:name="_Toc39476571"/>
      <w:r w:rsidRPr="001D200B">
        <w:rPr>
          <w:rFonts w:cstheme="minorHAnsi"/>
          <w:b/>
        </w:rPr>
        <w:t xml:space="preserve">Tabela </w:t>
      </w:r>
      <w:r w:rsidR="005B7234" w:rsidRPr="001D200B">
        <w:rPr>
          <w:rFonts w:cstheme="minorHAnsi"/>
          <w:b/>
        </w:rPr>
        <w:fldChar w:fldCharType="begin"/>
      </w:r>
      <w:r w:rsidR="00F200FE" w:rsidRPr="001D200B">
        <w:rPr>
          <w:rFonts w:cstheme="minorHAnsi"/>
          <w:b/>
        </w:rPr>
        <w:instrText xml:space="preserve"> SEQ Tabela \* ARABIC </w:instrText>
      </w:r>
      <w:r w:rsidR="005B7234" w:rsidRPr="001D200B">
        <w:rPr>
          <w:rFonts w:cstheme="minorHAnsi"/>
          <w:b/>
        </w:rPr>
        <w:fldChar w:fldCharType="separate"/>
      </w:r>
      <w:r w:rsidR="00D2721B" w:rsidRPr="001D200B">
        <w:rPr>
          <w:rFonts w:cstheme="minorHAnsi"/>
          <w:b/>
          <w:noProof/>
        </w:rPr>
        <w:t>19</w:t>
      </w:r>
      <w:r w:rsidR="005B7234" w:rsidRPr="001D200B">
        <w:rPr>
          <w:rFonts w:cstheme="minorHAnsi"/>
          <w:b/>
        </w:rPr>
        <w:fldChar w:fldCharType="end"/>
      </w:r>
      <w:r w:rsidRPr="001D200B">
        <w:rPr>
          <w:rFonts w:cstheme="minorHAnsi"/>
          <w:b/>
        </w:rPr>
        <w:t>. Ocena stanu obecnego systemu elektroenergetycznego na terenie gminy Połaniec</w:t>
      </w:r>
      <w:bookmarkEnd w:id="57"/>
    </w:p>
    <w:tbl>
      <w:tblPr>
        <w:tblW w:w="0" w:type="auto"/>
        <w:tblBorders>
          <w:top w:val="single" w:sz="4" w:space="0" w:color="000000"/>
          <w:bottom w:val="single" w:sz="4" w:space="0" w:color="000000"/>
          <w:insideH w:val="single" w:sz="4" w:space="0" w:color="000000"/>
          <w:insideV w:val="single" w:sz="4" w:space="0" w:color="000000"/>
        </w:tblBorders>
        <w:tblLook w:val="04A0"/>
      </w:tblPr>
      <w:tblGrid>
        <w:gridCol w:w="9210"/>
      </w:tblGrid>
      <w:tr w:rsidR="00C03732" w:rsidRPr="001D200B" w:rsidTr="003E3869">
        <w:trPr>
          <w:trHeight w:hRule="exact" w:val="374"/>
        </w:trPr>
        <w:tc>
          <w:tcPr>
            <w:tcW w:w="9210" w:type="dxa"/>
            <w:shd w:val="clear" w:color="auto" w:fill="F2F2F2" w:themeFill="background1" w:themeFillShade="F2"/>
          </w:tcPr>
          <w:p w:rsidR="00C03732" w:rsidRPr="001D200B" w:rsidRDefault="00C03732" w:rsidP="006A1574">
            <w:pPr>
              <w:spacing w:before="0" w:after="0" w:line="240" w:lineRule="auto"/>
              <w:jc w:val="left"/>
              <w:rPr>
                <w:b/>
              </w:rPr>
            </w:pPr>
            <w:r w:rsidRPr="001D200B">
              <w:rPr>
                <w:b/>
              </w:rPr>
              <w:t>Ocena pozytywna</w:t>
            </w:r>
          </w:p>
        </w:tc>
      </w:tr>
    </w:tbl>
    <w:p w:rsidR="00686CB2" w:rsidRPr="001D200B" w:rsidRDefault="00686CB2" w:rsidP="00931F90">
      <w:pPr>
        <w:pStyle w:val="Akapitzlist"/>
      </w:pPr>
      <w:r w:rsidRPr="001D200B">
        <w:t xml:space="preserve">Pewne źródło zasilania po stronie stacji systemowych </w:t>
      </w:r>
    </w:p>
    <w:p w:rsidR="00686CB2" w:rsidRPr="001D200B" w:rsidRDefault="00686CB2" w:rsidP="00931F90">
      <w:pPr>
        <w:pStyle w:val="Akapitzlist"/>
      </w:pPr>
      <w:r w:rsidRPr="001D200B">
        <w:t>Źródła wytwórcze energii elektrycznej na terenie gminy</w:t>
      </w:r>
    </w:p>
    <w:p w:rsidR="00686CB2" w:rsidRPr="001D200B" w:rsidRDefault="00686CB2" w:rsidP="00931F90">
      <w:pPr>
        <w:pStyle w:val="Akapitzlist"/>
      </w:pPr>
      <w:r w:rsidRPr="001D200B">
        <w:t>Powszechna dostępność energii elektrycznej - sieć dystrybucyjna docierająca do wszystkich terenów zabudowy</w:t>
      </w:r>
    </w:p>
    <w:p w:rsidR="00686CB2" w:rsidRPr="001D200B" w:rsidRDefault="00686CB2" w:rsidP="00931F90">
      <w:pPr>
        <w:pStyle w:val="Akapitzlist"/>
      </w:pPr>
      <w:r w:rsidRPr="001D200B">
        <w:t>Dogodne warunki dla rozbudowy sieci</w:t>
      </w:r>
    </w:p>
    <w:p w:rsidR="004C57F5" w:rsidRPr="001D200B" w:rsidRDefault="00686CB2" w:rsidP="00931F90">
      <w:pPr>
        <w:pStyle w:val="Akapitzlist"/>
        <w:rPr>
          <w:rFonts w:cstheme="minorHAnsi"/>
        </w:rPr>
      </w:pPr>
      <w:r w:rsidRPr="001D200B">
        <w:rPr>
          <w:snapToGrid w:val="0"/>
        </w:rPr>
        <w:t>Istniejący system zasilania gminy zaspokajający obecne i perspektywiczne potrzeby elektroenergetyczne odbiorców (przy założeniu standardowych przerw w dostarczaniu energii)</w:t>
      </w:r>
    </w:p>
    <w:p w:rsidR="00F77F98" w:rsidRPr="001D200B" w:rsidRDefault="00F77F98" w:rsidP="00931F90">
      <w:pPr>
        <w:pStyle w:val="Akapitzlist"/>
        <w:rPr>
          <w:rFonts w:cstheme="minorHAnsi"/>
        </w:rPr>
      </w:pPr>
      <w:r w:rsidRPr="001D200B">
        <w:rPr>
          <w:rFonts w:cstheme="minorHAnsi"/>
        </w:rPr>
        <w:t xml:space="preserve">Przystąpienie do modernizacji </w:t>
      </w:r>
      <w:r w:rsidRPr="001D200B">
        <w:t>systemu oświetlenia ulicznego z wykorzystaniem nowoczesnych, energooszczędnych źródeł światła</w:t>
      </w:r>
      <w:r w:rsidRPr="001D200B">
        <w:rPr>
          <w:rFonts w:cstheme="minorHAnsi"/>
        </w:rPr>
        <w:t xml:space="preserve"> </w:t>
      </w:r>
    </w:p>
    <w:tbl>
      <w:tblPr>
        <w:tblW w:w="0" w:type="auto"/>
        <w:tblBorders>
          <w:top w:val="single" w:sz="4" w:space="0" w:color="000000"/>
          <w:bottom w:val="single" w:sz="4" w:space="0" w:color="000000"/>
          <w:insideH w:val="single" w:sz="4" w:space="0" w:color="000000"/>
          <w:insideV w:val="single" w:sz="4" w:space="0" w:color="000000"/>
        </w:tblBorders>
        <w:tblLook w:val="04A0"/>
      </w:tblPr>
      <w:tblGrid>
        <w:gridCol w:w="9210"/>
      </w:tblGrid>
      <w:tr w:rsidR="000E27C5" w:rsidRPr="001D200B" w:rsidTr="003E3869">
        <w:trPr>
          <w:trHeight w:hRule="exact" w:val="374"/>
        </w:trPr>
        <w:tc>
          <w:tcPr>
            <w:tcW w:w="9210" w:type="dxa"/>
            <w:shd w:val="clear" w:color="auto" w:fill="F2F2F2" w:themeFill="background1" w:themeFillShade="F2"/>
          </w:tcPr>
          <w:p w:rsidR="000E27C5" w:rsidRPr="001D200B" w:rsidRDefault="000E27C5" w:rsidP="006A1574">
            <w:pPr>
              <w:spacing w:before="0" w:after="0" w:line="240" w:lineRule="auto"/>
              <w:rPr>
                <w:b/>
              </w:rPr>
            </w:pPr>
            <w:r w:rsidRPr="001D200B">
              <w:rPr>
                <w:b/>
              </w:rPr>
              <w:t>Ocena negatywna</w:t>
            </w:r>
          </w:p>
        </w:tc>
      </w:tr>
      <w:tr w:rsidR="000E27C5" w:rsidRPr="001D200B" w:rsidTr="003E3869">
        <w:tc>
          <w:tcPr>
            <w:tcW w:w="9210" w:type="dxa"/>
          </w:tcPr>
          <w:p w:rsidR="000E27C5" w:rsidRPr="001D200B" w:rsidRDefault="000E27C5" w:rsidP="00F006D6">
            <w:pPr>
              <w:pStyle w:val="Akapitzlist"/>
            </w:pPr>
            <w:r w:rsidRPr="001D200B">
              <w:t xml:space="preserve">Występowanie znacznej ilości nieizolowanych linii napowietrznych SN i nN narażonych na awarie </w:t>
            </w:r>
          </w:p>
          <w:p w:rsidR="008645DB" w:rsidRPr="001D200B" w:rsidRDefault="000E27C5" w:rsidP="00F006D6">
            <w:pPr>
              <w:pStyle w:val="Akapitzlist"/>
            </w:pPr>
            <w:r w:rsidRPr="001D200B">
              <w:t>Wymagające modernizacji i/lub wymiany elementy konstrukcji sieci elektroenergetycznej średniego i niskiego napięcia</w:t>
            </w:r>
          </w:p>
        </w:tc>
      </w:tr>
      <w:tr w:rsidR="006A1574" w:rsidRPr="001D200B" w:rsidTr="006A1574">
        <w:trPr>
          <w:trHeight w:hRule="exact" w:val="374"/>
        </w:trPr>
        <w:tc>
          <w:tcPr>
            <w:tcW w:w="9210" w:type="dxa"/>
            <w:tcBorders>
              <w:top w:val="single" w:sz="4" w:space="0" w:color="000000"/>
              <w:bottom w:val="single" w:sz="4" w:space="0" w:color="000000"/>
            </w:tcBorders>
            <w:shd w:val="clear" w:color="auto" w:fill="F2F2F2" w:themeFill="background1" w:themeFillShade="F2"/>
          </w:tcPr>
          <w:p w:rsidR="006A1574" w:rsidRPr="001D200B" w:rsidRDefault="006A1574" w:rsidP="006A1574">
            <w:pPr>
              <w:spacing w:before="0" w:after="0" w:line="240" w:lineRule="auto"/>
              <w:rPr>
                <w:b/>
              </w:rPr>
            </w:pPr>
            <w:r w:rsidRPr="001D200B">
              <w:rPr>
                <w:b/>
              </w:rPr>
              <w:t>Oczekiwane wsparcie</w:t>
            </w:r>
          </w:p>
        </w:tc>
      </w:tr>
      <w:tr w:rsidR="006A1574" w:rsidRPr="001D200B" w:rsidTr="006A1574">
        <w:tc>
          <w:tcPr>
            <w:tcW w:w="9210" w:type="dxa"/>
            <w:tcBorders>
              <w:top w:val="single" w:sz="4" w:space="0" w:color="000000"/>
              <w:bottom w:val="single" w:sz="4" w:space="0" w:color="000000"/>
            </w:tcBorders>
            <w:shd w:val="clear" w:color="auto" w:fill="auto"/>
          </w:tcPr>
          <w:p w:rsidR="006A1574" w:rsidRPr="001D200B" w:rsidRDefault="006A1574" w:rsidP="00F006D6">
            <w:pPr>
              <w:pStyle w:val="Akapitzlist"/>
            </w:pPr>
            <w:r w:rsidRPr="001D200B">
              <w:t xml:space="preserve">Sprawny przebieg informacji pomiędzy Gminą a Zakładem Energetycznym, </w:t>
            </w:r>
            <w:r w:rsidRPr="001D200B">
              <w:lastRenderedPageBreak/>
              <w:t xml:space="preserve">w zakresie nowych terenów inwestycyjnych wymagających uzbrojenia </w:t>
            </w:r>
            <w:r w:rsidR="00F77F98" w:rsidRPr="001D200B">
              <w:t>w energię elektroenergetyczną</w:t>
            </w:r>
          </w:p>
          <w:p w:rsidR="006A1574" w:rsidRPr="001D200B" w:rsidRDefault="006A1574" w:rsidP="00F77F98">
            <w:pPr>
              <w:pStyle w:val="Akapitzlist"/>
            </w:pPr>
            <w:r w:rsidRPr="001D200B">
              <w:t>Rozwój instalacji bazujących n</w:t>
            </w:r>
            <w:r w:rsidR="00F77F98" w:rsidRPr="001D200B">
              <w:t>a odnawialnych źródłach energii</w:t>
            </w:r>
          </w:p>
        </w:tc>
      </w:tr>
      <w:tr w:rsidR="006A1574" w:rsidRPr="001D200B" w:rsidTr="003E3869">
        <w:tc>
          <w:tcPr>
            <w:tcW w:w="9210" w:type="dxa"/>
            <w:tcBorders>
              <w:top w:val="single" w:sz="4" w:space="0" w:color="000000"/>
              <w:bottom w:val="single" w:sz="4" w:space="0" w:color="000000"/>
            </w:tcBorders>
            <w:shd w:val="clear" w:color="auto" w:fill="F2F2F2" w:themeFill="background1" w:themeFillShade="F2"/>
          </w:tcPr>
          <w:p w:rsidR="006A1574" w:rsidRPr="001D200B" w:rsidRDefault="006A1574" w:rsidP="006A1574">
            <w:pPr>
              <w:spacing w:before="0" w:after="0" w:line="240" w:lineRule="auto"/>
              <w:rPr>
                <w:b/>
              </w:rPr>
            </w:pPr>
            <w:r w:rsidRPr="001D200B">
              <w:rPr>
                <w:b/>
              </w:rPr>
              <w:lastRenderedPageBreak/>
              <w:t>Czynniki hamujące rozwój</w:t>
            </w:r>
          </w:p>
        </w:tc>
      </w:tr>
      <w:tr w:rsidR="006A1574" w:rsidRPr="001D200B" w:rsidTr="006A1574">
        <w:tc>
          <w:tcPr>
            <w:tcW w:w="9210" w:type="dxa"/>
            <w:tcBorders>
              <w:top w:val="single" w:sz="4" w:space="0" w:color="000000"/>
              <w:bottom w:val="single" w:sz="4" w:space="0" w:color="000000"/>
            </w:tcBorders>
            <w:shd w:val="clear" w:color="auto" w:fill="auto"/>
          </w:tcPr>
          <w:p w:rsidR="006A1574" w:rsidRPr="001D200B" w:rsidRDefault="006A1574" w:rsidP="00F006D6">
            <w:pPr>
              <w:pStyle w:val="Akapitzlist"/>
            </w:pPr>
            <w:r w:rsidRPr="001D200B">
              <w:t>Niewspółmierność działań inwestycyjnych w zakresie modernizacji i odtworzenia przestarzałych, wyeksploatowanych elementów sieci w stosunku do potrzeb.</w:t>
            </w:r>
          </w:p>
          <w:p w:rsidR="006A1574" w:rsidRPr="001D200B" w:rsidRDefault="006A1574" w:rsidP="00F006D6">
            <w:pPr>
              <w:pStyle w:val="Akapitzlist"/>
            </w:pPr>
            <w:r w:rsidRPr="001D200B">
              <w:t>Wysokie koszty inwestycyjne energetyki odnawialnej.</w:t>
            </w:r>
          </w:p>
        </w:tc>
      </w:tr>
      <w:tr w:rsidR="006A1574" w:rsidRPr="001D200B" w:rsidTr="003E3869">
        <w:tc>
          <w:tcPr>
            <w:tcW w:w="9210" w:type="dxa"/>
            <w:tcBorders>
              <w:top w:val="single" w:sz="4" w:space="0" w:color="000000"/>
              <w:bottom w:val="single" w:sz="4" w:space="0" w:color="000000"/>
            </w:tcBorders>
            <w:shd w:val="clear" w:color="auto" w:fill="F2F2F2" w:themeFill="background1" w:themeFillShade="F2"/>
          </w:tcPr>
          <w:p w:rsidR="006A1574" w:rsidRPr="001D200B" w:rsidRDefault="006A1574" w:rsidP="00915383">
            <w:pPr>
              <w:spacing w:before="0" w:after="0" w:line="240" w:lineRule="auto"/>
              <w:rPr>
                <w:b/>
              </w:rPr>
            </w:pPr>
            <w:r w:rsidRPr="001D200B">
              <w:rPr>
                <w:b/>
              </w:rPr>
              <w:t>Cele podstawowe w zakresie zaopatrzenia w energię elektryczną</w:t>
            </w:r>
          </w:p>
        </w:tc>
      </w:tr>
    </w:tbl>
    <w:p w:rsidR="006A1574" w:rsidRPr="001D200B" w:rsidRDefault="006A1574" w:rsidP="00931F90">
      <w:pPr>
        <w:pStyle w:val="Akapitzlist"/>
        <w:numPr>
          <w:ilvl w:val="0"/>
          <w:numId w:val="37"/>
        </w:numPr>
      </w:pPr>
      <w:r w:rsidRPr="001D200B">
        <w:t>zapewnienie ciągłości dostaw energii elektrycznej o właściwych parametrach do wszystkich miejscowości w gminie – koordynacja działań Samorządu lokalnego z Zakładem Energetycznym, zaangażowanie w planowanie energetyczne</w:t>
      </w:r>
    </w:p>
    <w:p w:rsidR="006A1574" w:rsidRPr="001D200B" w:rsidRDefault="006A1574" w:rsidP="00931F90">
      <w:pPr>
        <w:pStyle w:val="Akapitzlist"/>
        <w:numPr>
          <w:ilvl w:val="0"/>
          <w:numId w:val="37"/>
        </w:numPr>
      </w:pPr>
      <w:r w:rsidRPr="001D200B">
        <w:t>doprowadzenie energii elektrycznej do terenów przewidzianych pod rozwój budownictwa mieszkaniowego oraz pod działalność gospodarczą</w:t>
      </w:r>
    </w:p>
    <w:p w:rsidR="006A1574" w:rsidRPr="001D200B" w:rsidRDefault="006A1574" w:rsidP="00931F90">
      <w:pPr>
        <w:pStyle w:val="Akapitzlist"/>
        <w:numPr>
          <w:ilvl w:val="0"/>
          <w:numId w:val="37"/>
        </w:numPr>
      </w:pPr>
      <w:r w:rsidRPr="001D200B">
        <w:t>dążenie do wykorzystania lokalnych możliwości odnawialnych źródeł w produkcji energii elektrycznej (np. poprzez opracowanie systemu zachęt dla przedsięwzięć prywatnych)</w:t>
      </w:r>
    </w:p>
    <w:p w:rsidR="004C57F5" w:rsidRPr="001D200B" w:rsidRDefault="004C57F5" w:rsidP="00370323">
      <w:pPr>
        <w:pStyle w:val="Nagwek2"/>
        <w:rPr>
          <w:rFonts w:cstheme="minorHAnsi"/>
        </w:rPr>
      </w:pPr>
      <w:bookmarkStart w:id="58" w:name="_Toc31972830"/>
      <w:r w:rsidRPr="001D200B">
        <w:rPr>
          <w:rFonts w:cstheme="minorHAnsi"/>
        </w:rPr>
        <w:t>3. Prognoza zapotrzebowania na moc i energię elektryczną</w:t>
      </w:r>
      <w:bookmarkEnd w:id="58"/>
    </w:p>
    <w:p w:rsidR="00E12B4D" w:rsidRPr="001D200B" w:rsidRDefault="00E12B4D" w:rsidP="00931F90">
      <w:r w:rsidRPr="001D200B">
        <w:t>Do czynników kształtujących wielkość zapotrzebowania na energię elektryczną należą przede wszystkim:</w:t>
      </w:r>
    </w:p>
    <w:p w:rsidR="00E12B4D" w:rsidRPr="001D200B" w:rsidRDefault="00E12B4D" w:rsidP="00F21741">
      <w:pPr>
        <w:pStyle w:val="Punktatory1"/>
      </w:pPr>
      <w:r w:rsidRPr="001D200B">
        <w:t>cena, w odniesieniu do możliwości wykorzystania innych nośników energii (np. do ogrzewania pomieszczeń) oraz oszczędności;</w:t>
      </w:r>
    </w:p>
    <w:p w:rsidR="00E12B4D" w:rsidRPr="001D200B" w:rsidRDefault="00E12B4D" w:rsidP="00F21741">
      <w:pPr>
        <w:pStyle w:val="Punktatory1"/>
      </w:pPr>
      <w:r w:rsidRPr="001D200B">
        <w:t>aktywność gospodarcza, rozumiana jako wielkość produkcji i usług oraz aktywność społeczna, czyli liczba mieszkań, standard i komfort życia mieszkańców;</w:t>
      </w:r>
    </w:p>
    <w:p w:rsidR="00E12B4D" w:rsidRPr="001D200B" w:rsidRDefault="00E12B4D" w:rsidP="00F21741">
      <w:pPr>
        <w:pStyle w:val="Punktatory1"/>
      </w:pPr>
      <w:r w:rsidRPr="001D200B">
        <w:t>energochłonność produkcji i usług oraz zużycie energii elektrycznej w gospodarstwach domowych do przygotowania posiłków, c.w.u., oświetlenia, napędu sprzętu gospodarstwa domowego, itp.</w:t>
      </w:r>
    </w:p>
    <w:p w:rsidR="00E12B4D" w:rsidRPr="001D200B" w:rsidRDefault="00E12B4D" w:rsidP="00F21741">
      <w:pPr>
        <w:pStyle w:val="Punktatory1"/>
      </w:pPr>
      <w:r w:rsidRPr="001D200B">
        <w:t>Prognoza zapotrzebowania na energię elektryczną - założenia ogólne</w:t>
      </w:r>
    </w:p>
    <w:p w:rsidR="00E12B4D" w:rsidRPr="001D200B" w:rsidRDefault="00E12B4D" w:rsidP="00E12B4D">
      <w:r w:rsidRPr="001D200B">
        <w:t>Prognozę zapotrzebowania na energię i moc elektryczną określono biorąc pod uwagę:</w:t>
      </w:r>
    </w:p>
    <w:p w:rsidR="00E12B4D" w:rsidRPr="001D200B" w:rsidRDefault="00E12B4D" w:rsidP="00F21741">
      <w:pPr>
        <w:pStyle w:val="Punktatory1"/>
      </w:pPr>
      <w:r w:rsidRPr="001D200B">
        <w:t>wielkość zużycia energii elektrycznej przez poszczególne grupy odbiorców na terenie gminy notowane w latach 2015-2018;</w:t>
      </w:r>
    </w:p>
    <w:p w:rsidR="00E12B4D" w:rsidRPr="001D200B" w:rsidRDefault="00E12B4D" w:rsidP="00F21741">
      <w:pPr>
        <w:pStyle w:val="Punktatory1"/>
      </w:pPr>
      <w:r w:rsidRPr="001D200B">
        <w:t xml:space="preserve">prognozę liczby ludności na terenie gminy </w:t>
      </w:r>
      <w:r w:rsidR="00746259" w:rsidRPr="001D200B">
        <w:t xml:space="preserve">Połaniec </w:t>
      </w:r>
      <w:r w:rsidRPr="001D200B">
        <w:t xml:space="preserve">do 2035 roku (dane w tabeli </w:t>
      </w:r>
      <w:r w:rsidR="00746259" w:rsidRPr="001D200B">
        <w:t>3</w:t>
      </w:r>
      <w:r w:rsidRPr="001D200B">
        <w:t>);</w:t>
      </w:r>
    </w:p>
    <w:p w:rsidR="00E12B4D" w:rsidRPr="001D200B" w:rsidRDefault="00E12B4D" w:rsidP="00F21741">
      <w:pPr>
        <w:pStyle w:val="Punktatory1"/>
      </w:pPr>
      <w:r w:rsidRPr="001D200B">
        <w:t xml:space="preserve">publikacje zawierające analizy prognostyczne, w tym m.in.: Prognoza zapotrzebowania na paliwa i energię do 2030 roku (Krajowa Agencja Poszanowania Energii S.A., 2009), </w:t>
      </w:r>
      <w:r w:rsidRPr="001D200B">
        <w:lastRenderedPageBreak/>
        <w:t>Prognoza zapotrzebowania na paliwa i energię do 2050 roku (Krajowa Agencja Poszanowania Energii S.A., 2013); Uaktualnienie prognozy zapotrzebowania na paliwa i energię do roku 2030 (Agencja Rynku Energii S.A., 2013).</w:t>
      </w:r>
    </w:p>
    <w:p w:rsidR="004C57F5" w:rsidRPr="001D200B" w:rsidRDefault="004C57F5" w:rsidP="004C57F5">
      <w:pPr>
        <w:rPr>
          <w:rFonts w:cstheme="minorHAnsi"/>
        </w:rPr>
      </w:pPr>
      <w:r w:rsidRPr="001D200B">
        <w:rPr>
          <w:rFonts w:cstheme="minorHAnsi"/>
        </w:rPr>
        <w:t>Całkowite zużycie energii na poziomie gminy w 201</w:t>
      </w:r>
      <w:r w:rsidR="00746259" w:rsidRPr="001D200B">
        <w:rPr>
          <w:rFonts w:cstheme="minorHAnsi"/>
        </w:rPr>
        <w:t>8</w:t>
      </w:r>
      <w:r w:rsidRPr="001D200B">
        <w:rPr>
          <w:rFonts w:cstheme="minorHAnsi"/>
        </w:rPr>
        <w:t xml:space="preserve"> roku wyniosło </w:t>
      </w:r>
      <w:r w:rsidR="00746259" w:rsidRPr="001D200B">
        <w:rPr>
          <w:rFonts w:cstheme="minorHAnsi"/>
        </w:rPr>
        <w:t xml:space="preserve">około </w:t>
      </w:r>
      <w:r w:rsidR="00746259" w:rsidRPr="001D200B">
        <w:rPr>
          <w:rFonts w:cstheme="minorHAnsi"/>
          <w:b/>
        </w:rPr>
        <w:t>16 899 M</w:t>
      </w:r>
      <w:r w:rsidRPr="001D200B">
        <w:rPr>
          <w:rFonts w:cstheme="minorHAnsi"/>
          <w:b/>
        </w:rPr>
        <w:t>Wh</w:t>
      </w:r>
      <w:r w:rsidRPr="001D200B">
        <w:rPr>
          <w:rFonts w:cstheme="minorHAnsi"/>
        </w:rPr>
        <w:t>.</w:t>
      </w:r>
    </w:p>
    <w:p w:rsidR="004121F3" w:rsidRPr="001D200B" w:rsidRDefault="004121F3" w:rsidP="004121F3">
      <w:pPr>
        <w:rPr>
          <w:rFonts w:cstheme="minorHAnsi"/>
          <w:b/>
          <w:u w:val="single"/>
        </w:rPr>
      </w:pPr>
      <w:r w:rsidRPr="001D200B">
        <w:t xml:space="preserve">Najliczniejszą grupę odbiorców energii elektrycznej stanowią odbiorcy zasilani z sieci niskiego </w:t>
      </w:r>
      <w:r w:rsidR="00D85119" w:rsidRPr="001D200B">
        <w:t>napięcia i rozliczani według taryfy G</w:t>
      </w:r>
      <w:r w:rsidR="00A969C3" w:rsidRPr="001D200B">
        <w:t xml:space="preserve"> (gospodarstwa domowe)</w:t>
      </w:r>
      <w:r w:rsidR="00D85119" w:rsidRPr="001D200B">
        <w:t xml:space="preserve"> – </w:t>
      </w:r>
      <w:r w:rsidRPr="001D200B">
        <w:t>zuży</w:t>
      </w:r>
      <w:r w:rsidR="00D85119" w:rsidRPr="001D200B">
        <w:t>cie w tej grupie odbioru stanowi ponad 46</w:t>
      </w:r>
      <w:r w:rsidRPr="001D200B">
        <w:t>% energii elektrycznej dostarczanej na teren gminy.</w:t>
      </w:r>
    </w:p>
    <w:p w:rsidR="00D85119" w:rsidRPr="001D200B" w:rsidRDefault="00D85119" w:rsidP="00D85119">
      <w:r w:rsidRPr="001D200B">
        <w:t>W przypadku odbiorców indywidualnych zapotrzebowanie na energię elektryczną w przyszłości kształtować będzie:</w:t>
      </w:r>
    </w:p>
    <w:p w:rsidR="00D85119" w:rsidRPr="001D200B" w:rsidRDefault="00D85119" w:rsidP="00F21741">
      <w:pPr>
        <w:pStyle w:val="Punktatory1"/>
      </w:pPr>
      <w:r w:rsidRPr="001D200B">
        <w:t>przyrost nowych odbiorców, głównie w ramach budownictwa mieszkaniowego (głównie domków jednorodzinnych);</w:t>
      </w:r>
    </w:p>
    <w:p w:rsidR="00D85119" w:rsidRPr="001D200B" w:rsidRDefault="00D85119" w:rsidP="00F21741">
      <w:pPr>
        <w:pStyle w:val="Punktatory1"/>
      </w:pPr>
      <w:r w:rsidRPr="001D200B">
        <w:t>zwiększająca się ilość urządzeń przypadających na statystyczną rodzinę;</w:t>
      </w:r>
    </w:p>
    <w:p w:rsidR="00D85119" w:rsidRPr="001D200B" w:rsidRDefault="00D85119" w:rsidP="00F21741">
      <w:pPr>
        <w:pStyle w:val="Punktatory1"/>
      </w:pPr>
      <w:r w:rsidRPr="001D200B">
        <w:t>wprowadzanie nowych, energooszczędnych technologii urządzeń elektrycznych użytku domowego;</w:t>
      </w:r>
    </w:p>
    <w:p w:rsidR="00D85119" w:rsidRPr="001D200B" w:rsidRDefault="00D85119" w:rsidP="00F21741">
      <w:pPr>
        <w:pStyle w:val="Punktatory1"/>
      </w:pPr>
      <w:r w:rsidRPr="001D200B">
        <w:t>sytuacja demograficzna oraz prognozowany spadek liczby mieszkańców (na podstawie obecnych trendów demograficznych oraz długookresowej prognozy demograficznej GUS);</w:t>
      </w:r>
    </w:p>
    <w:p w:rsidR="00D85119" w:rsidRPr="001D200B" w:rsidRDefault="00D85119" w:rsidP="00F21741">
      <w:pPr>
        <w:pStyle w:val="Punktatory1"/>
      </w:pPr>
      <w:r w:rsidRPr="001D200B">
        <w:t>niewielkie wykorzystanie energii elektrycznej na potrzeby grzewcze mieszkań przy jednoczesnym wzroście wykorzystania urządzeń elektrycznych do przygotowania ciepłej wody.</w:t>
      </w:r>
    </w:p>
    <w:p w:rsidR="00A969C3" w:rsidRPr="001D200B" w:rsidRDefault="00A969C3" w:rsidP="00A969C3">
      <w:pPr>
        <w:rPr>
          <w:rFonts w:cstheme="minorHAnsi"/>
        </w:rPr>
      </w:pPr>
      <w:r w:rsidRPr="001D200B">
        <w:t xml:space="preserve">Zmiany w zapotrzebowaniu na energię elektryczną konsumowaną przez „dużych odbiorców”, z uwagi na brak informacji o rozwoju istniejących i lokowaniu nowych zakładów produkcyjnych/przemysłowych są trudne do określenia. </w:t>
      </w:r>
    </w:p>
    <w:p w:rsidR="00A969C3" w:rsidRPr="001D200B" w:rsidRDefault="00A969C3" w:rsidP="00A969C3">
      <w:r w:rsidRPr="001D200B">
        <w:t xml:space="preserve">Przewidywane zapotrzebowanie energii elektrycznej dla obszaru gminy Połaniec, przedstawiono wariantowo. </w:t>
      </w:r>
    </w:p>
    <w:p w:rsidR="004C57F5" w:rsidRPr="001D200B" w:rsidRDefault="00D62F2D" w:rsidP="00D62F2D">
      <w:pPr>
        <w:pStyle w:val="Legenda"/>
        <w:rPr>
          <w:rFonts w:cstheme="minorHAnsi"/>
          <w:color w:val="auto"/>
        </w:rPr>
      </w:pPr>
      <w:bookmarkStart w:id="59" w:name="_Toc39476572"/>
      <w:r w:rsidRPr="001D200B">
        <w:rPr>
          <w:color w:val="auto"/>
        </w:rPr>
        <w:t xml:space="preserve">Tabela </w:t>
      </w:r>
      <w:r w:rsidR="005B7234" w:rsidRPr="001D200B">
        <w:rPr>
          <w:color w:val="auto"/>
        </w:rPr>
        <w:fldChar w:fldCharType="begin"/>
      </w:r>
      <w:r w:rsidR="005B7234" w:rsidRPr="001D200B">
        <w:rPr>
          <w:color w:val="auto"/>
        </w:rPr>
        <w:instrText xml:space="preserve"> SEQ Tabela \* ARABIC </w:instrText>
      </w:r>
      <w:r w:rsidR="005B7234" w:rsidRPr="001D200B">
        <w:rPr>
          <w:color w:val="auto"/>
        </w:rPr>
        <w:fldChar w:fldCharType="separate"/>
      </w:r>
      <w:r w:rsidR="00D2721B" w:rsidRPr="001D200B">
        <w:rPr>
          <w:noProof/>
          <w:color w:val="auto"/>
        </w:rPr>
        <w:t>20</w:t>
      </w:r>
      <w:r w:rsidR="005B7234" w:rsidRPr="001D200B">
        <w:rPr>
          <w:color w:val="auto"/>
        </w:rPr>
        <w:fldChar w:fldCharType="end"/>
      </w:r>
      <w:r w:rsidRPr="001D200B">
        <w:rPr>
          <w:color w:val="auto"/>
        </w:rPr>
        <w:t xml:space="preserve">. </w:t>
      </w:r>
      <w:r w:rsidR="00A969C3" w:rsidRPr="001D200B">
        <w:rPr>
          <w:rFonts w:cstheme="minorHAnsi"/>
          <w:color w:val="auto"/>
        </w:rPr>
        <w:t>Warianty prognozy zapotrzebowani</w:t>
      </w:r>
      <w:r w:rsidRPr="001D200B">
        <w:rPr>
          <w:rFonts w:cstheme="minorHAnsi"/>
          <w:color w:val="auto"/>
        </w:rPr>
        <w:t>a</w:t>
      </w:r>
      <w:r w:rsidR="00A969C3" w:rsidRPr="001D200B">
        <w:rPr>
          <w:rFonts w:cstheme="minorHAnsi"/>
          <w:color w:val="auto"/>
        </w:rPr>
        <w:t xml:space="preserve"> na energię elektryczną dla gminy Połaniec</w:t>
      </w:r>
      <w:bookmarkEnd w:id="59"/>
      <w:r w:rsidR="00A969C3" w:rsidRPr="001D200B">
        <w:rPr>
          <w:rFonts w:cstheme="minorHAnsi"/>
          <w:color w:val="auto"/>
        </w:rPr>
        <w:t xml:space="preserve"> </w:t>
      </w:r>
    </w:p>
    <w:tbl>
      <w:tblPr>
        <w:tblStyle w:val="Tabela-Siatka"/>
        <w:tblW w:w="0" w:type="auto"/>
        <w:tblLook w:val="04A0"/>
      </w:tblPr>
      <w:tblGrid>
        <w:gridCol w:w="2518"/>
        <w:gridCol w:w="6692"/>
      </w:tblGrid>
      <w:tr w:rsidR="00A969C3" w:rsidRPr="001D200B" w:rsidTr="005E00FB">
        <w:tc>
          <w:tcPr>
            <w:tcW w:w="2518" w:type="dxa"/>
            <w:shd w:val="clear" w:color="auto" w:fill="DBE5F1" w:themeFill="accent1" w:themeFillTint="33"/>
            <w:vAlign w:val="center"/>
          </w:tcPr>
          <w:p w:rsidR="00A969C3" w:rsidRPr="001D200B" w:rsidRDefault="00A969C3" w:rsidP="005E00FB">
            <w:pPr>
              <w:jc w:val="center"/>
              <w:rPr>
                <w:rFonts w:cstheme="minorHAnsi"/>
                <w:b/>
              </w:rPr>
            </w:pPr>
            <w:r w:rsidRPr="001D200B">
              <w:rPr>
                <w:rFonts w:cstheme="minorHAnsi"/>
                <w:b/>
              </w:rPr>
              <w:t>WARIANT I</w:t>
            </w:r>
          </w:p>
          <w:p w:rsidR="00D62F2D" w:rsidRPr="001D200B" w:rsidRDefault="00D62F2D" w:rsidP="005E00FB">
            <w:pPr>
              <w:jc w:val="center"/>
              <w:rPr>
                <w:rFonts w:cstheme="minorHAnsi"/>
                <w:b/>
              </w:rPr>
            </w:pPr>
            <w:r w:rsidRPr="001D200B">
              <w:rPr>
                <w:rFonts w:cstheme="minorHAnsi"/>
                <w:b/>
              </w:rPr>
              <w:t>(wg Polityki energetycznej Polski)</w:t>
            </w:r>
          </w:p>
        </w:tc>
        <w:tc>
          <w:tcPr>
            <w:tcW w:w="6692" w:type="dxa"/>
          </w:tcPr>
          <w:p w:rsidR="00A969C3" w:rsidRPr="001D200B" w:rsidRDefault="002478C6" w:rsidP="005D7BB9">
            <w:pPr>
              <w:pStyle w:val="Punktatory1"/>
              <w:numPr>
                <w:ilvl w:val="0"/>
                <w:numId w:val="0"/>
              </w:numPr>
              <w:ind w:left="34"/>
              <w:rPr>
                <w:sz w:val="22"/>
                <w:szCs w:val="22"/>
              </w:rPr>
            </w:pPr>
            <w:r w:rsidRPr="001D200B">
              <w:rPr>
                <w:sz w:val="22"/>
                <w:szCs w:val="22"/>
              </w:rPr>
              <w:t>U</w:t>
            </w:r>
            <w:r w:rsidR="00D62F2D" w:rsidRPr="001D200B">
              <w:rPr>
                <w:sz w:val="22"/>
                <w:szCs w:val="22"/>
              </w:rPr>
              <w:t>względnia wyłącznie ogólnokrajowe wyniki uaktualnionej prognozy zapotrzebowania na paliwa i energię (wykonaną przez Agencję Rynku Energii S.A.). Zgodnie z wynikami prognozy zapotrzebowanie na energię elektryczną będzie wzrastać we wszystkich sektorach gospodarki, przy czym najszybciej w sektorze usług oraz w gospodarstw domowych</w:t>
            </w:r>
            <w:r w:rsidR="00E700CF" w:rsidRPr="001D200B">
              <w:rPr>
                <w:sz w:val="22"/>
                <w:szCs w:val="22"/>
              </w:rPr>
              <w:t>.</w:t>
            </w:r>
          </w:p>
        </w:tc>
      </w:tr>
      <w:tr w:rsidR="00A969C3" w:rsidRPr="001D200B" w:rsidTr="00B00ED7">
        <w:tc>
          <w:tcPr>
            <w:tcW w:w="2518" w:type="dxa"/>
            <w:shd w:val="clear" w:color="auto" w:fill="E5B8B7" w:themeFill="accent2" w:themeFillTint="66"/>
            <w:vAlign w:val="center"/>
          </w:tcPr>
          <w:p w:rsidR="00A969C3" w:rsidRPr="001D200B" w:rsidRDefault="00A969C3" w:rsidP="005E00FB">
            <w:pPr>
              <w:jc w:val="center"/>
              <w:rPr>
                <w:rFonts w:cstheme="minorHAnsi"/>
                <w:b/>
              </w:rPr>
            </w:pPr>
            <w:r w:rsidRPr="001D200B">
              <w:rPr>
                <w:rFonts w:cstheme="minorHAnsi"/>
                <w:b/>
              </w:rPr>
              <w:t>WARIANT II</w:t>
            </w:r>
          </w:p>
          <w:p w:rsidR="00E700CF" w:rsidRPr="001D200B" w:rsidRDefault="00E700CF" w:rsidP="005E00FB">
            <w:pPr>
              <w:jc w:val="center"/>
              <w:rPr>
                <w:rFonts w:cstheme="minorHAnsi"/>
                <w:b/>
              </w:rPr>
            </w:pPr>
            <w:r w:rsidRPr="001D200B">
              <w:rPr>
                <w:rFonts w:cstheme="minorHAnsi"/>
                <w:b/>
              </w:rPr>
              <w:t>(</w:t>
            </w:r>
            <w:r w:rsidR="00D9602A" w:rsidRPr="001D200B">
              <w:rPr>
                <w:rFonts w:cstheme="minorHAnsi"/>
                <w:b/>
              </w:rPr>
              <w:t>odniesienia)</w:t>
            </w:r>
          </w:p>
        </w:tc>
        <w:tc>
          <w:tcPr>
            <w:tcW w:w="6692" w:type="dxa"/>
          </w:tcPr>
          <w:p w:rsidR="00E700CF" w:rsidRPr="001D200B" w:rsidRDefault="002478C6" w:rsidP="00B00ED7">
            <w:pPr>
              <w:rPr>
                <w:sz w:val="22"/>
                <w:szCs w:val="22"/>
              </w:rPr>
            </w:pPr>
            <w:r w:rsidRPr="001D200B">
              <w:rPr>
                <w:sz w:val="22"/>
                <w:szCs w:val="22"/>
              </w:rPr>
              <w:t>U</w:t>
            </w:r>
            <w:r w:rsidR="00E700CF" w:rsidRPr="001D200B">
              <w:rPr>
                <w:sz w:val="22"/>
                <w:szCs w:val="22"/>
              </w:rPr>
              <w:t>względnia się przede wszystkim obserwowane w</w:t>
            </w:r>
            <w:r w:rsidR="007F7C51" w:rsidRPr="001D200B">
              <w:rPr>
                <w:sz w:val="22"/>
                <w:szCs w:val="22"/>
              </w:rPr>
              <w:t xml:space="preserve"> </w:t>
            </w:r>
            <w:r w:rsidR="00E700CF" w:rsidRPr="001D200B">
              <w:rPr>
                <w:sz w:val="22"/>
                <w:szCs w:val="22"/>
              </w:rPr>
              <w:t>ostatnim okresie zmiany zapotrzebowania na energię elektryczną na terenie gminy</w:t>
            </w:r>
            <w:r w:rsidR="00263327" w:rsidRPr="001D200B">
              <w:rPr>
                <w:sz w:val="22"/>
                <w:szCs w:val="22"/>
              </w:rPr>
              <w:t>, w tym p</w:t>
            </w:r>
            <w:r w:rsidR="00E700CF" w:rsidRPr="001D200B">
              <w:rPr>
                <w:sz w:val="22"/>
                <w:szCs w:val="22"/>
              </w:rPr>
              <w:t>rzyrost nowych odbiorców</w:t>
            </w:r>
            <w:r w:rsidR="00D9602A" w:rsidRPr="001D200B">
              <w:rPr>
                <w:sz w:val="22"/>
                <w:szCs w:val="22"/>
              </w:rPr>
              <w:t xml:space="preserve"> energii elektrycznej</w:t>
            </w:r>
            <w:r w:rsidR="00E700CF" w:rsidRPr="001D200B">
              <w:rPr>
                <w:sz w:val="22"/>
                <w:szCs w:val="22"/>
              </w:rPr>
              <w:t xml:space="preserve">. </w:t>
            </w:r>
            <w:r w:rsidR="00836CBC" w:rsidRPr="001D200B">
              <w:rPr>
                <w:sz w:val="22"/>
                <w:szCs w:val="22"/>
              </w:rPr>
              <w:t xml:space="preserve">Założono przyrost zapotrzebowania na energię elektryczną pobieraną z sieci niskiego </w:t>
            </w:r>
            <w:r w:rsidR="00836CBC" w:rsidRPr="001D200B">
              <w:rPr>
                <w:sz w:val="22"/>
                <w:szCs w:val="22"/>
              </w:rPr>
              <w:lastRenderedPageBreak/>
              <w:t xml:space="preserve">napięcia od 0,5% do 1,5% rocznie. </w:t>
            </w:r>
          </w:p>
          <w:p w:rsidR="00A969C3" w:rsidRPr="001D200B" w:rsidRDefault="00E700CF" w:rsidP="00B8518E">
            <w:pPr>
              <w:rPr>
                <w:rFonts w:cstheme="minorHAnsi"/>
                <w:sz w:val="22"/>
                <w:szCs w:val="22"/>
              </w:rPr>
            </w:pPr>
            <w:r w:rsidRPr="001D200B">
              <w:rPr>
                <w:sz w:val="22"/>
                <w:szCs w:val="22"/>
              </w:rPr>
              <w:t>Obecnie brak informacji od dużych zakładów działających na terenie gminy, co do spodziewanego wzrostu zapotrzebowania na energię elektryczną - z</w:t>
            </w:r>
            <w:r w:rsidRPr="001D200B">
              <w:rPr>
                <w:rFonts w:cstheme="minorHAnsi"/>
                <w:sz w:val="22"/>
                <w:szCs w:val="22"/>
              </w:rPr>
              <w:t>ałożono, że zapotrzebowanie na energię elektryczną pobieraną z sieci średniego napięcia w</w:t>
            </w:r>
            <w:r w:rsidR="00B8518E" w:rsidRPr="001D200B">
              <w:rPr>
                <w:rFonts w:cstheme="minorHAnsi"/>
                <w:sz w:val="22"/>
                <w:szCs w:val="22"/>
              </w:rPr>
              <w:t xml:space="preserve"> </w:t>
            </w:r>
            <w:r w:rsidRPr="001D200B">
              <w:rPr>
                <w:rFonts w:cstheme="minorHAnsi"/>
                <w:sz w:val="22"/>
                <w:szCs w:val="22"/>
              </w:rPr>
              <w:t>pierwszych 10 – ciu latach prognozy utrzymane zostanie na poziomie średnim z okresu 2015-2018. W kolejnych latach prognozy przyjęto nieznaczny wzrost zużycia na poziomie 2-3% rocznie.</w:t>
            </w:r>
          </w:p>
        </w:tc>
      </w:tr>
      <w:tr w:rsidR="00A969C3" w:rsidRPr="001D200B" w:rsidTr="00B00ED7">
        <w:tc>
          <w:tcPr>
            <w:tcW w:w="2518" w:type="dxa"/>
            <w:shd w:val="clear" w:color="auto" w:fill="C2D69B" w:themeFill="accent3" w:themeFillTint="99"/>
          </w:tcPr>
          <w:p w:rsidR="00A969C3" w:rsidRPr="001D200B" w:rsidRDefault="00A969C3" w:rsidP="005E00FB">
            <w:pPr>
              <w:jc w:val="center"/>
              <w:rPr>
                <w:rFonts w:cstheme="minorHAnsi"/>
                <w:b/>
              </w:rPr>
            </w:pPr>
            <w:r w:rsidRPr="001D200B">
              <w:rPr>
                <w:rFonts w:cstheme="minorHAnsi"/>
                <w:b/>
              </w:rPr>
              <w:lastRenderedPageBreak/>
              <w:t>WARIANT III</w:t>
            </w:r>
          </w:p>
          <w:p w:rsidR="005E00FB" w:rsidRPr="001D200B" w:rsidRDefault="00A12645" w:rsidP="005E00FB">
            <w:pPr>
              <w:jc w:val="center"/>
              <w:rPr>
                <w:rFonts w:cstheme="minorHAnsi"/>
                <w:b/>
              </w:rPr>
            </w:pPr>
            <w:r w:rsidRPr="001D200B">
              <w:rPr>
                <w:rFonts w:cstheme="minorHAnsi"/>
                <w:b/>
              </w:rPr>
              <w:t>(energooszczędny)</w:t>
            </w:r>
          </w:p>
        </w:tc>
        <w:tc>
          <w:tcPr>
            <w:tcW w:w="6692" w:type="dxa"/>
          </w:tcPr>
          <w:p w:rsidR="00A969C3" w:rsidRPr="001D200B" w:rsidRDefault="00B00ED7" w:rsidP="00B00ED7">
            <w:pPr>
              <w:rPr>
                <w:rFonts w:cstheme="minorHAnsi"/>
                <w:sz w:val="22"/>
                <w:szCs w:val="22"/>
              </w:rPr>
            </w:pPr>
            <w:r w:rsidRPr="001D200B">
              <w:rPr>
                <w:rFonts w:cstheme="minorHAnsi"/>
                <w:sz w:val="22"/>
                <w:szCs w:val="22"/>
              </w:rPr>
              <w:t xml:space="preserve">W sektorze gospodarstw domowych zakłada się </w:t>
            </w:r>
            <w:r w:rsidR="005A539B" w:rsidRPr="001D200B">
              <w:rPr>
                <w:rFonts w:cstheme="minorHAnsi"/>
                <w:sz w:val="22"/>
                <w:szCs w:val="22"/>
              </w:rPr>
              <w:t>podjęci</w:t>
            </w:r>
            <w:r w:rsidR="00D07888" w:rsidRPr="001D200B">
              <w:rPr>
                <w:rFonts w:cstheme="minorHAnsi"/>
                <w:sz w:val="22"/>
                <w:szCs w:val="22"/>
              </w:rPr>
              <w:t>e</w:t>
            </w:r>
            <w:r w:rsidR="005A539B" w:rsidRPr="001D200B">
              <w:rPr>
                <w:rFonts w:cstheme="minorHAnsi"/>
                <w:sz w:val="22"/>
                <w:szCs w:val="22"/>
              </w:rPr>
              <w:t xml:space="preserve"> działań na rzecz poprawy efektywności energetycznej</w:t>
            </w:r>
            <w:r w:rsidR="003B1A25" w:rsidRPr="001D200B">
              <w:rPr>
                <w:rFonts w:cstheme="minorHAnsi"/>
                <w:sz w:val="22"/>
                <w:szCs w:val="22"/>
              </w:rPr>
              <w:t>,</w:t>
            </w:r>
            <w:r w:rsidR="005A539B" w:rsidRPr="001D200B">
              <w:rPr>
                <w:rFonts w:cstheme="minorHAnsi"/>
                <w:sz w:val="22"/>
                <w:szCs w:val="22"/>
              </w:rPr>
              <w:t xml:space="preserve"> jak również </w:t>
            </w:r>
            <w:r w:rsidR="00D07888" w:rsidRPr="001D200B">
              <w:rPr>
                <w:rFonts w:cstheme="minorHAnsi"/>
                <w:sz w:val="22"/>
                <w:szCs w:val="22"/>
              </w:rPr>
              <w:t>oszczędności zużycia na skutek wzrostu cen energii elektrycznej.</w:t>
            </w:r>
            <w:r w:rsidR="00B1602C" w:rsidRPr="001D200B">
              <w:rPr>
                <w:rFonts w:cstheme="minorHAnsi"/>
                <w:sz w:val="22"/>
                <w:szCs w:val="22"/>
              </w:rPr>
              <w:t xml:space="preserve"> </w:t>
            </w:r>
          </w:p>
        </w:tc>
      </w:tr>
    </w:tbl>
    <w:p w:rsidR="00E333A9" w:rsidRPr="001D200B" w:rsidRDefault="00E333A9">
      <w:pPr>
        <w:spacing w:before="0" w:after="0" w:line="240" w:lineRule="auto"/>
        <w:jc w:val="left"/>
        <w:rPr>
          <w:rFonts w:cstheme="minorHAnsi"/>
          <w:highlight w:val="yellow"/>
        </w:rPr>
      </w:pPr>
    </w:p>
    <w:p w:rsidR="004C57F5" w:rsidRPr="001D200B" w:rsidRDefault="004C57F5" w:rsidP="00885915">
      <w:pPr>
        <w:pStyle w:val="Tytu"/>
        <w:rPr>
          <w:rFonts w:cstheme="minorHAnsi"/>
          <w:b/>
        </w:rPr>
      </w:pPr>
      <w:bookmarkStart w:id="60" w:name="_Toc39476573"/>
      <w:r w:rsidRPr="001D200B">
        <w:rPr>
          <w:rFonts w:cstheme="minorHAnsi"/>
          <w:b/>
        </w:rPr>
        <w:t xml:space="preserve">Tabela </w:t>
      </w:r>
      <w:r w:rsidR="005B7234" w:rsidRPr="001D200B">
        <w:rPr>
          <w:rFonts w:cstheme="minorHAnsi"/>
          <w:b/>
        </w:rPr>
        <w:fldChar w:fldCharType="begin"/>
      </w:r>
      <w:r w:rsidR="00F200FE" w:rsidRPr="001D200B">
        <w:rPr>
          <w:rFonts w:cstheme="minorHAnsi"/>
          <w:b/>
        </w:rPr>
        <w:instrText xml:space="preserve"> SEQ Tabela \* ARABIC </w:instrText>
      </w:r>
      <w:r w:rsidR="005B7234" w:rsidRPr="001D200B">
        <w:rPr>
          <w:rFonts w:cstheme="minorHAnsi"/>
          <w:b/>
        </w:rPr>
        <w:fldChar w:fldCharType="separate"/>
      </w:r>
      <w:r w:rsidR="00D2721B" w:rsidRPr="001D200B">
        <w:rPr>
          <w:rFonts w:cstheme="minorHAnsi"/>
          <w:b/>
          <w:noProof/>
        </w:rPr>
        <w:t>21</w:t>
      </w:r>
      <w:r w:rsidR="005B7234" w:rsidRPr="001D200B">
        <w:rPr>
          <w:rFonts w:cstheme="minorHAnsi"/>
          <w:b/>
        </w:rPr>
        <w:fldChar w:fldCharType="end"/>
      </w:r>
      <w:r w:rsidRPr="001D200B">
        <w:rPr>
          <w:rFonts w:cstheme="minorHAnsi"/>
          <w:b/>
        </w:rPr>
        <w:t>. Wyniki prognozy zapotrzebowania na energię elektryczną</w:t>
      </w:r>
      <w:bookmarkEnd w:id="60"/>
      <w:r w:rsidRPr="001D200B">
        <w:rPr>
          <w:rFonts w:cstheme="minorHAnsi"/>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1"/>
        <w:gridCol w:w="2104"/>
        <w:gridCol w:w="1356"/>
        <w:gridCol w:w="1357"/>
        <w:gridCol w:w="1356"/>
        <w:gridCol w:w="1357"/>
      </w:tblGrid>
      <w:tr w:rsidR="004C57F5" w:rsidRPr="001D200B" w:rsidTr="00B00ED7">
        <w:trPr>
          <w:jc w:val="center"/>
        </w:trPr>
        <w:tc>
          <w:tcPr>
            <w:tcW w:w="1341" w:type="dxa"/>
          </w:tcPr>
          <w:p w:rsidR="004C57F5" w:rsidRPr="001D200B" w:rsidRDefault="004C57F5" w:rsidP="00E333A9">
            <w:pPr>
              <w:jc w:val="center"/>
              <w:rPr>
                <w:rFonts w:cstheme="minorHAnsi"/>
                <w:b/>
                <w:lang w:val="en-US"/>
              </w:rPr>
            </w:pPr>
            <w:r w:rsidRPr="001D200B">
              <w:rPr>
                <w:rFonts w:cstheme="minorHAnsi"/>
                <w:b/>
                <w:lang w:val="en-US"/>
              </w:rPr>
              <w:t>201</w:t>
            </w:r>
            <w:r w:rsidR="00E333A9" w:rsidRPr="001D200B">
              <w:rPr>
                <w:rFonts w:cstheme="minorHAnsi"/>
                <w:b/>
                <w:lang w:val="en-US"/>
              </w:rPr>
              <w:t>8</w:t>
            </w:r>
          </w:p>
        </w:tc>
        <w:tc>
          <w:tcPr>
            <w:tcW w:w="2104" w:type="dxa"/>
          </w:tcPr>
          <w:p w:rsidR="004C57F5" w:rsidRPr="001D200B" w:rsidRDefault="004C57F5" w:rsidP="00885915">
            <w:pPr>
              <w:jc w:val="center"/>
              <w:rPr>
                <w:rFonts w:cstheme="minorHAnsi"/>
                <w:b/>
                <w:lang w:val="en-US"/>
              </w:rPr>
            </w:pPr>
            <w:r w:rsidRPr="001D200B">
              <w:rPr>
                <w:rFonts w:cstheme="minorHAnsi"/>
                <w:b/>
              </w:rPr>
              <w:t>Wariant</w:t>
            </w:r>
          </w:p>
        </w:tc>
        <w:tc>
          <w:tcPr>
            <w:tcW w:w="1356" w:type="dxa"/>
          </w:tcPr>
          <w:p w:rsidR="004C57F5" w:rsidRPr="001D200B" w:rsidRDefault="004C57F5" w:rsidP="00E333A9">
            <w:pPr>
              <w:jc w:val="center"/>
              <w:rPr>
                <w:rFonts w:cstheme="minorHAnsi"/>
                <w:b/>
                <w:lang w:val="en-US"/>
              </w:rPr>
            </w:pPr>
            <w:r w:rsidRPr="001D200B">
              <w:rPr>
                <w:rFonts w:cstheme="minorHAnsi"/>
                <w:b/>
                <w:lang w:val="en-US"/>
              </w:rPr>
              <w:t>20</w:t>
            </w:r>
            <w:r w:rsidR="00E333A9" w:rsidRPr="001D200B">
              <w:rPr>
                <w:rFonts w:cstheme="minorHAnsi"/>
                <w:b/>
                <w:lang w:val="en-US"/>
              </w:rPr>
              <w:t>20</w:t>
            </w:r>
          </w:p>
        </w:tc>
        <w:tc>
          <w:tcPr>
            <w:tcW w:w="1357" w:type="dxa"/>
          </w:tcPr>
          <w:p w:rsidR="004C57F5" w:rsidRPr="001D200B" w:rsidRDefault="004C57F5" w:rsidP="00E333A9">
            <w:pPr>
              <w:jc w:val="center"/>
              <w:rPr>
                <w:rFonts w:cstheme="minorHAnsi"/>
                <w:b/>
                <w:lang w:val="en-US"/>
              </w:rPr>
            </w:pPr>
            <w:r w:rsidRPr="001D200B">
              <w:rPr>
                <w:rFonts w:cstheme="minorHAnsi"/>
                <w:b/>
                <w:lang w:val="en-US"/>
              </w:rPr>
              <w:t>202</w:t>
            </w:r>
            <w:r w:rsidR="00E333A9" w:rsidRPr="001D200B">
              <w:rPr>
                <w:rFonts w:cstheme="minorHAnsi"/>
                <w:b/>
                <w:lang w:val="en-US"/>
              </w:rPr>
              <w:t>5</w:t>
            </w:r>
          </w:p>
        </w:tc>
        <w:tc>
          <w:tcPr>
            <w:tcW w:w="1356" w:type="dxa"/>
          </w:tcPr>
          <w:p w:rsidR="004C57F5" w:rsidRPr="001D200B" w:rsidRDefault="004C57F5" w:rsidP="00E333A9">
            <w:pPr>
              <w:jc w:val="center"/>
              <w:rPr>
                <w:rFonts w:cstheme="minorHAnsi"/>
                <w:b/>
                <w:lang w:val="en-US"/>
              </w:rPr>
            </w:pPr>
            <w:r w:rsidRPr="001D200B">
              <w:rPr>
                <w:rFonts w:cstheme="minorHAnsi"/>
                <w:b/>
                <w:lang w:val="en-US"/>
              </w:rPr>
              <w:t>20</w:t>
            </w:r>
            <w:r w:rsidR="00E333A9" w:rsidRPr="001D200B">
              <w:rPr>
                <w:rFonts w:cstheme="minorHAnsi"/>
                <w:b/>
                <w:lang w:val="en-US"/>
              </w:rPr>
              <w:t>30</w:t>
            </w:r>
          </w:p>
        </w:tc>
        <w:tc>
          <w:tcPr>
            <w:tcW w:w="1357" w:type="dxa"/>
          </w:tcPr>
          <w:p w:rsidR="004C57F5" w:rsidRPr="001D200B" w:rsidRDefault="004C57F5" w:rsidP="00E333A9">
            <w:pPr>
              <w:jc w:val="center"/>
              <w:rPr>
                <w:rFonts w:cstheme="minorHAnsi"/>
                <w:b/>
                <w:lang w:val="en-US"/>
              </w:rPr>
            </w:pPr>
            <w:r w:rsidRPr="001D200B">
              <w:rPr>
                <w:rFonts w:cstheme="minorHAnsi"/>
                <w:b/>
                <w:lang w:val="en-US"/>
              </w:rPr>
              <w:t>203</w:t>
            </w:r>
            <w:r w:rsidR="00E333A9" w:rsidRPr="001D200B">
              <w:rPr>
                <w:rFonts w:cstheme="minorHAnsi"/>
                <w:b/>
                <w:lang w:val="en-US"/>
              </w:rPr>
              <w:t>5</w:t>
            </w:r>
          </w:p>
        </w:tc>
      </w:tr>
      <w:tr w:rsidR="004C57F5" w:rsidRPr="001D200B" w:rsidTr="00B00ED7">
        <w:trPr>
          <w:trHeight w:hRule="exact" w:val="386"/>
          <w:jc w:val="center"/>
        </w:trPr>
        <w:tc>
          <w:tcPr>
            <w:tcW w:w="1341" w:type="dxa"/>
          </w:tcPr>
          <w:p w:rsidR="004C57F5" w:rsidRPr="001D200B" w:rsidRDefault="004C57F5" w:rsidP="00E333A9">
            <w:pPr>
              <w:spacing w:before="0" w:after="0" w:line="240" w:lineRule="auto"/>
              <w:jc w:val="center"/>
              <w:rPr>
                <w:rFonts w:cstheme="minorHAnsi"/>
                <w:i/>
                <w:lang w:val="en-US"/>
              </w:rPr>
            </w:pPr>
            <w:r w:rsidRPr="001D200B">
              <w:rPr>
                <w:rFonts w:cstheme="minorHAnsi"/>
                <w:i/>
                <w:lang w:val="en-US"/>
              </w:rPr>
              <w:t>(</w:t>
            </w:r>
            <w:r w:rsidR="00E333A9" w:rsidRPr="001D200B">
              <w:rPr>
                <w:rFonts w:cstheme="minorHAnsi"/>
                <w:i/>
                <w:lang w:val="en-US"/>
              </w:rPr>
              <w:t>M</w:t>
            </w:r>
            <w:r w:rsidRPr="001D200B">
              <w:rPr>
                <w:rFonts w:cstheme="minorHAnsi"/>
                <w:i/>
                <w:lang w:val="en-US"/>
              </w:rPr>
              <w:t>Wh)</w:t>
            </w:r>
          </w:p>
        </w:tc>
        <w:tc>
          <w:tcPr>
            <w:tcW w:w="2104" w:type="dxa"/>
          </w:tcPr>
          <w:p w:rsidR="004C57F5" w:rsidRPr="001D200B" w:rsidRDefault="004C57F5" w:rsidP="00E333A9">
            <w:pPr>
              <w:spacing w:before="0" w:after="0" w:line="240" w:lineRule="auto"/>
              <w:jc w:val="center"/>
              <w:rPr>
                <w:rFonts w:cstheme="minorHAnsi"/>
                <w:i/>
                <w:lang w:val="en-US"/>
              </w:rPr>
            </w:pPr>
            <w:r w:rsidRPr="001D200B">
              <w:rPr>
                <w:rFonts w:cstheme="minorHAnsi"/>
                <w:i/>
                <w:lang w:val="en-US"/>
              </w:rPr>
              <w:t>#</w:t>
            </w:r>
          </w:p>
        </w:tc>
        <w:tc>
          <w:tcPr>
            <w:tcW w:w="1356" w:type="dxa"/>
          </w:tcPr>
          <w:p w:rsidR="004C57F5" w:rsidRPr="001D200B" w:rsidRDefault="00E333A9" w:rsidP="00E333A9">
            <w:pPr>
              <w:spacing w:before="0" w:after="0" w:line="240" w:lineRule="auto"/>
              <w:jc w:val="center"/>
              <w:rPr>
                <w:rFonts w:cstheme="minorHAnsi"/>
                <w:i/>
                <w:lang w:val="en-US"/>
              </w:rPr>
            </w:pPr>
            <w:r w:rsidRPr="001D200B">
              <w:rPr>
                <w:rFonts w:cstheme="minorHAnsi"/>
                <w:i/>
                <w:lang w:val="en-US"/>
              </w:rPr>
              <w:t>(M</w:t>
            </w:r>
            <w:r w:rsidR="004C57F5" w:rsidRPr="001D200B">
              <w:rPr>
                <w:rFonts w:cstheme="minorHAnsi"/>
                <w:i/>
                <w:lang w:val="en-US"/>
              </w:rPr>
              <w:t>Wh)</w:t>
            </w:r>
          </w:p>
        </w:tc>
        <w:tc>
          <w:tcPr>
            <w:tcW w:w="1357" w:type="dxa"/>
          </w:tcPr>
          <w:p w:rsidR="004C57F5" w:rsidRPr="001D200B" w:rsidRDefault="004C57F5" w:rsidP="00E333A9">
            <w:pPr>
              <w:spacing w:before="0" w:after="0" w:line="240" w:lineRule="auto"/>
              <w:jc w:val="center"/>
              <w:rPr>
                <w:rFonts w:cstheme="minorHAnsi"/>
                <w:i/>
                <w:lang w:val="en-US"/>
              </w:rPr>
            </w:pPr>
            <w:r w:rsidRPr="001D200B">
              <w:rPr>
                <w:rFonts w:cstheme="minorHAnsi"/>
                <w:i/>
                <w:lang w:val="en-US"/>
              </w:rPr>
              <w:t>(</w:t>
            </w:r>
            <w:r w:rsidR="00E333A9" w:rsidRPr="001D200B">
              <w:rPr>
                <w:rFonts w:cstheme="minorHAnsi"/>
                <w:i/>
                <w:lang w:val="en-US"/>
              </w:rPr>
              <w:t>M</w:t>
            </w:r>
            <w:r w:rsidRPr="001D200B">
              <w:rPr>
                <w:rFonts w:cstheme="minorHAnsi"/>
                <w:i/>
                <w:lang w:val="en-US"/>
              </w:rPr>
              <w:t>Wh)</w:t>
            </w:r>
          </w:p>
        </w:tc>
        <w:tc>
          <w:tcPr>
            <w:tcW w:w="1356" w:type="dxa"/>
          </w:tcPr>
          <w:p w:rsidR="004C57F5" w:rsidRPr="001D200B" w:rsidRDefault="004C57F5" w:rsidP="00E333A9">
            <w:pPr>
              <w:spacing w:before="0" w:after="0" w:line="240" w:lineRule="auto"/>
              <w:jc w:val="center"/>
              <w:rPr>
                <w:rFonts w:cstheme="minorHAnsi"/>
                <w:i/>
              </w:rPr>
            </w:pPr>
            <w:r w:rsidRPr="001D200B">
              <w:rPr>
                <w:rFonts w:cstheme="minorHAnsi"/>
                <w:i/>
              </w:rPr>
              <w:t>(</w:t>
            </w:r>
            <w:r w:rsidR="00E333A9" w:rsidRPr="001D200B">
              <w:rPr>
                <w:rFonts w:cstheme="minorHAnsi"/>
                <w:i/>
              </w:rPr>
              <w:t>M</w:t>
            </w:r>
            <w:r w:rsidRPr="001D200B">
              <w:rPr>
                <w:rFonts w:cstheme="minorHAnsi"/>
                <w:i/>
              </w:rPr>
              <w:t>Wh)</w:t>
            </w:r>
          </w:p>
        </w:tc>
        <w:tc>
          <w:tcPr>
            <w:tcW w:w="1357" w:type="dxa"/>
          </w:tcPr>
          <w:p w:rsidR="004C57F5" w:rsidRPr="001D200B" w:rsidRDefault="00E333A9" w:rsidP="00E333A9">
            <w:pPr>
              <w:spacing w:before="0" w:after="0" w:line="240" w:lineRule="auto"/>
              <w:jc w:val="center"/>
              <w:rPr>
                <w:rFonts w:cstheme="minorHAnsi"/>
                <w:i/>
              </w:rPr>
            </w:pPr>
            <w:r w:rsidRPr="001D200B">
              <w:rPr>
                <w:rFonts w:cstheme="minorHAnsi"/>
                <w:i/>
              </w:rPr>
              <w:t>(M</w:t>
            </w:r>
            <w:r w:rsidR="004C57F5" w:rsidRPr="001D200B">
              <w:rPr>
                <w:rFonts w:cstheme="minorHAnsi"/>
                <w:i/>
              </w:rPr>
              <w:t>Wh)</w:t>
            </w:r>
          </w:p>
        </w:tc>
      </w:tr>
      <w:tr w:rsidR="00E333A9" w:rsidRPr="001D200B" w:rsidTr="00B00ED7">
        <w:trPr>
          <w:jc w:val="center"/>
        </w:trPr>
        <w:tc>
          <w:tcPr>
            <w:tcW w:w="1341" w:type="dxa"/>
            <w:vMerge w:val="restart"/>
            <w:vAlign w:val="center"/>
          </w:tcPr>
          <w:p w:rsidR="00E333A9" w:rsidRPr="001D200B" w:rsidRDefault="00E333A9" w:rsidP="00947F69">
            <w:pPr>
              <w:spacing w:before="0" w:after="0"/>
              <w:jc w:val="center"/>
              <w:rPr>
                <w:rFonts w:cstheme="minorHAnsi"/>
              </w:rPr>
            </w:pPr>
            <w:r w:rsidRPr="001D200B">
              <w:rPr>
                <w:rFonts w:cstheme="minorHAnsi"/>
                <w:b/>
              </w:rPr>
              <w:t>16 899</w:t>
            </w:r>
          </w:p>
        </w:tc>
        <w:tc>
          <w:tcPr>
            <w:tcW w:w="2104" w:type="dxa"/>
            <w:shd w:val="clear" w:color="auto" w:fill="DBE5F1" w:themeFill="accent1" w:themeFillTint="33"/>
          </w:tcPr>
          <w:p w:rsidR="00E333A9" w:rsidRPr="001D200B" w:rsidRDefault="00E333A9" w:rsidP="00947F69">
            <w:pPr>
              <w:spacing w:before="0" w:after="0"/>
              <w:jc w:val="center"/>
              <w:rPr>
                <w:rFonts w:cstheme="minorHAnsi"/>
                <w:b/>
              </w:rPr>
            </w:pPr>
            <w:r w:rsidRPr="001D200B">
              <w:rPr>
                <w:rFonts w:cstheme="minorHAnsi"/>
                <w:b/>
              </w:rPr>
              <w:t>Wariant I</w:t>
            </w:r>
          </w:p>
        </w:tc>
        <w:tc>
          <w:tcPr>
            <w:tcW w:w="1356" w:type="dxa"/>
          </w:tcPr>
          <w:p w:rsidR="00E333A9" w:rsidRPr="001D200B" w:rsidRDefault="00586585" w:rsidP="00947F69">
            <w:pPr>
              <w:spacing w:before="0" w:after="0"/>
              <w:jc w:val="center"/>
              <w:rPr>
                <w:rFonts w:cstheme="minorHAnsi"/>
              </w:rPr>
            </w:pPr>
            <w:r w:rsidRPr="001D200B">
              <w:rPr>
                <w:rFonts w:cstheme="minorHAnsi"/>
              </w:rPr>
              <w:t>17 562</w:t>
            </w:r>
          </w:p>
        </w:tc>
        <w:tc>
          <w:tcPr>
            <w:tcW w:w="1357" w:type="dxa"/>
          </w:tcPr>
          <w:p w:rsidR="00E333A9" w:rsidRPr="001D200B" w:rsidRDefault="00586585" w:rsidP="00947F69">
            <w:pPr>
              <w:spacing w:before="0" w:after="0"/>
              <w:jc w:val="center"/>
              <w:rPr>
                <w:rFonts w:cstheme="minorHAnsi"/>
              </w:rPr>
            </w:pPr>
            <w:r w:rsidRPr="001D200B">
              <w:rPr>
                <w:rFonts w:cstheme="minorHAnsi"/>
              </w:rPr>
              <w:t>19 123</w:t>
            </w:r>
          </w:p>
        </w:tc>
        <w:tc>
          <w:tcPr>
            <w:tcW w:w="1356" w:type="dxa"/>
          </w:tcPr>
          <w:p w:rsidR="00E333A9" w:rsidRPr="001D200B" w:rsidRDefault="00586585" w:rsidP="00947F69">
            <w:pPr>
              <w:spacing w:before="0" w:after="0"/>
              <w:jc w:val="center"/>
              <w:rPr>
                <w:rFonts w:cstheme="minorHAnsi"/>
              </w:rPr>
            </w:pPr>
            <w:r w:rsidRPr="001D200B">
              <w:rPr>
                <w:rFonts w:cstheme="minorHAnsi"/>
              </w:rPr>
              <w:t>20 914</w:t>
            </w:r>
          </w:p>
        </w:tc>
        <w:tc>
          <w:tcPr>
            <w:tcW w:w="1357" w:type="dxa"/>
          </w:tcPr>
          <w:p w:rsidR="00E333A9" w:rsidRPr="001D200B" w:rsidRDefault="00586585" w:rsidP="00947F69">
            <w:pPr>
              <w:spacing w:before="0" w:after="0"/>
              <w:jc w:val="center"/>
              <w:rPr>
                <w:rFonts w:cstheme="minorHAnsi"/>
              </w:rPr>
            </w:pPr>
            <w:r w:rsidRPr="001D200B">
              <w:rPr>
                <w:rFonts w:cstheme="minorHAnsi"/>
              </w:rPr>
              <w:t>22 252</w:t>
            </w:r>
          </w:p>
        </w:tc>
      </w:tr>
      <w:tr w:rsidR="00E333A9" w:rsidRPr="001D200B" w:rsidTr="00B00ED7">
        <w:trPr>
          <w:jc w:val="center"/>
        </w:trPr>
        <w:tc>
          <w:tcPr>
            <w:tcW w:w="1341" w:type="dxa"/>
            <w:vMerge/>
          </w:tcPr>
          <w:p w:rsidR="00E333A9" w:rsidRPr="001D200B" w:rsidRDefault="00E333A9" w:rsidP="00947F69">
            <w:pPr>
              <w:spacing w:before="0" w:after="0"/>
              <w:jc w:val="center"/>
              <w:rPr>
                <w:rFonts w:cstheme="minorHAnsi"/>
              </w:rPr>
            </w:pPr>
          </w:p>
        </w:tc>
        <w:tc>
          <w:tcPr>
            <w:tcW w:w="2104" w:type="dxa"/>
            <w:shd w:val="clear" w:color="auto" w:fill="E5B8B7" w:themeFill="accent2" w:themeFillTint="66"/>
          </w:tcPr>
          <w:p w:rsidR="00E333A9" w:rsidRPr="001D200B" w:rsidRDefault="00E333A9" w:rsidP="00947F69">
            <w:pPr>
              <w:spacing w:before="0" w:after="0"/>
              <w:jc w:val="center"/>
              <w:rPr>
                <w:rFonts w:cstheme="minorHAnsi"/>
                <w:b/>
              </w:rPr>
            </w:pPr>
            <w:r w:rsidRPr="001D200B">
              <w:rPr>
                <w:rFonts w:cstheme="minorHAnsi"/>
                <w:b/>
              </w:rPr>
              <w:t>Wariant II</w:t>
            </w:r>
          </w:p>
        </w:tc>
        <w:tc>
          <w:tcPr>
            <w:tcW w:w="1356" w:type="dxa"/>
          </w:tcPr>
          <w:p w:rsidR="00E333A9" w:rsidRPr="001D200B" w:rsidRDefault="00586585" w:rsidP="00947F69">
            <w:pPr>
              <w:spacing w:before="0" w:after="0"/>
              <w:jc w:val="center"/>
              <w:rPr>
                <w:rFonts w:cstheme="minorHAnsi"/>
              </w:rPr>
            </w:pPr>
            <w:r w:rsidRPr="001D200B">
              <w:rPr>
                <w:rFonts w:cstheme="minorHAnsi"/>
              </w:rPr>
              <w:t>17 127</w:t>
            </w:r>
          </w:p>
        </w:tc>
        <w:tc>
          <w:tcPr>
            <w:tcW w:w="1357" w:type="dxa"/>
          </w:tcPr>
          <w:p w:rsidR="00E333A9" w:rsidRPr="001D200B" w:rsidRDefault="00586585" w:rsidP="00947F69">
            <w:pPr>
              <w:spacing w:before="0" w:after="0"/>
              <w:jc w:val="center"/>
              <w:rPr>
                <w:rFonts w:cstheme="minorHAnsi"/>
              </w:rPr>
            </w:pPr>
            <w:r w:rsidRPr="001D200B">
              <w:rPr>
                <w:rFonts w:cstheme="minorHAnsi"/>
              </w:rPr>
              <w:t>17 997</w:t>
            </w:r>
          </w:p>
        </w:tc>
        <w:tc>
          <w:tcPr>
            <w:tcW w:w="1356" w:type="dxa"/>
          </w:tcPr>
          <w:p w:rsidR="00E333A9" w:rsidRPr="001D200B" w:rsidRDefault="00586585" w:rsidP="00947F69">
            <w:pPr>
              <w:spacing w:before="0" w:after="0"/>
              <w:jc w:val="center"/>
              <w:rPr>
                <w:rFonts w:cstheme="minorHAnsi"/>
              </w:rPr>
            </w:pPr>
            <w:r w:rsidRPr="001D200B">
              <w:rPr>
                <w:rFonts w:cstheme="minorHAnsi"/>
              </w:rPr>
              <w:t>19 190</w:t>
            </w:r>
          </w:p>
        </w:tc>
        <w:tc>
          <w:tcPr>
            <w:tcW w:w="1357" w:type="dxa"/>
          </w:tcPr>
          <w:p w:rsidR="00E333A9" w:rsidRPr="001D200B" w:rsidRDefault="00586585" w:rsidP="00947F69">
            <w:pPr>
              <w:spacing w:before="0" w:after="0"/>
              <w:jc w:val="center"/>
              <w:rPr>
                <w:rFonts w:cstheme="minorHAnsi"/>
              </w:rPr>
            </w:pPr>
            <w:r w:rsidRPr="001D200B">
              <w:rPr>
                <w:rFonts w:cstheme="minorHAnsi"/>
              </w:rPr>
              <w:t>21 460</w:t>
            </w:r>
          </w:p>
        </w:tc>
      </w:tr>
      <w:tr w:rsidR="00E333A9" w:rsidRPr="001D200B" w:rsidTr="00B00ED7">
        <w:trPr>
          <w:jc w:val="center"/>
        </w:trPr>
        <w:tc>
          <w:tcPr>
            <w:tcW w:w="1341" w:type="dxa"/>
            <w:vMerge/>
          </w:tcPr>
          <w:p w:rsidR="00E333A9" w:rsidRPr="001D200B" w:rsidRDefault="00E333A9" w:rsidP="00947F69">
            <w:pPr>
              <w:spacing w:before="0" w:after="0"/>
              <w:jc w:val="center"/>
              <w:rPr>
                <w:rFonts w:cstheme="minorHAnsi"/>
              </w:rPr>
            </w:pPr>
          </w:p>
        </w:tc>
        <w:tc>
          <w:tcPr>
            <w:tcW w:w="2104" w:type="dxa"/>
            <w:shd w:val="clear" w:color="auto" w:fill="C2D69B" w:themeFill="accent3" w:themeFillTint="99"/>
          </w:tcPr>
          <w:p w:rsidR="00E333A9" w:rsidRPr="001D200B" w:rsidRDefault="00E333A9" w:rsidP="00947F69">
            <w:pPr>
              <w:spacing w:before="0" w:after="0"/>
              <w:jc w:val="center"/>
              <w:rPr>
                <w:rFonts w:cstheme="minorHAnsi"/>
                <w:b/>
              </w:rPr>
            </w:pPr>
            <w:r w:rsidRPr="001D200B">
              <w:rPr>
                <w:rFonts w:cstheme="minorHAnsi"/>
                <w:b/>
              </w:rPr>
              <w:t>Wariant III</w:t>
            </w:r>
          </w:p>
        </w:tc>
        <w:tc>
          <w:tcPr>
            <w:tcW w:w="1356" w:type="dxa"/>
          </w:tcPr>
          <w:p w:rsidR="00E333A9" w:rsidRPr="001D200B" w:rsidRDefault="00586585" w:rsidP="00947F69">
            <w:pPr>
              <w:spacing w:before="0" w:after="0"/>
              <w:jc w:val="center"/>
              <w:rPr>
                <w:rFonts w:cstheme="minorHAnsi"/>
              </w:rPr>
            </w:pPr>
            <w:r w:rsidRPr="001D200B">
              <w:rPr>
                <w:rFonts w:cstheme="minorHAnsi"/>
              </w:rPr>
              <w:t>16 403</w:t>
            </w:r>
          </w:p>
        </w:tc>
        <w:tc>
          <w:tcPr>
            <w:tcW w:w="1357" w:type="dxa"/>
          </w:tcPr>
          <w:p w:rsidR="00E333A9" w:rsidRPr="001D200B" w:rsidRDefault="00586585" w:rsidP="00947F69">
            <w:pPr>
              <w:spacing w:before="0" w:after="0"/>
              <w:jc w:val="center"/>
              <w:rPr>
                <w:rFonts w:cstheme="minorHAnsi"/>
              </w:rPr>
            </w:pPr>
            <w:r w:rsidRPr="001D200B">
              <w:rPr>
                <w:rFonts w:cstheme="minorHAnsi"/>
              </w:rPr>
              <w:t>17 229</w:t>
            </w:r>
          </w:p>
        </w:tc>
        <w:tc>
          <w:tcPr>
            <w:tcW w:w="1356" w:type="dxa"/>
          </w:tcPr>
          <w:p w:rsidR="00E333A9" w:rsidRPr="001D200B" w:rsidRDefault="00586585" w:rsidP="00947F69">
            <w:pPr>
              <w:spacing w:before="0" w:after="0"/>
              <w:jc w:val="center"/>
              <w:rPr>
                <w:rFonts w:cstheme="minorHAnsi"/>
              </w:rPr>
            </w:pPr>
            <w:r w:rsidRPr="001D200B">
              <w:rPr>
                <w:rFonts w:cstheme="minorHAnsi"/>
              </w:rPr>
              <w:t>18 375</w:t>
            </w:r>
          </w:p>
        </w:tc>
        <w:tc>
          <w:tcPr>
            <w:tcW w:w="1357" w:type="dxa"/>
          </w:tcPr>
          <w:p w:rsidR="00E333A9" w:rsidRPr="001D200B" w:rsidRDefault="00586585" w:rsidP="00947F69">
            <w:pPr>
              <w:spacing w:before="0" w:after="0"/>
              <w:jc w:val="center"/>
              <w:rPr>
                <w:rFonts w:cstheme="minorHAnsi"/>
              </w:rPr>
            </w:pPr>
            <w:r w:rsidRPr="001D200B">
              <w:rPr>
                <w:rFonts w:cstheme="minorHAnsi"/>
              </w:rPr>
              <w:t>20 565</w:t>
            </w:r>
          </w:p>
        </w:tc>
      </w:tr>
    </w:tbl>
    <w:p w:rsidR="004C57F5" w:rsidRPr="001D200B" w:rsidRDefault="004C57F5" w:rsidP="00E333A9">
      <w:pPr>
        <w:pStyle w:val="podtabelk"/>
      </w:pPr>
      <w:r w:rsidRPr="001D200B">
        <w:t>* obliczenia własne</w:t>
      </w:r>
    </w:p>
    <w:p w:rsidR="004C57F5" w:rsidRPr="001D200B" w:rsidRDefault="003D4EBC" w:rsidP="004C57F5">
      <w:pPr>
        <w:rPr>
          <w:rFonts w:cstheme="minorHAnsi"/>
          <w:b/>
        </w:rPr>
      </w:pPr>
      <w:r w:rsidRPr="001D200B">
        <w:rPr>
          <w:rFonts w:cstheme="minorHAnsi"/>
          <w:b/>
          <w:noProof/>
        </w:rPr>
        <w:drawing>
          <wp:anchor distT="0" distB="0" distL="114300" distR="114300" simplePos="0" relativeHeight="251678720" behindDoc="0" locked="0" layoutInCell="1" allowOverlap="1">
            <wp:simplePos x="0" y="0"/>
            <wp:positionH relativeFrom="column">
              <wp:posOffset>4445</wp:posOffset>
            </wp:positionH>
            <wp:positionV relativeFrom="paragraph">
              <wp:posOffset>507365</wp:posOffset>
            </wp:positionV>
            <wp:extent cx="5486400" cy="2895600"/>
            <wp:effectExtent l="0" t="0" r="0" b="0"/>
            <wp:wrapTight wrapText="bothSides">
              <wp:wrapPolygon edited="0">
                <wp:start x="300" y="568"/>
                <wp:lineTo x="300" y="1279"/>
                <wp:lineTo x="7800" y="2842"/>
                <wp:lineTo x="10800" y="2842"/>
                <wp:lineTo x="375" y="3411"/>
                <wp:lineTo x="375" y="4263"/>
                <wp:lineTo x="7875" y="5116"/>
                <wp:lineTo x="375" y="6253"/>
                <wp:lineTo x="300" y="7247"/>
                <wp:lineTo x="3225" y="7389"/>
                <wp:lineTo x="300" y="9521"/>
                <wp:lineTo x="300" y="10232"/>
                <wp:lineTo x="8475" y="11937"/>
                <wp:lineTo x="600" y="12363"/>
                <wp:lineTo x="600" y="13216"/>
                <wp:lineTo x="10800" y="14211"/>
                <wp:lineTo x="1500" y="15347"/>
                <wp:lineTo x="1500" y="16200"/>
                <wp:lineTo x="10800" y="16484"/>
                <wp:lineTo x="3900" y="17195"/>
                <wp:lineTo x="3900" y="18047"/>
                <wp:lineTo x="10800" y="18758"/>
                <wp:lineTo x="7575" y="19468"/>
                <wp:lineTo x="6975" y="19753"/>
                <wp:lineTo x="7050" y="20321"/>
                <wp:lineTo x="15225" y="20321"/>
                <wp:lineTo x="15300" y="19753"/>
                <wp:lineTo x="14025" y="19326"/>
                <wp:lineTo x="10800" y="18758"/>
                <wp:lineTo x="19275" y="18047"/>
                <wp:lineTo x="19275" y="17195"/>
                <wp:lineTo x="10725" y="16484"/>
                <wp:lineTo x="10725" y="11937"/>
                <wp:lineTo x="2025" y="9663"/>
                <wp:lineTo x="6675" y="9663"/>
                <wp:lineTo x="15375" y="8242"/>
                <wp:lineTo x="15300" y="7389"/>
                <wp:lineTo x="18825" y="7389"/>
                <wp:lineTo x="20025" y="6821"/>
                <wp:lineTo x="20025" y="3553"/>
                <wp:lineTo x="17475" y="2842"/>
                <wp:lineTo x="10725" y="2842"/>
                <wp:lineTo x="1950" y="568"/>
                <wp:lineTo x="300" y="568"/>
              </wp:wrapPolygon>
            </wp:wrapTight>
            <wp:docPr id="3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anchor>
        </w:drawing>
      </w:r>
      <w:bookmarkStart w:id="61" w:name="_Toc31371911"/>
      <w:r w:rsidR="004C57F5" w:rsidRPr="001D200B">
        <w:rPr>
          <w:rFonts w:cstheme="minorHAnsi"/>
          <w:b/>
        </w:rPr>
        <w:t xml:space="preserve">Wykres </w:t>
      </w:r>
      <w:r w:rsidR="005B7234" w:rsidRPr="001D200B">
        <w:rPr>
          <w:rFonts w:cstheme="minorHAnsi"/>
          <w:b/>
        </w:rPr>
        <w:fldChar w:fldCharType="begin"/>
      </w:r>
      <w:r w:rsidR="00F200FE" w:rsidRPr="001D200B">
        <w:rPr>
          <w:rFonts w:cstheme="minorHAnsi"/>
          <w:b/>
        </w:rPr>
        <w:instrText xml:space="preserve"> SEQ Wykres \* ARABIC </w:instrText>
      </w:r>
      <w:r w:rsidR="005B7234" w:rsidRPr="001D200B">
        <w:rPr>
          <w:rFonts w:cstheme="minorHAnsi"/>
          <w:b/>
        </w:rPr>
        <w:fldChar w:fldCharType="separate"/>
      </w:r>
      <w:r w:rsidR="00D2721B" w:rsidRPr="001D200B">
        <w:rPr>
          <w:rFonts w:cstheme="minorHAnsi"/>
          <w:b/>
          <w:noProof/>
        </w:rPr>
        <w:t>9</w:t>
      </w:r>
      <w:r w:rsidR="005B7234" w:rsidRPr="001D200B">
        <w:rPr>
          <w:rFonts w:cstheme="minorHAnsi"/>
          <w:b/>
        </w:rPr>
        <w:fldChar w:fldCharType="end"/>
      </w:r>
      <w:r w:rsidR="004C57F5" w:rsidRPr="001D200B">
        <w:rPr>
          <w:rFonts w:cstheme="minorHAnsi"/>
          <w:b/>
        </w:rPr>
        <w:t xml:space="preserve">. Prognozowane zmiany </w:t>
      </w:r>
      <w:r w:rsidR="00E333A9" w:rsidRPr="001D200B">
        <w:rPr>
          <w:rFonts w:cstheme="minorHAnsi"/>
          <w:b/>
        </w:rPr>
        <w:t xml:space="preserve">zapotrzebowania na </w:t>
      </w:r>
      <w:r w:rsidR="004C57F5" w:rsidRPr="001D200B">
        <w:rPr>
          <w:rFonts w:cstheme="minorHAnsi"/>
          <w:b/>
        </w:rPr>
        <w:t>energi</w:t>
      </w:r>
      <w:r w:rsidR="00E333A9" w:rsidRPr="001D200B">
        <w:rPr>
          <w:rFonts w:cstheme="minorHAnsi"/>
          <w:b/>
        </w:rPr>
        <w:t>ę</w:t>
      </w:r>
      <w:r w:rsidR="004C57F5" w:rsidRPr="001D200B">
        <w:rPr>
          <w:rFonts w:cstheme="minorHAnsi"/>
          <w:b/>
        </w:rPr>
        <w:t xml:space="preserve"> elektryczn</w:t>
      </w:r>
      <w:r w:rsidR="00E333A9" w:rsidRPr="001D200B">
        <w:rPr>
          <w:rFonts w:cstheme="minorHAnsi"/>
          <w:b/>
        </w:rPr>
        <w:t>ą</w:t>
      </w:r>
      <w:r w:rsidR="004C57F5" w:rsidRPr="001D200B">
        <w:rPr>
          <w:rFonts w:cstheme="minorHAnsi"/>
          <w:b/>
        </w:rPr>
        <w:t xml:space="preserve"> </w:t>
      </w:r>
      <w:r w:rsidR="00E333A9" w:rsidRPr="001D200B">
        <w:rPr>
          <w:rFonts w:cstheme="minorHAnsi"/>
          <w:b/>
        </w:rPr>
        <w:t xml:space="preserve">dla gminy Połaniec </w:t>
      </w:r>
      <w:r w:rsidR="00B00ED7" w:rsidRPr="001D200B">
        <w:rPr>
          <w:rFonts w:cstheme="minorHAnsi"/>
          <w:b/>
        </w:rPr>
        <w:t>w ujęciu wariantowym</w:t>
      </w:r>
      <w:bookmarkEnd w:id="61"/>
    </w:p>
    <w:p w:rsidR="004C57F5" w:rsidRPr="001D200B" w:rsidRDefault="004C57F5" w:rsidP="004C57F5">
      <w:pPr>
        <w:rPr>
          <w:rFonts w:cstheme="minorHAnsi"/>
          <w:highlight w:val="yellow"/>
        </w:rPr>
      </w:pPr>
    </w:p>
    <w:p w:rsidR="004C57F5" w:rsidRPr="001D200B" w:rsidRDefault="004C57F5" w:rsidP="004C57F5">
      <w:pPr>
        <w:rPr>
          <w:rFonts w:cstheme="minorHAnsi"/>
          <w:highlight w:val="yellow"/>
        </w:rPr>
      </w:pPr>
    </w:p>
    <w:p w:rsidR="004C57F5" w:rsidRPr="001D200B" w:rsidRDefault="004C57F5" w:rsidP="004C57F5">
      <w:pPr>
        <w:rPr>
          <w:rFonts w:cstheme="minorHAnsi"/>
          <w:highlight w:val="yellow"/>
        </w:rPr>
      </w:pPr>
    </w:p>
    <w:p w:rsidR="004C57F5" w:rsidRPr="001D200B" w:rsidRDefault="004C57F5" w:rsidP="004C57F5">
      <w:pPr>
        <w:rPr>
          <w:rFonts w:cstheme="minorHAnsi"/>
          <w:highlight w:val="yellow"/>
        </w:rPr>
      </w:pPr>
    </w:p>
    <w:p w:rsidR="004C57F5" w:rsidRPr="001D200B" w:rsidRDefault="004C57F5" w:rsidP="004C57F5">
      <w:pPr>
        <w:rPr>
          <w:rFonts w:cstheme="minorHAnsi"/>
          <w:highlight w:val="yellow"/>
        </w:rPr>
      </w:pPr>
    </w:p>
    <w:p w:rsidR="004C57F5" w:rsidRPr="001D200B" w:rsidRDefault="004C57F5" w:rsidP="004C57F5">
      <w:pPr>
        <w:rPr>
          <w:rFonts w:cstheme="minorHAnsi"/>
          <w:highlight w:val="yellow"/>
        </w:rPr>
      </w:pPr>
    </w:p>
    <w:p w:rsidR="004C57F5" w:rsidRPr="001D200B" w:rsidRDefault="004C57F5" w:rsidP="004C57F5">
      <w:pPr>
        <w:rPr>
          <w:rFonts w:cstheme="minorHAnsi"/>
          <w:highlight w:val="yellow"/>
        </w:rPr>
      </w:pPr>
    </w:p>
    <w:p w:rsidR="004C57F5" w:rsidRPr="001D200B" w:rsidRDefault="004C57F5" w:rsidP="004C57F5">
      <w:pPr>
        <w:rPr>
          <w:rFonts w:cstheme="minorHAnsi"/>
          <w:highlight w:val="yellow"/>
        </w:rPr>
      </w:pPr>
    </w:p>
    <w:p w:rsidR="004C57F5" w:rsidRPr="001D200B" w:rsidRDefault="004C57F5" w:rsidP="004C57F5">
      <w:pPr>
        <w:rPr>
          <w:rFonts w:cstheme="minorHAnsi"/>
          <w:highlight w:val="yellow"/>
        </w:rPr>
      </w:pPr>
    </w:p>
    <w:p w:rsidR="004C57F5" w:rsidRPr="001D200B" w:rsidRDefault="004C57F5" w:rsidP="004C57F5">
      <w:pPr>
        <w:rPr>
          <w:rFonts w:cstheme="minorHAnsi"/>
          <w:highlight w:val="yellow"/>
        </w:rPr>
      </w:pPr>
    </w:p>
    <w:p w:rsidR="00C77335" w:rsidRPr="001D200B" w:rsidRDefault="00C77335">
      <w:pPr>
        <w:spacing w:before="0" w:after="0" w:line="240" w:lineRule="auto"/>
      </w:pPr>
      <w:r w:rsidRPr="001D200B">
        <w:br w:type="page"/>
      </w:r>
    </w:p>
    <w:p w:rsidR="00947F69" w:rsidRPr="001D200B" w:rsidRDefault="00947F69" w:rsidP="00947F69">
      <w:pPr>
        <w:pStyle w:val="Tekstpodstawowy2"/>
      </w:pPr>
      <w:r w:rsidRPr="001D200B">
        <w:lastRenderedPageBreak/>
        <w:t xml:space="preserve">Prognozy zapotrzebowania na energię elektryczną, tak jak i na ciepło, gaz ziemny, obarczone są zwykle niepewnością ze względu na niemożliwy do precyzyjnego określenia poziom zmian cen nośników energii. Zmiany cen nośników mogą wpływać zarówno na wielkość zużycia energii, jak i na strukturę zużycia przez odbiorców poszczególnych nośników energii. W przedstawionej prognozie (Wariant II) uwzględniono dotychczasowe tendencje rozwoju społeczno-gospodarczego gminy obserwowane na przestrzeni ostatnich lat, w tym przede wszystkim zużycie energii elektrycznej w poszczególnych grupach odbiorców oraz przewidywane zmiany w zakresie demografii, rozwoju budownictwa mieszkaniowego, sferę działalności gospodarczej. Przy prognozowanym zużyciu energii elektrycznej przewidywany wzrost poboru energii w roku 2035 wyniesie (w stosunku do roku 2018): </w:t>
      </w:r>
    </w:p>
    <w:p w:rsidR="00947F69" w:rsidRPr="001D200B" w:rsidRDefault="00947F69" w:rsidP="00F21741">
      <w:pPr>
        <w:pStyle w:val="Punktatory1"/>
      </w:pPr>
      <w:r w:rsidRPr="001D200B">
        <w:t>w wariancie I - około 32%;</w:t>
      </w:r>
    </w:p>
    <w:p w:rsidR="00947F69" w:rsidRPr="001D200B" w:rsidRDefault="00947F69" w:rsidP="00F21741">
      <w:pPr>
        <w:pStyle w:val="Punktatory1"/>
      </w:pPr>
      <w:r w:rsidRPr="001D200B">
        <w:t>w wariancie II – około 27%;</w:t>
      </w:r>
    </w:p>
    <w:p w:rsidR="00947F69" w:rsidRPr="001D200B" w:rsidRDefault="00947F69" w:rsidP="00F21741">
      <w:pPr>
        <w:pStyle w:val="Punktatory1"/>
      </w:pPr>
      <w:r w:rsidRPr="001D200B">
        <w:t xml:space="preserve">w wariancie III – około 22%. </w:t>
      </w:r>
    </w:p>
    <w:p w:rsidR="004C57F5" w:rsidRPr="001D200B" w:rsidRDefault="004C57F5" w:rsidP="00370323">
      <w:pPr>
        <w:pStyle w:val="Nagwek2"/>
        <w:rPr>
          <w:rFonts w:cstheme="minorHAnsi"/>
        </w:rPr>
      </w:pPr>
      <w:bookmarkStart w:id="62" w:name="_Toc31972831"/>
      <w:r w:rsidRPr="001D200B">
        <w:rPr>
          <w:rFonts w:cstheme="minorHAnsi"/>
        </w:rPr>
        <w:t>4. Zamierzenia modernizacyjne i inwestycyjne</w:t>
      </w:r>
      <w:bookmarkEnd w:id="62"/>
    </w:p>
    <w:p w:rsidR="004C57F5" w:rsidRPr="001D200B" w:rsidRDefault="004C57F5" w:rsidP="004C57F5">
      <w:pPr>
        <w:rPr>
          <w:rFonts w:cstheme="minorHAnsi"/>
          <w:iCs/>
        </w:rPr>
      </w:pPr>
      <w:r w:rsidRPr="001D200B">
        <w:rPr>
          <w:rFonts w:cstheme="minorHAnsi"/>
          <w:bCs/>
        </w:rPr>
        <w:t>Do zadań inwestycyjnych wyznaczonych na szczeblu krajowym i regionalnym</w:t>
      </w:r>
      <w:r w:rsidRPr="001D200B">
        <w:rPr>
          <w:rFonts w:cstheme="minorHAnsi"/>
          <w:iCs/>
        </w:rPr>
        <w:t xml:space="preserve"> należy zaliczyć przeprowadzenie działań usprawniających stan infrastruktury energetycznej, w tym zapewnienie właściwego dostępu do zaopatrzenia ludności i podmiotów gospodarczych w energię elektryczną oraz poprawę jej jakości. </w:t>
      </w:r>
    </w:p>
    <w:p w:rsidR="004C57F5" w:rsidRPr="001D200B" w:rsidRDefault="004C57F5" w:rsidP="004C57F5">
      <w:pPr>
        <w:rPr>
          <w:rFonts w:cstheme="minorHAnsi"/>
        </w:rPr>
      </w:pPr>
      <w:r w:rsidRPr="001D200B">
        <w:rPr>
          <w:rFonts w:cstheme="minorHAnsi"/>
        </w:rPr>
        <w:t xml:space="preserve">Przez teren gminy przebiegają przesyłowe linie elektroenergetyczne najwyższego napięcia. </w:t>
      </w:r>
      <w:r w:rsidR="003C5EB2" w:rsidRPr="001D200B">
        <w:t>Przedsiębiorstwo energetyczne Polskie Sieci Elektroenergetyczne S.A. nie przedstawiło planów inwestycyjnych w zakresie przebudowy, modernizacji sieci przesyłowych energii elektrycznej na tym terenie.</w:t>
      </w:r>
    </w:p>
    <w:p w:rsidR="003C5EB2" w:rsidRPr="001D200B" w:rsidRDefault="004C57F5" w:rsidP="004C57F5">
      <w:pPr>
        <w:rPr>
          <w:rFonts w:cstheme="minorHAnsi"/>
        </w:rPr>
      </w:pPr>
      <w:r w:rsidRPr="001D200B">
        <w:rPr>
          <w:rFonts w:cstheme="minorHAnsi"/>
        </w:rPr>
        <w:t>Zgodnie z „</w:t>
      </w:r>
      <w:r w:rsidRPr="001D200B">
        <w:rPr>
          <w:rFonts w:cstheme="minorHAnsi"/>
          <w:i/>
        </w:rPr>
        <w:t>Planem Rozwoju na lata 201</w:t>
      </w:r>
      <w:r w:rsidR="003C5EB2" w:rsidRPr="001D200B">
        <w:rPr>
          <w:rFonts w:cstheme="minorHAnsi"/>
          <w:i/>
        </w:rPr>
        <w:t>7</w:t>
      </w:r>
      <w:r w:rsidRPr="001D200B">
        <w:rPr>
          <w:rFonts w:cstheme="minorHAnsi"/>
          <w:i/>
        </w:rPr>
        <w:t xml:space="preserve"> </w:t>
      </w:r>
      <w:r w:rsidR="003C5EB2" w:rsidRPr="001D200B">
        <w:rPr>
          <w:rFonts w:cstheme="minorHAnsi"/>
          <w:i/>
        </w:rPr>
        <w:t>-</w:t>
      </w:r>
      <w:r w:rsidRPr="001D200B">
        <w:rPr>
          <w:rFonts w:cstheme="minorHAnsi"/>
          <w:i/>
        </w:rPr>
        <w:t xml:space="preserve"> 20</w:t>
      </w:r>
      <w:r w:rsidR="003C5EB2" w:rsidRPr="001D200B">
        <w:rPr>
          <w:rFonts w:cstheme="minorHAnsi"/>
          <w:i/>
        </w:rPr>
        <w:t>22</w:t>
      </w:r>
      <w:r w:rsidRPr="001D200B">
        <w:rPr>
          <w:rFonts w:cstheme="minorHAnsi"/>
          <w:i/>
        </w:rPr>
        <w:t xml:space="preserve"> w zakresie zaspokojenia obecnego i przyszłego zapotrzebowania na energię elektryczną</w:t>
      </w:r>
      <w:r w:rsidR="003C5EB2" w:rsidRPr="001D200B">
        <w:rPr>
          <w:rFonts w:cstheme="minorHAnsi"/>
          <w:i/>
        </w:rPr>
        <w:t xml:space="preserve"> PGE Dystrybucja S.A.</w:t>
      </w:r>
      <w:r w:rsidRPr="001D200B">
        <w:rPr>
          <w:rFonts w:cstheme="minorHAnsi"/>
        </w:rPr>
        <w:t>” na terenie gminy Połaniec planowane są następujące zamierzenia inwestycje</w:t>
      </w:r>
      <w:r w:rsidR="00157184" w:rsidRPr="001D200B">
        <w:rPr>
          <w:rFonts w:cstheme="minorHAnsi"/>
        </w:rPr>
        <w:t xml:space="preserve"> (pominięto zadania zrealizowane)</w:t>
      </w:r>
      <w:r w:rsidR="003C5EB2" w:rsidRPr="001D200B">
        <w:rPr>
          <w:rFonts w:cstheme="minorHAnsi"/>
        </w:rPr>
        <w:t>:</w:t>
      </w:r>
    </w:p>
    <w:p w:rsidR="004C57F5" w:rsidRPr="001D200B" w:rsidRDefault="004C57F5" w:rsidP="00F006D6">
      <w:pPr>
        <w:pStyle w:val="Akapitzlist"/>
        <w:rPr>
          <w:u w:val="single"/>
        </w:rPr>
      </w:pPr>
      <w:r w:rsidRPr="001D200B">
        <w:rPr>
          <w:u w:val="single"/>
        </w:rPr>
        <w:t xml:space="preserve"> w zakresie sieci 110kV:</w:t>
      </w:r>
    </w:p>
    <w:p w:rsidR="004C57F5" w:rsidRPr="001D200B" w:rsidRDefault="004C57F5" w:rsidP="00F006D6">
      <w:pPr>
        <w:pStyle w:val="Punktory"/>
        <w:rPr>
          <w:lang w:val="pl-PL"/>
        </w:rPr>
      </w:pPr>
      <w:r w:rsidRPr="001D200B">
        <w:rPr>
          <w:lang w:val="pl-PL"/>
        </w:rPr>
        <w:t xml:space="preserve">budowa stacji 110/15 kV „Połaniec 2” wraz z liniami zasilającymi </w:t>
      </w:r>
      <w:r w:rsidR="003C5EB2" w:rsidRPr="001D200B">
        <w:rPr>
          <w:lang w:val="pl-PL"/>
        </w:rPr>
        <w:t xml:space="preserve">110 kV </w:t>
      </w:r>
      <w:r w:rsidRPr="001D200B">
        <w:rPr>
          <w:lang w:val="pl-PL"/>
        </w:rPr>
        <w:t>(wpięcie w</w:t>
      </w:r>
      <w:r w:rsidR="003C5EB2" w:rsidRPr="001D200B">
        <w:rPr>
          <w:lang w:val="pl-PL"/>
        </w:rPr>
        <w:t> </w:t>
      </w:r>
      <w:r w:rsidRPr="001D200B">
        <w:rPr>
          <w:lang w:val="pl-PL"/>
        </w:rPr>
        <w:t>linię 110kV Połaniec - Grzybów)</w:t>
      </w:r>
      <w:r w:rsidR="003C5EB2" w:rsidRPr="001D200B">
        <w:rPr>
          <w:lang w:val="pl-PL"/>
        </w:rPr>
        <w:t>;</w:t>
      </w:r>
    </w:p>
    <w:p w:rsidR="00157184" w:rsidRPr="001D200B" w:rsidRDefault="00157184" w:rsidP="00F006D6">
      <w:pPr>
        <w:pStyle w:val="Punktory"/>
        <w:rPr>
          <w:lang w:val="pl-PL"/>
        </w:rPr>
      </w:pPr>
      <w:r w:rsidRPr="001D200B">
        <w:rPr>
          <w:lang w:val="pl-PL"/>
        </w:rPr>
        <w:t>modernizacja linii 110 kV Połaniec – Cegielnia Oleśnica o łącznej długości 21 km – dostosowanie linii o przekroju 240mm</w:t>
      </w:r>
      <w:r w:rsidRPr="001D200B">
        <w:rPr>
          <w:vertAlign w:val="superscript"/>
          <w:lang w:val="pl-PL"/>
        </w:rPr>
        <w:t>2</w:t>
      </w:r>
      <w:r w:rsidRPr="001D200B">
        <w:rPr>
          <w:lang w:val="pl-PL"/>
        </w:rPr>
        <w:t xml:space="preserve"> do pracy przewodów roboczych w</w:t>
      </w:r>
      <w:r w:rsidR="00420BD7" w:rsidRPr="001D200B">
        <w:rPr>
          <w:lang w:val="pl-PL"/>
        </w:rPr>
        <w:t> </w:t>
      </w:r>
      <w:r w:rsidRPr="001D200B">
        <w:rPr>
          <w:lang w:val="pl-PL"/>
        </w:rPr>
        <w:t>temperaturze +80</w:t>
      </w:r>
      <w:r w:rsidRPr="001D200B">
        <w:rPr>
          <w:vertAlign w:val="superscript"/>
          <w:lang w:val="pl-PL"/>
        </w:rPr>
        <w:t>o</w:t>
      </w:r>
      <w:r w:rsidRPr="001D200B">
        <w:rPr>
          <w:lang w:val="pl-PL"/>
        </w:rPr>
        <w:t>C</w:t>
      </w:r>
      <w:r w:rsidR="00420BD7" w:rsidRPr="001D200B">
        <w:rPr>
          <w:lang w:val="pl-PL"/>
        </w:rPr>
        <w:t>.</w:t>
      </w:r>
    </w:p>
    <w:p w:rsidR="00420BD7" w:rsidRPr="001D200B" w:rsidRDefault="00420BD7" w:rsidP="00420BD7">
      <w:pPr>
        <w:rPr>
          <w:rFonts w:cstheme="minorHAnsi"/>
        </w:rPr>
      </w:pPr>
      <w:r w:rsidRPr="001D200B">
        <w:rPr>
          <w:rFonts w:cstheme="minorHAnsi"/>
        </w:rPr>
        <w:lastRenderedPageBreak/>
        <w:t>W projekcie Planu Rozwoju na lata 2020-2025 przewidziano zadanie inwestycyjne polegające na modernizacji linii 110kV Połaniec – Mielec Smoczka w zakresie dostosowania odcinka linii o przekroju 240mm</w:t>
      </w:r>
      <w:r w:rsidRPr="001D200B">
        <w:rPr>
          <w:rFonts w:cstheme="minorHAnsi"/>
          <w:vertAlign w:val="superscript"/>
        </w:rPr>
        <w:t>2</w:t>
      </w:r>
      <w:r w:rsidRPr="001D200B">
        <w:rPr>
          <w:rFonts w:cstheme="minorHAnsi"/>
        </w:rPr>
        <w:t xml:space="preserve"> (dł. 9,7 km) do pracy przewodów roboczych w temperaturze +80</w:t>
      </w:r>
      <w:r w:rsidRPr="001D200B">
        <w:rPr>
          <w:rFonts w:cstheme="minorHAnsi"/>
          <w:vertAlign w:val="superscript"/>
        </w:rPr>
        <w:t>o</w:t>
      </w:r>
      <w:r w:rsidRPr="001D200B">
        <w:rPr>
          <w:rFonts w:cstheme="minorHAnsi"/>
        </w:rPr>
        <w:t>C.</w:t>
      </w:r>
    </w:p>
    <w:p w:rsidR="00420BD7" w:rsidRPr="001D200B" w:rsidRDefault="00420BD7" w:rsidP="00F006D6">
      <w:pPr>
        <w:pStyle w:val="Akapitzlist"/>
        <w:rPr>
          <w:u w:val="single"/>
        </w:rPr>
      </w:pPr>
      <w:r w:rsidRPr="001D200B">
        <w:rPr>
          <w:u w:val="single"/>
        </w:rPr>
        <w:t>w zakresie budowy, przebudowy bądź modernizacji sieci średniego i niskiego napięcia:</w:t>
      </w:r>
    </w:p>
    <w:p w:rsidR="00420BD7" w:rsidRPr="001D200B" w:rsidRDefault="00F16296" w:rsidP="00F21741">
      <w:pPr>
        <w:pStyle w:val="Punktatory1"/>
      </w:pPr>
      <w:r w:rsidRPr="001D200B">
        <w:t>budowa nawiązań kablowych 15kV (dł. 11 km) z plan</w:t>
      </w:r>
      <w:r w:rsidR="00EA14B4" w:rsidRPr="001D200B">
        <w:t>owanego</w:t>
      </w:r>
      <w:r w:rsidRPr="001D200B">
        <w:t xml:space="preserve"> GPZ Połaniec;</w:t>
      </w:r>
    </w:p>
    <w:p w:rsidR="00F16296" w:rsidRPr="001D200B" w:rsidRDefault="00F16296" w:rsidP="00F21741">
      <w:pPr>
        <w:pStyle w:val="Punktatory1"/>
      </w:pPr>
      <w:r w:rsidRPr="001D200B">
        <w:t>budowa linii kablowej 15 kV (dł. 0,7km) dla powiązania dwóch magistral Połaniec ODJ1 – Połaniec  ODJ2;</w:t>
      </w:r>
    </w:p>
    <w:p w:rsidR="00F16296" w:rsidRPr="001D200B" w:rsidRDefault="00F16296" w:rsidP="00F21741">
      <w:pPr>
        <w:pStyle w:val="Punktatory1"/>
      </w:pPr>
      <w:r w:rsidRPr="001D200B">
        <w:t>przebudowa odcinka linii napowietrznej 15 kV Połaniec – Rytwiany (dł. 2,9 km);</w:t>
      </w:r>
    </w:p>
    <w:p w:rsidR="00F16296" w:rsidRPr="001D200B" w:rsidRDefault="00F16296" w:rsidP="00F21741">
      <w:pPr>
        <w:pStyle w:val="Punktatory1"/>
      </w:pPr>
      <w:r w:rsidRPr="001D200B">
        <w:t>przebudowa odcinka linii napowietrznej 15kV Grzybów – Sichów (dł. 3,8 km);</w:t>
      </w:r>
    </w:p>
    <w:p w:rsidR="00F16296" w:rsidRPr="001D200B" w:rsidRDefault="00F16296" w:rsidP="00F21741">
      <w:pPr>
        <w:pStyle w:val="Punktatory1"/>
      </w:pPr>
      <w:r w:rsidRPr="001D200B">
        <w:t xml:space="preserve">modernizacja sieci SN i nN w miejscowości Tursko Małe – budowa 3 szt. stacji transf. SN/nN, budowa 1,5 km linii kablowych 15kV, budowa 0,8 km linii kablowych nN, budowa 0,2 km linii napowietrznych nN. </w:t>
      </w:r>
    </w:p>
    <w:p w:rsidR="00F16296" w:rsidRPr="001D200B" w:rsidRDefault="00F16296" w:rsidP="00F006D6">
      <w:pPr>
        <w:pStyle w:val="Akapitzlist"/>
      </w:pPr>
      <w:r w:rsidRPr="001D200B">
        <w:t>w zakresie przyłączeń</w:t>
      </w:r>
      <w:r w:rsidR="000145FA" w:rsidRPr="001D200B">
        <w:t>:</w:t>
      </w:r>
    </w:p>
    <w:tbl>
      <w:tblPr>
        <w:tblStyle w:val="Tabela-Siatka"/>
        <w:tblW w:w="0" w:type="auto"/>
        <w:tblInd w:w="-176" w:type="dxa"/>
        <w:tblLook w:val="04A0"/>
      </w:tblPr>
      <w:tblGrid>
        <w:gridCol w:w="1844"/>
        <w:gridCol w:w="1561"/>
        <w:gridCol w:w="1416"/>
        <w:gridCol w:w="1417"/>
        <w:gridCol w:w="1701"/>
        <w:gridCol w:w="1523"/>
      </w:tblGrid>
      <w:tr w:rsidR="00CB6244" w:rsidRPr="001D200B" w:rsidTr="00CB6244">
        <w:tc>
          <w:tcPr>
            <w:tcW w:w="1844" w:type="dxa"/>
            <w:vMerge w:val="restart"/>
            <w:shd w:val="clear" w:color="auto" w:fill="F2F2F2" w:themeFill="background1" w:themeFillShade="F2"/>
            <w:vAlign w:val="center"/>
          </w:tcPr>
          <w:p w:rsidR="00CB6244" w:rsidRPr="001D200B" w:rsidRDefault="00CB6244" w:rsidP="006B42EC">
            <w:pPr>
              <w:spacing w:before="0" w:after="0" w:line="240" w:lineRule="auto"/>
              <w:jc w:val="center"/>
            </w:pPr>
            <w:r w:rsidRPr="001D200B">
              <w:t>Grupa przyłączeniowa</w:t>
            </w:r>
          </w:p>
        </w:tc>
        <w:tc>
          <w:tcPr>
            <w:tcW w:w="2977" w:type="dxa"/>
            <w:gridSpan w:val="2"/>
            <w:shd w:val="clear" w:color="auto" w:fill="F2F2F2" w:themeFill="background1" w:themeFillShade="F2"/>
          </w:tcPr>
          <w:p w:rsidR="00CB6244" w:rsidRPr="001D200B" w:rsidRDefault="00CB6244" w:rsidP="006B42EC">
            <w:pPr>
              <w:spacing w:before="0" w:after="0" w:line="240" w:lineRule="auto"/>
              <w:jc w:val="center"/>
            </w:pPr>
            <w:r w:rsidRPr="001D200B">
              <w:t>Przyłącza nN</w:t>
            </w:r>
          </w:p>
        </w:tc>
        <w:tc>
          <w:tcPr>
            <w:tcW w:w="4641" w:type="dxa"/>
            <w:gridSpan w:val="3"/>
            <w:shd w:val="clear" w:color="auto" w:fill="F2F2F2" w:themeFill="background1" w:themeFillShade="F2"/>
          </w:tcPr>
          <w:p w:rsidR="00CB6244" w:rsidRPr="001D200B" w:rsidRDefault="00CB6244" w:rsidP="006B42EC">
            <w:pPr>
              <w:spacing w:before="0" w:after="0" w:line="240" w:lineRule="auto"/>
              <w:jc w:val="center"/>
            </w:pPr>
            <w:r w:rsidRPr="001D200B">
              <w:t>Rozbudowa sieci</w:t>
            </w:r>
          </w:p>
        </w:tc>
      </w:tr>
      <w:tr w:rsidR="00CB6244" w:rsidRPr="001D200B" w:rsidTr="00CB6244">
        <w:tc>
          <w:tcPr>
            <w:tcW w:w="1844" w:type="dxa"/>
            <w:vMerge/>
            <w:shd w:val="clear" w:color="auto" w:fill="F2F2F2" w:themeFill="background1" w:themeFillShade="F2"/>
          </w:tcPr>
          <w:p w:rsidR="00CB6244" w:rsidRPr="001D200B" w:rsidRDefault="00CB6244" w:rsidP="006B42EC">
            <w:pPr>
              <w:spacing w:before="0" w:after="0" w:line="240" w:lineRule="auto"/>
            </w:pPr>
          </w:p>
        </w:tc>
        <w:tc>
          <w:tcPr>
            <w:tcW w:w="1561" w:type="dxa"/>
            <w:vAlign w:val="center"/>
          </w:tcPr>
          <w:p w:rsidR="00CB6244" w:rsidRPr="001D200B" w:rsidRDefault="00CB6244" w:rsidP="006B42EC">
            <w:pPr>
              <w:spacing w:before="0" w:after="0" w:line="240" w:lineRule="auto"/>
              <w:jc w:val="center"/>
            </w:pPr>
            <w:r w:rsidRPr="001D200B">
              <w:t>napowietrzne</w:t>
            </w:r>
          </w:p>
          <w:p w:rsidR="00CB6244" w:rsidRPr="001D200B" w:rsidRDefault="00CB6244" w:rsidP="006B42EC">
            <w:pPr>
              <w:spacing w:before="0" w:after="0" w:line="240" w:lineRule="auto"/>
              <w:jc w:val="center"/>
            </w:pPr>
            <w:r w:rsidRPr="001D200B">
              <w:t>[km]</w:t>
            </w:r>
          </w:p>
        </w:tc>
        <w:tc>
          <w:tcPr>
            <w:tcW w:w="1416" w:type="dxa"/>
            <w:vAlign w:val="center"/>
          </w:tcPr>
          <w:p w:rsidR="00CB6244" w:rsidRPr="001D200B" w:rsidRDefault="00CB6244" w:rsidP="006B42EC">
            <w:pPr>
              <w:spacing w:before="0" w:after="0" w:line="240" w:lineRule="auto"/>
              <w:jc w:val="center"/>
            </w:pPr>
            <w:r w:rsidRPr="001D200B">
              <w:t>kablowe [km]</w:t>
            </w:r>
          </w:p>
        </w:tc>
        <w:tc>
          <w:tcPr>
            <w:tcW w:w="1417" w:type="dxa"/>
            <w:vAlign w:val="center"/>
          </w:tcPr>
          <w:p w:rsidR="00CB6244" w:rsidRPr="001D200B" w:rsidRDefault="00CB6244" w:rsidP="006B42EC">
            <w:pPr>
              <w:spacing w:before="0" w:after="0" w:line="240" w:lineRule="auto"/>
              <w:jc w:val="center"/>
            </w:pPr>
            <w:r w:rsidRPr="001D200B">
              <w:t>stacje transf. [szt.]</w:t>
            </w:r>
          </w:p>
        </w:tc>
        <w:tc>
          <w:tcPr>
            <w:tcW w:w="1701" w:type="dxa"/>
            <w:vAlign w:val="center"/>
          </w:tcPr>
          <w:p w:rsidR="00CB6244" w:rsidRPr="001D200B" w:rsidRDefault="006B42EC" w:rsidP="006B42EC">
            <w:pPr>
              <w:spacing w:before="0" w:after="0" w:line="240" w:lineRule="auto"/>
              <w:jc w:val="center"/>
            </w:pPr>
            <w:r w:rsidRPr="001D200B">
              <w:t>l</w:t>
            </w:r>
            <w:r w:rsidR="00CB6244" w:rsidRPr="001D200B">
              <w:t xml:space="preserve">inie SN </w:t>
            </w:r>
          </w:p>
          <w:p w:rsidR="00CB6244" w:rsidRPr="001D200B" w:rsidRDefault="00CB6244" w:rsidP="006B42EC">
            <w:pPr>
              <w:spacing w:before="0" w:after="0" w:line="240" w:lineRule="auto"/>
              <w:jc w:val="center"/>
            </w:pPr>
            <w:r w:rsidRPr="001D200B">
              <w:t>napow./kabl. [km]</w:t>
            </w:r>
          </w:p>
        </w:tc>
        <w:tc>
          <w:tcPr>
            <w:tcW w:w="1523" w:type="dxa"/>
            <w:vAlign w:val="center"/>
          </w:tcPr>
          <w:p w:rsidR="00CB6244" w:rsidRPr="001D200B" w:rsidRDefault="00CB6244" w:rsidP="006B42EC">
            <w:pPr>
              <w:spacing w:before="0" w:after="0" w:line="240" w:lineRule="auto"/>
              <w:jc w:val="center"/>
            </w:pPr>
            <w:r w:rsidRPr="001D200B">
              <w:t xml:space="preserve">inie nN </w:t>
            </w:r>
          </w:p>
          <w:p w:rsidR="00CB6244" w:rsidRPr="001D200B" w:rsidRDefault="00CB6244" w:rsidP="006B42EC">
            <w:pPr>
              <w:spacing w:before="0" w:after="0" w:line="240" w:lineRule="auto"/>
              <w:jc w:val="center"/>
            </w:pPr>
            <w:r w:rsidRPr="001D200B">
              <w:t>napow./kabl. [km]</w:t>
            </w:r>
          </w:p>
        </w:tc>
      </w:tr>
      <w:tr w:rsidR="00CB6244" w:rsidRPr="001D200B" w:rsidTr="00CB6244">
        <w:tc>
          <w:tcPr>
            <w:tcW w:w="1844" w:type="dxa"/>
          </w:tcPr>
          <w:p w:rsidR="00CB6244" w:rsidRPr="001D200B" w:rsidRDefault="00CB6244" w:rsidP="006B42EC">
            <w:pPr>
              <w:spacing w:before="0" w:after="0" w:line="240" w:lineRule="auto"/>
              <w:jc w:val="center"/>
            </w:pPr>
            <w:r w:rsidRPr="001D200B">
              <w:t>IV, V</w:t>
            </w:r>
          </w:p>
        </w:tc>
        <w:tc>
          <w:tcPr>
            <w:tcW w:w="1561" w:type="dxa"/>
          </w:tcPr>
          <w:p w:rsidR="00CB6244" w:rsidRPr="001D200B" w:rsidRDefault="00CB6244" w:rsidP="006B42EC">
            <w:pPr>
              <w:spacing w:before="0" w:after="0" w:line="240" w:lineRule="auto"/>
              <w:jc w:val="center"/>
            </w:pPr>
            <w:r w:rsidRPr="001D200B">
              <w:t>0,55</w:t>
            </w:r>
          </w:p>
        </w:tc>
        <w:tc>
          <w:tcPr>
            <w:tcW w:w="1416" w:type="dxa"/>
          </w:tcPr>
          <w:p w:rsidR="00CB6244" w:rsidRPr="001D200B" w:rsidRDefault="00CB6244" w:rsidP="00CB6244">
            <w:pPr>
              <w:spacing w:before="0" w:after="0" w:line="240" w:lineRule="auto"/>
              <w:jc w:val="center"/>
            </w:pPr>
            <w:r w:rsidRPr="001D200B">
              <w:t>8,0</w:t>
            </w:r>
          </w:p>
        </w:tc>
        <w:tc>
          <w:tcPr>
            <w:tcW w:w="1417" w:type="dxa"/>
          </w:tcPr>
          <w:p w:rsidR="00CB6244" w:rsidRPr="001D200B" w:rsidRDefault="00CB6244" w:rsidP="006B42EC">
            <w:pPr>
              <w:spacing w:before="0" w:after="0" w:line="240" w:lineRule="auto"/>
              <w:jc w:val="center"/>
            </w:pPr>
            <w:r w:rsidRPr="001D200B">
              <w:t>2</w:t>
            </w:r>
          </w:p>
        </w:tc>
        <w:tc>
          <w:tcPr>
            <w:tcW w:w="1701" w:type="dxa"/>
          </w:tcPr>
          <w:p w:rsidR="00CB6244" w:rsidRPr="001D200B" w:rsidRDefault="00CB6244" w:rsidP="00CB6244">
            <w:pPr>
              <w:spacing w:before="0" w:after="0" w:line="240" w:lineRule="auto"/>
              <w:jc w:val="center"/>
            </w:pPr>
            <w:r w:rsidRPr="001D200B">
              <w:t>1,09</w:t>
            </w:r>
          </w:p>
        </w:tc>
        <w:tc>
          <w:tcPr>
            <w:tcW w:w="1523" w:type="dxa"/>
          </w:tcPr>
          <w:p w:rsidR="00CB6244" w:rsidRPr="001D200B" w:rsidRDefault="00CB6244" w:rsidP="006B42EC">
            <w:pPr>
              <w:spacing w:before="0" w:after="0" w:line="240" w:lineRule="auto"/>
              <w:jc w:val="center"/>
            </w:pPr>
            <w:r w:rsidRPr="001D200B">
              <w:t>2,12</w:t>
            </w:r>
          </w:p>
        </w:tc>
      </w:tr>
    </w:tbl>
    <w:p w:rsidR="00CB6244" w:rsidRPr="001D200B" w:rsidRDefault="00CB6244" w:rsidP="00CB6244">
      <w:pPr>
        <w:pStyle w:val="podtabelk"/>
      </w:pPr>
      <w:r w:rsidRPr="001D200B">
        <w:t>Źródło: Dane PGE Dystrybucja S.A. Oddział Rzeszów</w:t>
      </w:r>
    </w:p>
    <w:p w:rsidR="00CB6244" w:rsidRPr="001D200B" w:rsidRDefault="00CB6244" w:rsidP="00CB6244">
      <w:r w:rsidRPr="001D200B">
        <w:t xml:space="preserve">Przedsiębiorstwo energetyczne uzależnia rozbudowę sieci elektroenergetycznej i przyłączenie nowych odbiorców od spełnienia ekonomicznych kryteriów opłacalności dostaw, przy założeniu, że istnieją techniczne warunki realizacji inwestycji. </w:t>
      </w:r>
    </w:p>
    <w:p w:rsidR="00CB6244" w:rsidRPr="001D200B" w:rsidRDefault="00CB6244" w:rsidP="00CB6244">
      <w:pPr>
        <w:rPr>
          <w:snapToGrid w:val="0"/>
        </w:rPr>
      </w:pPr>
      <w:r w:rsidRPr="001D200B">
        <w:t xml:space="preserve">Przeprowadzenie kompleksowych działań usprawniających stan infrastruktury energetycznej, w tym zapewnienie właściwego dostępu do zaopatrzenia ludności i podmiotów gospodarczych w energię elektryczną oraz poprawę jej jakości uznaje się za działania niezbędne dla rozwoju przedmiotowego obszaru, w tym dla </w:t>
      </w:r>
      <w:r w:rsidRPr="001D200B">
        <w:rPr>
          <w:snapToGrid w:val="0"/>
        </w:rPr>
        <w:t xml:space="preserve">rozwoju mieszkalnictwa, unowocześnienia rolnictwa, działalności gospodarczej oraz przyciągnięcia atrakcyjnych inwestycji. </w:t>
      </w:r>
    </w:p>
    <w:p w:rsidR="00CB6244" w:rsidRPr="001D200B" w:rsidRDefault="00CB6244" w:rsidP="00CB6244">
      <w:r w:rsidRPr="001D200B">
        <w:rPr>
          <w:snapToGrid w:val="0"/>
        </w:rPr>
        <w:t xml:space="preserve">W projekcie </w:t>
      </w:r>
      <w:r w:rsidRPr="001D200B">
        <w:rPr>
          <w:i/>
        </w:rPr>
        <w:t xml:space="preserve">Planu Rozwoju na lata 2020-2025 w zakresie zaspokojenia obecnego i przyszłego zapotrzebowania w energię elektryczną PGE Dystrybucja S.A. </w:t>
      </w:r>
      <w:r w:rsidRPr="001D200B">
        <w:t xml:space="preserve">na terenie gminy przewiduje się dalszą realizację zamierzeń inwestycyjnych w zakresie budowy nowych i przebudowy/modernizacji istniejących urządzeń elektroenergetycznych oraz w zakresie przyłączenia nowych odbiorców. </w:t>
      </w:r>
    </w:p>
    <w:p w:rsidR="00044B26" w:rsidRPr="001D200B" w:rsidRDefault="00044B26" w:rsidP="00044B26">
      <w:pPr>
        <w:rPr>
          <w:rFonts w:cstheme="minorHAnsi"/>
        </w:rPr>
      </w:pPr>
      <w:r w:rsidRPr="001D200B">
        <w:rPr>
          <w:rFonts w:cstheme="minorHAnsi"/>
        </w:rPr>
        <w:lastRenderedPageBreak/>
        <w:t xml:space="preserve">Samorząd gminy Połaniec sukcesywnie realizuje inwestycje z zakresu poprawy efektywności energetycznej i wprowadzenia gospodarki niskoemisyjnej. Inwestycje te obejmują również montaż instalacji OZE. </w:t>
      </w:r>
    </w:p>
    <w:p w:rsidR="00044B26" w:rsidRPr="001D200B" w:rsidRDefault="00044B26" w:rsidP="00044B26">
      <w:pPr>
        <w:rPr>
          <w:snapToGrid w:val="0"/>
        </w:rPr>
      </w:pPr>
      <w:r w:rsidRPr="001D200B">
        <w:rPr>
          <w:snapToGrid w:val="0"/>
        </w:rPr>
        <w:t xml:space="preserve">W 2019 roku zakończono realizację zadania pn.: </w:t>
      </w:r>
      <w:r w:rsidRPr="001D200B">
        <w:rPr>
          <w:i/>
          <w:snapToGrid w:val="0"/>
        </w:rPr>
        <w:t>Budowa instalacji fotowoltaicznych na budynkach użyteczności publicznej na terenie Miasta i Gminy Połaniec</w:t>
      </w:r>
      <w:r w:rsidRPr="001D200B">
        <w:rPr>
          <w:b/>
          <w:snapToGrid w:val="0"/>
        </w:rPr>
        <w:t xml:space="preserve"> </w:t>
      </w:r>
      <w:r w:rsidRPr="001D200B">
        <w:rPr>
          <w:snapToGrid w:val="0"/>
        </w:rPr>
        <w:t xml:space="preserve">w ramach Projektu Partnerskiego pn. </w:t>
      </w:r>
      <w:r w:rsidRPr="001D200B">
        <w:rPr>
          <w:i/>
          <w:snapToGrid w:val="0"/>
        </w:rPr>
        <w:t>Budowa instalacji fotowoltaicznych na obiektach użyteczności publicznej Powiatu Staszowskiego i Gminy Połaniec</w:t>
      </w:r>
      <w:r w:rsidRPr="001D200B">
        <w:rPr>
          <w:b/>
          <w:snapToGrid w:val="0"/>
        </w:rPr>
        <w:t xml:space="preserve"> </w:t>
      </w:r>
      <w:r w:rsidRPr="001D200B">
        <w:rPr>
          <w:snapToGrid w:val="0"/>
        </w:rPr>
        <w:t>współfinansowanego z EFRR, w ramach RPOWŚ na lata 2014 – 2020. W mikroinstalacje PV wyposażono obiekty gminne:</w:t>
      </w:r>
    </w:p>
    <w:p w:rsidR="00044B26" w:rsidRPr="001D200B" w:rsidRDefault="00044B26" w:rsidP="00044B26">
      <w:pPr>
        <w:pStyle w:val="Akapitzlist"/>
        <w:numPr>
          <w:ilvl w:val="0"/>
          <w:numId w:val="38"/>
        </w:numPr>
        <w:rPr>
          <w:szCs w:val="24"/>
          <w:shd w:val="clear" w:color="auto" w:fill="FFFFFF"/>
        </w:rPr>
      </w:pPr>
      <w:r w:rsidRPr="001D200B">
        <w:rPr>
          <w:szCs w:val="24"/>
          <w:shd w:val="clear" w:color="auto" w:fill="FFFFFF"/>
        </w:rPr>
        <w:t>Publiczna Szkoła Podstawowa w Połańcu</w:t>
      </w:r>
      <w:r w:rsidR="0057382A" w:rsidRPr="001D200B">
        <w:rPr>
          <w:szCs w:val="24"/>
          <w:shd w:val="clear" w:color="auto" w:fill="FFFFFF"/>
        </w:rPr>
        <w:t xml:space="preserve"> – instalacja o mocy 33,55kW</w:t>
      </w:r>
      <w:r w:rsidRPr="001D200B">
        <w:rPr>
          <w:szCs w:val="24"/>
          <w:shd w:val="clear" w:color="auto" w:fill="FFFFFF"/>
        </w:rPr>
        <w:t>,</w:t>
      </w:r>
    </w:p>
    <w:p w:rsidR="00044B26" w:rsidRPr="001D200B" w:rsidRDefault="00044B26" w:rsidP="00044B26">
      <w:pPr>
        <w:pStyle w:val="Akapitzlist"/>
        <w:numPr>
          <w:ilvl w:val="0"/>
          <w:numId w:val="38"/>
        </w:numPr>
        <w:rPr>
          <w:szCs w:val="24"/>
          <w:shd w:val="clear" w:color="auto" w:fill="FFFFFF"/>
        </w:rPr>
      </w:pPr>
      <w:r w:rsidRPr="001D200B">
        <w:rPr>
          <w:szCs w:val="24"/>
          <w:shd w:val="clear" w:color="auto" w:fill="FFFFFF"/>
        </w:rPr>
        <w:t>Centrum Kultury i Sztuki w Połańcu</w:t>
      </w:r>
      <w:r w:rsidR="0057382A" w:rsidRPr="001D200B">
        <w:rPr>
          <w:szCs w:val="24"/>
          <w:shd w:val="clear" w:color="auto" w:fill="FFFFFF"/>
        </w:rPr>
        <w:t xml:space="preserve"> – instalacja o mocy 22kW,</w:t>
      </w:r>
    </w:p>
    <w:p w:rsidR="00044B26" w:rsidRPr="001D200B" w:rsidRDefault="00044B26" w:rsidP="00044B26">
      <w:pPr>
        <w:pStyle w:val="Akapitzlist"/>
        <w:numPr>
          <w:ilvl w:val="0"/>
          <w:numId w:val="38"/>
        </w:numPr>
        <w:rPr>
          <w:szCs w:val="24"/>
          <w:shd w:val="clear" w:color="auto" w:fill="FFFFFF"/>
        </w:rPr>
      </w:pPr>
      <w:r w:rsidRPr="001D200B">
        <w:rPr>
          <w:szCs w:val="24"/>
          <w:shd w:val="clear" w:color="auto" w:fill="FFFFFF"/>
        </w:rPr>
        <w:t>Budynek Świetlicy Środowiskowej w Połańcu</w:t>
      </w:r>
      <w:r w:rsidR="0057382A" w:rsidRPr="001D200B">
        <w:rPr>
          <w:szCs w:val="24"/>
          <w:shd w:val="clear" w:color="auto" w:fill="FFFFFF"/>
        </w:rPr>
        <w:t xml:space="preserve"> – instalacja o mocy 7,42kW</w:t>
      </w:r>
      <w:r w:rsidRPr="001D200B">
        <w:rPr>
          <w:szCs w:val="24"/>
          <w:shd w:val="clear" w:color="auto" w:fill="FFFFFF"/>
        </w:rPr>
        <w:t xml:space="preserve">, </w:t>
      </w:r>
    </w:p>
    <w:p w:rsidR="00044B26" w:rsidRPr="001D200B" w:rsidRDefault="00044B26" w:rsidP="00044B26">
      <w:pPr>
        <w:pStyle w:val="Akapitzlist"/>
        <w:numPr>
          <w:ilvl w:val="0"/>
          <w:numId w:val="38"/>
        </w:numPr>
        <w:rPr>
          <w:szCs w:val="24"/>
          <w:shd w:val="clear" w:color="auto" w:fill="FFFFFF"/>
        </w:rPr>
      </w:pPr>
      <w:r w:rsidRPr="001D200B">
        <w:rPr>
          <w:szCs w:val="24"/>
          <w:shd w:val="clear" w:color="auto" w:fill="FFFFFF"/>
        </w:rPr>
        <w:t xml:space="preserve">Zespół </w:t>
      </w:r>
      <w:r w:rsidR="00EA7490" w:rsidRPr="001D200B">
        <w:rPr>
          <w:szCs w:val="24"/>
          <w:shd w:val="clear" w:color="auto" w:fill="FFFFFF"/>
        </w:rPr>
        <w:t xml:space="preserve">Placówek Oświatowych w Ruszczy </w:t>
      </w:r>
      <w:r w:rsidR="0081710E" w:rsidRPr="001D200B">
        <w:rPr>
          <w:szCs w:val="24"/>
          <w:shd w:val="clear" w:color="auto" w:fill="FFFFFF"/>
        </w:rPr>
        <w:t>–</w:t>
      </w:r>
      <w:r w:rsidR="00EA7490" w:rsidRPr="001D200B">
        <w:rPr>
          <w:szCs w:val="24"/>
          <w:shd w:val="clear" w:color="auto" w:fill="FFFFFF"/>
        </w:rPr>
        <w:t xml:space="preserve"> </w:t>
      </w:r>
      <w:r w:rsidR="0081710E" w:rsidRPr="001D200B">
        <w:rPr>
          <w:szCs w:val="24"/>
          <w:shd w:val="clear" w:color="auto" w:fill="FFFFFF"/>
        </w:rPr>
        <w:t>instalacja o mocy 13,2 kW,</w:t>
      </w:r>
    </w:p>
    <w:p w:rsidR="00044B26" w:rsidRPr="001D200B" w:rsidRDefault="00044B26" w:rsidP="00044B26">
      <w:pPr>
        <w:pStyle w:val="Akapitzlist"/>
        <w:numPr>
          <w:ilvl w:val="0"/>
          <w:numId w:val="38"/>
        </w:numPr>
        <w:rPr>
          <w:szCs w:val="24"/>
          <w:shd w:val="clear" w:color="auto" w:fill="FFFFFF"/>
        </w:rPr>
      </w:pPr>
      <w:r w:rsidRPr="001D200B">
        <w:rPr>
          <w:szCs w:val="24"/>
          <w:shd w:val="clear" w:color="auto" w:fill="FFFFFF"/>
        </w:rPr>
        <w:t>Publiczne Przedszkole</w:t>
      </w:r>
      <w:r w:rsidR="0081710E" w:rsidRPr="001D200B">
        <w:rPr>
          <w:szCs w:val="24"/>
          <w:shd w:val="clear" w:color="auto" w:fill="FFFFFF"/>
        </w:rPr>
        <w:t xml:space="preserve"> w Połańcu – instalacja o mocy 22kW,</w:t>
      </w:r>
    </w:p>
    <w:p w:rsidR="00044B26" w:rsidRPr="001D200B" w:rsidRDefault="00044B26" w:rsidP="00044B26">
      <w:pPr>
        <w:pStyle w:val="Akapitzlist"/>
        <w:numPr>
          <w:ilvl w:val="0"/>
          <w:numId w:val="38"/>
        </w:numPr>
        <w:rPr>
          <w:szCs w:val="24"/>
          <w:shd w:val="clear" w:color="auto" w:fill="FFFFFF"/>
        </w:rPr>
      </w:pPr>
      <w:r w:rsidRPr="001D200B">
        <w:rPr>
          <w:szCs w:val="24"/>
          <w:shd w:val="clear" w:color="auto" w:fill="FFFFFF"/>
        </w:rPr>
        <w:t>Środowiskowy Dom</w:t>
      </w:r>
      <w:r w:rsidR="0081710E" w:rsidRPr="001D200B">
        <w:rPr>
          <w:szCs w:val="24"/>
          <w:shd w:val="clear" w:color="auto" w:fill="FFFFFF"/>
        </w:rPr>
        <w:t xml:space="preserve"> Samopomocy w Połańcu – instalacja o mocy 5,5 kW,</w:t>
      </w:r>
    </w:p>
    <w:p w:rsidR="00044B26" w:rsidRPr="001D200B" w:rsidRDefault="00044B26" w:rsidP="00044B26">
      <w:pPr>
        <w:pStyle w:val="Akapitzlist"/>
        <w:numPr>
          <w:ilvl w:val="0"/>
          <w:numId w:val="38"/>
        </w:numPr>
        <w:rPr>
          <w:szCs w:val="24"/>
          <w:shd w:val="clear" w:color="auto" w:fill="FFFFFF"/>
        </w:rPr>
      </w:pPr>
      <w:r w:rsidRPr="001D200B">
        <w:rPr>
          <w:szCs w:val="24"/>
          <w:shd w:val="clear" w:color="auto" w:fill="FFFFFF"/>
        </w:rPr>
        <w:t>Przychodnia Zdrowia w Połańcu</w:t>
      </w:r>
      <w:r w:rsidR="0081710E" w:rsidRPr="001D200B">
        <w:rPr>
          <w:szCs w:val="24"/>
          <w:shd w:val="clear" w:color="auto" w:fill="FFFFFF"/>
        </w:rPr>
        <w:t xml:space="preserve"> – instalacja o mocy 6,6kW.</w:t>
      </w:r>
    </w:p>
    <w:p w:rsidR="00044B26" w:rsidRPr="001D200B" w:rsidRDefault="00F87663" w:rsidP="00044B26">
      <w:pPr>
        <w:rPr>
          <w:rFonts w:cstheme="minorHAnsi"/>
          <w:szCs w:val="24"/>
          <w:shd w:val="clear" w:color="auto" w:fill="FFFFFF"/>
        </w:rPr>
      </w:pPr>
      <w:r w:rsidRPr="001D200B">
        <w:rPr>
          <w:rFonts w:cstheme="minorHAnsi"/>
          <w:szCs w:val="24"/>
          <w:shd w:val="clear" w:color="auto" w:fill="FFFFFF"/>
        </w:rPr>
        <w:t xml:space="preserve">Łączna moc mikroinstalcaji wynosi 110,27kWp, natomiast przewidywana produkcja energii elektrycznej to około 102,5MWh/rok. </w:t>
      </w:r>
    </w:p>
    <w:p w:rsidR="00044B26" w:rsidRPr="001D200B" w:rsidRDefault="00044B26" w:rsidP="00CB6244"/>
    <w:p w:rsidR="00002FC3" w:rsidRPr="001D200B" w:rsidRDefault="005C3EE4" w:rsidP="00433B35">
      <w:pPr>
        <w:rPr>
          <w:rFonts w:cstheme="minorHAnsi"/>
        </w:rPr>
      </w:pPr>
      <w:r w:rsidRPr="001D200B">
        <w:rPr>
          <w:rFonts w:cstheme="minorHAnsi"/>
        </w:rPr>
        <w:t>G</w:t>
      </w:r>
      <w:r w:rsidR="00002FC3" w:rsidRPr="001D200B">
        <w:rPr>
          <w:rFonts w:cstheme="minorHAnsi"/>
        </w:rPr>
        <w:t xml:space="preserve">mina Połaniec </w:t>
      </w:r>
      <w:r w:rsidRPr="001D200B">
        <w:rPr>
          <w:rFonts w:cstheme="minorHAnsi"/>
        </w:rPr>
        <w:t xml:space="preserve">przystąpiła do </w:t>
      </w:r>
      <w:r w:rsidR="00002FC3" w:rsidRPr="001D200B">
        <w:rPr>
          <w:rFonts w:cstheme="minorHAnsi"/>
        </w:rPr>
        <w:t>realiz</w:t>
      </w:r>
      <w:r w:rsidRPr="001D200B">
        <w:rPr>
          <w:rFonts w:cstheme="minorHAnsi"/>
        </w:rPr>
        <w:t>acji</w:t>
      </w:r>
      <w:r w:rsidR="00002FC3" w:rsidRPr="001D200B">
        <w:rPr>
          <w:rFonts w:cstheme="minorHAnsi"/>
        </w:rPr>
        <w:t xml:space="preserve"> </w:t>
      </w:r>
      <w:r w:rsidR="000D5C08" w:rsidRPr="001D200B">
        <w:rPr>
          <w:rFonts w:cstheme="minorHAnsi"/>
        </w:rPr>
        <w:t>projektu</w:t>
      </w:r>
      <w:r w:rsidRPr="001D200B">
        <w:rPr>
          <w:rFonts w:cstheme="minorHAnsi"/>
        </w:rPr>
        <w:t xml:space="preserve"> inwestycyjnego </w:t>
      </w:r>
      <w:r w:rsidR="00002FC3" w:rsidRPr="001D200B">
        <w:rPr>
          <w:rFonts w:cstheme="minorHAnsi"/>
        </w:rPr>
        <w:t xml:space="preserve">pn.: </w:t>
      </w:r>
      <w:r w:rsidR="00002FC3" w:rsidRPr="001D200B">
        <w:rPr>
          <w:rFonts w:cstheme="minorHAnsi"/>
          <w:i/>
        </w:rPr>
        <w:t>Modernizacja oświetlenia na terenie Gminy Połaniec</w:t>
      </w:r>
      <w:r w:rsidR="005C3BC3" w:rsidRPr="001D200B">
        <w:rPr>
          <w:rFonts w:cstheme="minorHAnsi"/>
          <w:i/>
        </w:rPr>
        <w:t xml:space="preserve">, </w:t>
      </w:r>
      <w:r w:rsidR="000D5C08" w:rsidRPr="001D200B">
        <w:rPr>
          <w:rFonts w:cstheme="minorHAnsi"/>
        </w:rPr>
        <w:t>któr</w:t>
      </w:r>
      <w:r w:rsidR="000116DB" w:rsidRPr="001D200B">
        <w:rPr>
          <w:rFonts w:cstheme="minorHAnsi"/>
        </w:rPr>
        <w:t xml:space="preserve">ego głównym założeniem jest uzysk znacznych oszczędności energii elektrycznej poprzez wymianę przestarzałych i </w:t>
      </w:r>
      <w:r w:rsidR="005C3BC3" w:rsidRPr="001D200B">
        <w:rPr>
          <w:rFonts w:cstheme="minorHAnsi"/>
        </w:rPr>
        <w:t>energochłonnych lamp oświetleniowych</w:t>
      </w:r>
      <w:r w:rsidR="00002FC3" w:rsidRPr="001D200B">
        <w:rPr>
          <w:rFonts w:cstheme="minorHAnsi"/>
        </w:rPr>
        <w:t>.</w:t>
      </w:r>
      <w:r w:rsidRPr="001D200B">
        <w:rPr>
          <w:rFonts w:cstheme="minorHAnsi"/>
        </w:rPr>
        <w:t xml:space="preserve"> W ramach projektu przewidziano</w:t>
      </w:r>
      <w:r w:rsidR="00374392" w:rsidRPr="001D200B">
        <w:rPr>
          <w:rFonts w:cstheme="minorHAnsi"/>
        </w:rPr>
        <w:t xml:space="preserve"> m.in.</w:t>
      </w:r>
      <w:r w:rsidRPr="001D200B">
        <w:rPr>
          <w:rFonts w:cstheme="minorHAnsi"/>
        </w:rPr>
        <w:t xml:space="preserve">: </w:t>
      </w:r>
    </w:p>
    <w:p w:rsidR="005C3EE4" w:rsidRPr="001D200B" w:rsidRDefault="005C3EE4" w:rsidP="005C3EE4">
      <w:pPr>
        <w:pStyle w:val="Akapitzlist"/>
        <w:numPr>
          <w:ilvl w:val="0"/>
          <w:numId w:val="39"/>
        </w:numPr>
        <w:rPr>
          <w:rFonts w:cstheme="minorHAnsi"/>
        </w:rPr>
      </w:pPr>
      <w:r w:rsidRPr="001D200B">
        <w:rPr>
          <w:rFonts w:cstheme="minorHAnsi"/>
        </w:rPr>
        <w:t xml:space="preserve">montaż </w:t>
      </w:r>
      <w:r w:rsidR="00374392" w:rsidRPr="001D200B">
        <w:rPr>
          <w:rFonts w:cstheme="minorHAnsi"/>
        </w:rPr>
        <w:t>energooszczędnych opraw oświetlenia ulicznego typu LED, w ilości 1975 szt.;</w:t>
      </w:r>
    </w:p>
    <w:p w:rsidR="00374392" w:rsidRPr="001D200B" w:rsidRDefault="00374392" w:rsidP="005C3EE4">
      <w:pPr>
        <w:pStyle w:val="Akapitzlist"/>
        <w:numPr>
          <w:ilvl w:val="0"/>
          <w:numId w:val="39"/>
        </w:numPr>
        <w:rPr>
          <w:rFonts w:cstheme="minorHAnsi"/>
        </w:rPr>
      </w:pPr>
      <w:r w:rsidRPr="001D200B">
        <w:rPr>
          <w:rFonts w:cstheme="minorHAnsi"/>
        </w:rPr>
        <w:t>budowę 2 latarni zasilanych OZE (solarno – wiatrowych)</w:t>
      </w:r>
      <w:r w:rsidR="000116DB" w:rsidRPr="001D200B">
        <w:rPr>
          <w:rFonts w:cstheme="minorHAnsi"/>
        </w:rPr>
        <w:t>;</w:t>
      </w:r>
    </w:p>
    <w:p w:rsidR="000116DB" w:rsidRPr="001D200B" w:rsidRDefault="000116DB" w:rsidP="005C3EE4">
      <w:pPr>
        <w:pStyle w:val="Akapitzlist"/>
        <w:numPr>
          <w:ilvl w:val="0"/>
          <w:numId w:val="39"/>
        </w:numPr>
        <w:rPr>
          <w:rFonts w:cstheme="minorHAnsi"/>
        </w:rPr>
      </w:pPr>
      <w:r w:rsidRPr="001D200B">
        <w:rPr>
          <w:rFonts w:cstheme="minorHAnsi"/>
        </w:rPr>
        <w:t>wymianę linii zasilających nN oraz słupów energetycznych znajdujących się w złym stanie technicznym.</w:t>
      </w:r>
    </w:p>
    <w:p w:rsidR="00374392" w:rsidRPr="001D200B" w:rsidRDefault="00374392" w:rsidP="00374392">
      <w:pPr>
        <w:rPr>
          <w:rFonts w:cstheme="minorHAnsi"/>
        </w:rPr>
      </w:pPr>
      <w:r w:rsidRPr="001D200B">
        <w:t xml:space="preserve">Inwestycja uzyskała dofinansowanie z EFRR w ramach RPO WŚ na lata 2014–2020. </w:t>
      </w:r>
      <w:r w:rsidR="000116DB" w:rsidRPr="001D200B">
        <w:t>Planowany</w:t>
      </w:r>
      <w:r w:rsidR="005C3BC3" w:rsidRPr="001D200B">
        <w:t xml:space="preserve"> termin zakończenia </w:t>
      </w:r>
      <w:r w:rsidR="000116DB" w:rsidRPr="001D200B">
        <w:t xml:space="preserve">przedsięwzięcia </w:t>
      </w:r>
      <w:r w:rsidR="005C3BC3" w:rsidRPr="001D200B">
        <w:t xml:space="preserve">to I kwartał 2021r. </w:t>
      </w:r>
    </w:p>
    <w:p w:rsidR="004C57F5" w:rsidRPr="001D200B" w:rsidRDefault="004C57F5" w:rsidP="00412E46">
      <w:pPr>
        <w:pStyle w:val="Nagwek2"/>
        <w:numPr>
          <w:ilvl w:val="0"/>
          <w:numId w:val="23"/>
        </w:numPr>
        <w:ind w:left="0" w:firstLine="0"/>
      </w:pPr>
      <w:bookmarkStart w:id="63" w:name="_Toc31972832"/>
      <w:r w:rsidRPr="001D200B">
        <w:t>Tereny rozwojowe gminy Połaniec</w:t>
      </w:r>
      <w:bookmarkEnd w:id="63"/>
    </w:p>
    <w:p w:rsidR="004C57F5" w:rsidRPr="001D200B" w:rsidRDefault="004C57F5" w:rsidP="004C57F5">
      <w:pPr>
        <w:rPr>
          <w:rFonts w:cstheme="minorHAnsi"/>
        </w:rPr>
      </w:pPr>
      <w:r w:rsidRPr="001D200B">
        <w:rPr>
          <w:rFonts w:cstheme="minorHAnsi"/>
        </w:rPr>
        <w:t>Politykę przestrzenną i kierunki zagospodarowania przestrzennego terenu gminy określa podstawowy akt planistyczny, tj. studium uwarunkowań i kierunków zagospodarowania przestrzennego. Teren gminy Połaniec, zgodnie z dokumentem „</w:t>
      </w:r>
      <w:r w:rsidR="003556EE" w:rsidRPr="001D200B">
        <w:rPr>
          <w:rFonts w:cstheme="minorHAnsi"/>
        </w:rPr>
        <w:t>S</w:t>
      </w:r>
      <w:r w:rsidRPr="001D200B">
        <w:rPr>
          <w:rFonts w:cstheme="minorHAnsi"/>
        </w:rPr>
        <w:t>tudium uwarunkowań i</w:t>
      </w:r>
      <w:r w:rsidR="00CA2A6D" w:rsidRPr="001D200B">
        <w:rPr>
          <w:rFonts w:cstheme="minorHAnsi"/>
        </w:rPr>
        <w:t> </w:t>
      </w:r>
      <w:r w:rsidRPr="001D200B">
        <w:rPr>
          <w:rFonts w:cstheme="minorHAnsi"/>
        </w:rPr>
        <w:t>kierunków zagospodarowania przestrzennego Gminy Połaniec</w:t>
      </w:r>
      <w:r w:rsidR="003556EE" w:rsidRPr="001D200B">
        <w:rPr>
          <w:rFonts w:cstheme="minorHAnsi"/>
        </w:rPr>
        <w:t xml:space="preserve"> (Uchwała Nr XXXI/199/2016 z dnia 27 października 2016r.)</w:t>
      </w:r>
      <w:r w:rsidRPr="001D200B">
        <w:rPr>
          <w:rFonts w:cstheme="minorHAnsi"/>
        </w:rPr>
        <w:t xml:space="preserve">, podzielony został na strefy polityki przestrzennej: </w:t>
      </w:r>
    </w:p>
    <w:p w:rsidR="004C57F5" w:rsidRPr="001D200B" w:rsidRDefault="004C57F5" w:rsidP="000503B3">
      <w:pPr>
        <w:pStyle w:val="Akapitzlist"/>
      </w:pPr>
      <w:r w:rsidRPr="001D200B">
        <w:t>strefy osadniczo-miejskie – zwi</w:t>
      </w:r>
      <w:r w:rsidR="00CA2A6D" w:rsidRPr="001D200B">
        <w:t>ązane z rozwojem miasta Połańca.</w:t>
      </w:r>
    </w:p>
    <w:p w:rsidR="004C57F5" w:rsidRPr="001D200B" w:rsidRDefault="004C57F5" w:rsidP="000503B3">
      <w:pPr>
        <w:pStyle w:val="Akapitzlist"/>
      </w:pPr>
      <w:r w:rsidRPr="001D200B">
        <w:lastRenderedPageBreak/>
        <w:t xml:space="preserve">strefy rolniczo-osadnicze – obejmujące tereny rolne i zabudowy wsi. </w:t>
      </w:r>
    </w:p>
    <w:p w:rsidR="004C57F5" w:rsidRPr="001D200B" w:rsidRDefault="004C57F5" w:rsidP="000503B3">
      <w:pPr>
        <w:pStyle w:val="Akapitzlist"/>
      </w:pPr>
      <w:r w:rsidRPr="001D200B">
        <w:t>strefy przemysłowe.</w:t>
      </w:r>
    </w:p>
    <w:p w:rsidR="004C57F5" w:rsidRPr="001D200B" w:rsidRDefault="004C57F5" w:rsidP="000503B3">
      <w:pPr>
        <w:pStyle w:val="Akapitzlist"/>
      </w:pPr>
      <w:r w:rsidRPr="001D200B">
        <w:t>strefy przyrodnicze.</w:t>
      </w:r>
    </w:p>
    <w:p w:rsidR="004C57F5" w:rsidRPr="001D200B" w:rsidRDefault="004C57F5" w:rsidP="000503B3">
      <w:r w:rsidRPr="001D200B">
        <w:rPr>
          <w:rFonts w:cstheme="minorHAnsi"/>
        </w:rPr>
        <w:t>Tereny rozwojowe na terenie gminy, które w momencie pojawienia się inwestora wymagać będą zasilania w energię elekt</w:t>
      </w:r>
      <w:r w:rsidR="000503B3" w:rsidRPr="001D200B">
        <w:rPr>
          <w:rFonts w:cstheme="minorHAnsi"/>
        </w:rPr>
        <w:t xml:space="preserve">ryczną dotyczą głównie zabudowy </w:t>
      </w:r>
      <w:r w:rsidRPr="001D200B">
        <w:t>mieszkaniowej</w:t>
      </w:r>
      <w:r w:rsidR="000503B3" w:rsidRPr="001D200B">
        <w:t xml:space="preserve"> (również z usługami) oraz inwestycje gospodarcze (z reguły działalność produkcyjną)</w:t>
      </w:r>
      <w:r w:rsidRPr="001D200B">
        <w:t>.</w:t>
      </w:r>
    </w:p>
    <w:p w:rsidR="003556EE" w:rsidRPr="001D200B" w:rsidRDefault="003556EE" w:rsidP="003556EE">
      <w:pPr>
        <w:rPr>
          <w:sz w:val="22"/>
          <w:szCs w:val="22"/>
        </w:rPr>
      </w:pPr>
      <w:r w:rsidRPr="001D200B">
        <w:t>Rozwój budownictwa wiąże się z planowaniem zaopatrzenia w energię rozwijających się terenów. Tereny rozwojowe gminy, które wymagać będą zasilania w</w:t>
      </w:r>
      <w:r w:rsidR="00116572" w:rsidRPr="001D200B">
        <w:t xml:space="preserve"> </w:t>
      </w:r>
      <w:r w:rsidRPr="001D200B">
        <w:t xml:space="preserve">energię elektryczną to głównie tereny pod inwestycje mieszkaniowe (również z usługami) oraz inwestycje gospodarcze (z reguły działalność produkcyjną). Według prawa energetycznego jest to zadanie własne gminy, którego realizacji (za przyzwoleniem gminy) podjąć się mają odpowiednie przedsiębiorstwa energetyczne. </w:t>
      </w:r>
    </w:p>
    <w:p w:rsidR="004C57F5" w:rsidRPr="001D200B" w:rsidRDefault="004C57F5" w:rsidP="004C57F5">
      <w:pPr>
        <w:rPr>
          <w:rFonts w:cstheme="minorHAnsi"/>
        </w:rPr>
      </w:pPr>
      <w:r w:rsidRPr="001D200B">
        <w:rPr>
          <w:rFonts w:cstheme="minorHAnsi"/>
        </w:rPr>
        <w:t xml:space="preserve">Charakterystykę terenów przewidzianych do zainwestowania oraz wielkości szacunkowe zapotrzebowania na energię elektryczną przedstawiono w tabeli. </w:t>
      </w:r>
    </w:p>
    <w:p w:rsidR="004C57F5" w:rsidRPr="001D200B" w:rsidRDefault="004C57F5" w:rsidP="004C57F5">
      <w:pPr>
        <w:rPr>
          <w:rFonts w:cstheme="minorHAnsi"/>
        </w:rPr>
        <w:sectPr w:rsidR="004C57F5" w:rsidRPr="001D200B" w:rsidSect="0098674C">
          <w:pgSz w:w="11906" w:h="16838"/>
          <w:pgMar w:top="1418" w:right="1418" w:bottom="1418" w:left="1418" w:header="709" w:footer="709" w:gutter="0"/>
          <w:cols w:space="708"/>
          <w:docGrid w:linePitch="360"/>
        </w:sectPr>
      </w:pPr>
    </w:p>
    <w:p w:rsidR="004C57F5" w:rsidRPr="001D200B" w:rsidRDefault="004C57F5" w:rsidP="000E428C">
      <w:pPr>
        <w:pStyle w:val="Tytu"/>
        <w:rPr>
          <w:rFonts w:cstheme="minorHAnsi"/>
          <w:b/>
        </w:rPr>
      </w:pPr>
      <w:bookmarkStart w:id="64" w:name="_Toc39476574"/>
      <w:r w:rsidRPr="001D200B">
        <w:rPr>
          <w:rFonts w:cstheme="minorHAnsi"/>
          <w:b/>
        </w:rPr>
        <w:lastRenderedPageBreak/>
        <w:t xml:space="preserve">Tabela </w:t>
      </w:r>
      <w:r w:rsidR="005B7234" w:rsidRPr="001D200B">
        <w:rPr>
          <w:rFonts w:cstheme="minorHAnsi"/>
          <w:b/>
        </w:rPr>
        <w:fldChar w:fldCharType="begin"/>
      </w:r>
      <w:r w:rsidR="00F200FE" w:rsidRPr="001D200B">
        <w:rPr>
          <w:rFonts w:cstheme="minorHAnsi"/>
          <w:b/>
        </w:rPr>
        <w:instrText xml:space="preserve"> SEQ Tabela \* ARABIC </w:instrText>
      </w:r>
      <w:r w:rsidR="005B7234" w:rsidRPr="001D200B">
        <w:rPr>
          <w:rFonts w:cstheme="minorHAnsi"/>
          <w:b/>
        </w:rPr>
        <w:fldChar w:fldCharType="separate"/>
      </w:r>
      <w:r w:rsidR="00D2721B" w:rsidRPr="001D200B">
        <w:rPr>
          <w:rFonts w:cstheme="minorHAnsi"/>
          <w:b/>
          <w:noProof/>
        </w:rPr>
        <w:t>22</w:t>
      </w:r>
      <w:r w:rsidR="005B7234" w:rsidRPr="001D200B">
        <w:rPr>
          <w:rFonts w:cstheme="minorHAnsi"/>
          <w:b/>
        </w:rPr>
        <w:fldChar w:fldCharType="end"/>
      </w:r>
      <w:r w:rsidRPr="001D200B">
        <w:rPr>
          <w:rFonts w:cstheme="minorHAnsi"/>
          <w:b/>
        </w:rPr>
        <w:t>. Tereny rozwojowe gminy Połaniec</w:t>
      </w:r>
      <w:bookmarkEnd w:id="64"/>
    </w:p>
    <w:tbl>
      <w:tblPr>
        <w:tblW w:w="1474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9"/>
        <w:gridCol w:w="992"/>
        <w:gridCol w:w="1134"/>
        <w:gridCol w:w="8080"/>
        <w:gridCol w:w="1559"/>
        <w:gridCol w:w="142"/>
        <w:gridCol w:w="1417"/>
      </w:tblGrid>
      <w:tr w:rsidR="004C57F5" w:rsidRPr="001D200B" w:rsidTr="00BC38E9">
        <w:trPr>
          <w:tblHeader/>
        </w:trPr>
        <w:tc>
          <w:tcPr>
            <w:tcW w:w="1419" w:type="dxa"/>
            <w:vAlign w:val="center"/>
          </w:tcPr>
          <w:p w:rsidR="004C57F5" w:rsidRPr="001D200B" w:rsidRDefault="004C57F5" w:rsidP="00324F3E">
            <w:pPr>
              <w:spacing w:before="0" w:after="0" w:line="240" w:lineRule="auto"/>
              <w:jc w:val="center"/>
              <w:rPr>
                <w:rFonts w:cstheme="minorHAnsi"/>
                <w:b/>
                <w:bCs/>
                <w:sz w:val="22"/>
                <w:szCs w:val="22"/>
              </w:rPr>
            </w:pPr>
            <w:r w:rsidRPr="001D200B">
              <w:rPr>
                <w:rFonts w:cstheme="minorHAnsi"/>
                <w:b/>
                <w:bCs/>
                <w:sz w:val="22"/>
                <w:szCs w:val="22"/>
              </w:rPr>
              <w:t>Lokalizacja</w:t>
            </w:r>
          </w:p>
          <w:p w:rsidR="004C57F5" w:rsidRPr="001D200B" w:rsidRDefault="004C57F5" w:rsidP="00324F3E">
            <w:pPr>
              <w:spacing w:before="0" w:after="0" w:line="240" w:lineRule="auto"/>
              <w:jc w:val="center"/>
              <w:rPr>
                <w:rFonts w:cstheme="minorHAnsi"/>
                <w:b/>
                <w:bCs/>
                <w:sz w:val="22"/>
                <w:szCs w:val="22"/>
              </w:rPr>
            </w:pPr>
            <w:r w:rsidRPr="001D200B">
              <w:rPr>
                <w:rFonts w:cstheme="minorHAnsi"/>
                <w:b/>
                <w:bCs/>
                <w:sz w:val="22"/>
                <w:szCs w:val="22"/>
              </w:rPr>
              <w:t>(oznaczenie na mapie)</w:t>
            </w:r>
          </w:p>
        </w:tc>
        <w:tc>
          <w:tcPr>
            <w:tcW w:w="2126" w:type="dxa"/>
            <w:gridSpan w:val="2"/>
            <w:vAlign w:val="center"/>
          </w:tcPr>
          <w:p w:rsidR="004C57F5" w:rsidRPr="001D200B" w:rsidRDefault="004C57F5" w:rsidP="00E123B4">
            <w:pPr>
              <w:spacing w:before="0" w:after="0" w:line="240" w:lineRule="auto"/>
              <w:jc w:val="center"/>
              <w:rPr>
                <w:rFonts w:cstheme="minorHAnsi"/>
                <w:b/>
                <w:bCs/>
                <w:sz w:val="22"/>
                <w:szCs w:val="22"/>
              </w:rPr>
            </w:pPr>
            <w:r w:rsidRPr="001D200B">
              <w:rPr>
                <w:rFonts w:cstheme="minorHAnsi"/>
                <w:b/>
                <w:bCs/>
                <w:sz w:val="22"/>
                <w:szCs w:val="22"/>
              </w:rPr>
              <w:t xml:space="preserve">Pow. </w:t>
            </w:r>
            <w:r w:rsidR="00E123B4" w:rsidRPr="001D200B">
              <w:rPr>
                <w:rFonts w:cstheme="minorHAnsi"/>
                <w:b/>
                <w:bCs/>
                <w:sz w:val="22"/>
                <w:szCs w:val="22"/>
              </w:rPr>
              <w:t>t</w:t>
            </w:r>
            <w:r w:rsidRPr="001D200B">
              <w:rPr>
                <w:rFonts w:cstheme="minorHAnsi"/>
                <w:b/>
                <w:bCs/>
                <w:sz w:val="22"/>
                <w:szCs w:val="22"/>
              </w:rPr>
              <w:t>erenu</w:t>
            </w:r>
            <w:r w:rsidR="00581FB2" w:rsidRPr="001D200B">
              <w:rPr>
                <w:rFonts w:cstheme="minorHAnsi"/>
                <w:b/>
                <w:bCs/>
                <w:sz w:val="22"/>
                <w:szCs w:val="22"/>
              </w:rPr>
              <w:t xml:space="preserve"> [ha] </w:t>
            </w:r>
            <w:r w:rsidRPr="001D200B">
              <w:rPr>
                <w:rFonts w:cstheme="minorHAnsi"/>
                <w:b/>
                <w:bCs/>
                <w:sz w:val="22"/>
                <w:szCs w:val="22"/>
              </w:rPr>
              <w:t>/wskaźnik charakterystyczny*</w:t>
            </w:r>
          </w:p>
        </w:tc>
        <w:tc>
          <w:tcPr>
            <w:tcW w:w="8080" w:type="dxa"/>
            <w:vAlign w:val="center"/>
          </w:tcPr>
          <w:p w:rsidR="004C57F5" w:rsidRPr="001D200B" w:rsidRDefault="004C57F5" w:rsidP="00324F3E">
            <w:pPr>
              <w:spacing w:before="0" w:after="0" w:line="240" w:lineRule="auto"/>
              <w:jc w:val="center"/>
              <w:rPr>
                <w:rFonts w:cstheme="minorHAnsi"/>
                <w:b/>
                <w:bCs/>
                <w:sz w:val="22"/>
                <w:szCs w:val="22"/>
              </w:rPr>
            </w:pPr>
            <w:r w:rsidRPr="001D200B">
              <w:rPr>
                <w:rFonts w:cstheme="minorHAnsi"/>
                <w:b/>
                <w:bCs/>
                <w:sz w:val="22"/>
                <w:szCs w:val="22"/>
              </w:rPr>
              <w:t>Opis</w:t>
            </w:r>
          </w:p>
        </w:tc>
        <w:tc>
          <w:tcPr>
            <w:tcW w:w="3118" w:type="dxa"/>
            <w:gridSpan w:val="3"/>
            <w:vAlign w:val="center"/>
          </w:tcPr>
          <w:p w:rsidR="004C57F5" w:rsidRPr="001D200B" w:rsidRDefault="004C57F5" w:rsidP="00324F3E">
            <w:pPr>
              <w:spacing w:before="0" w:after="0" w:line="240" w:lineRule="auto"/>
              <w:jc w:val="center"/>
              <w:rPr>
                <w:rFonts w:cstheme="minorHAnsi"/>
                <w:b/>
                <w:bCs/>
                <w:sz w:val="22"/>
                <w:szCs w:val="22"/>
              </w:rPr>
            </w:pPr>
            <w:r w:rsidRPr="001D200B">
              <w:rPr>
                <w:rFonts w:cstheme="minorHAnsi"/>
                <w:b/>
                <w:bCs/>
                <w:sz w:val="22"/>
                <w:szCs w:val="22"/>
              </w:rPr>
              <w:t>Maks</w:t>
            </w:r>
            <w:r w:rsidR="00581FB2" w:rsidRPr="001D200B">
              <w:rPr>
                <w:rFonts w:cstheme="minorHAnsi"/>
                <w:b/>
                <w:bCs/>
                <w:sz w:val="22"/>
                <w:szCs w:val="22"/>
              </w:rPr>
              <w:t>.</w:t>
            </w:r>
            <w:r w:rsidRPr="001D200B">
              <w:rPr>
                <w:rFonts w:cstheme="minorHAnsi"/>
                <w:b/>
                <w:bCs/>
                <w:sz w:val="22"/>
                <w:szCs w:val="22"/>
              </w:rPr>
              <w:t xml:space="preserve"> zapotrzebowanie mocy [MW] **/</w:t>
            </w:r>
            <w:r w:rsidR="00581FB2" w:rsidRPr="001D200B">
              <w:rPr>
                <w:rFonts w:cstheme="minorHAnsi"/>
                <w:b/>
                <w:bCs/>
                <w:sz w:val="22"/>
                <w:szCs w:val="22"/>
              </w:rPr>
              <w:t>Szacunkowe z</w:t>
            </w:r>
            <w:r w:rsidRPr="001D200B">
              <w:rPr>
                <w:rFonts w:cstheme="minorHAnsi"/>
                <w:b/>
                <w:bCs/>
                <w:sz w:val="22"/>
                <w:szCs w:val="22"/>
              </w:rPr>
              <w:t>apotrzebowanie na energię elektryczną w roku [MWh]</w:t>
            </w:r>
          </w:p>
        </w:tc>
      </w:tr>
      <w:tr w:rsidR="004C57F5" w:rsidRPr="001D200B" w:rsidTr="00E123B4">
        <w:tc>
          <w:tcPr>
            <w:tcW w:w="14743" w:type="dxa"/>
            <w:gridSpan w:val="7"/>
            <w:shd w:val="clear" w:color="auto" w:fill="D9D9D9" w:themeFill="background1" w:themeFillShade="D9"/>
            <w:vAlign w:val="center"/>
          </w:tcPr>
          <w:p w:rsidR="004C57F5" w:rsidRPr="001D200B" w:rsidRDefault="004C57F5" w:rsidP="00324F3E">
            <w:pPr>
              <w:spacing w:before="0" w:after="0" w:line="240" w:lineRule="auto"/>
              <w:rPr>
                <w:rFonts w:cstheme="minorHAnsi"/>
                <w:b/>
                <w:sz w:val="22"/>
                <w:szCs w:val="22"/>
              </w:rPr>
            </w:pPr>
            <w:r w:rsidRPr="001D200B">
              <w:rPr>
                <w:rFonts w:cstheme="minorHAnsi"/>
                <w:b/>
                <w:sz w:val="22"/>
                <w:szCs w:val="22"/>
              </w:rPr>
              <w:t>GMINA POŁANIEC</w:t>
            </w:r>
          </w:p>
        </w:tc>
      </w:tr>
      <w:tr w:rsidR="00BC38E9" w:rsidRPr="001D200B" w:rsidTr="00BC38E9">
        <w:tc>
          <w:tcPr>
            <w:tcW w:w="1419" w:type="dxa"/>
            <w:shd w:val="clear" w:color="auto" w:fill="CC9900"/>
            <w:vAlign w:val="center"/>
          </w:tcPr>
          <w:p w:rsidR="00BC38E9" w:rsidRPr="001D200B" w:rsidRDefault="00BC38E9" w:rsidP="00BB01A1">
            <w:pPr>
              <w:spacing w:line="240" w:lineRule="auto"/>
              <w:jc w:val="center"/>
              <w:rPr>
                <w:rFonts w:cstheme="minorHAnsi"/>
                <w:b/>
                <w:sz w:val="22"/>
                <w:szCs w:val="22"/>
              </w:rPr>
            </w:pPr>
            <w:r w:rsidRPr="001D200B">
              <w:rPr>
                <w:rFonts w:cstheme="minorHAnsi"/>
                <w:b/>
                <w:sz w:val="22"/>
                <w:szCs w:val="22"/>
              </w:rPr>
              <w:t>1</w:t>
            </w:r>
          </w:p>
        </w:tc>
        <w:tc>
          <w:tcPr>
            <w:tcW w:w="992" w:type="dxa"/>
            <w:vAlign w:val="center"/>
          </w:tcPr>
          <w:p w:rsidR="00BC38E9" w:rsidRPr="001D200B" w:rsidRDefault="00BC38E9" w:rsidP="003F0A2E">
            <w:pPr>
              <w:spacing w:line="240" w:lineRule="auto"/>
              <w:jc w:val="center"/>
              <w:rPr>
                <w:rFonts w:cstheme="minorHAnsi"/>
                <w:sz w:val="22"/>
                <w:szCs w:val="22"/>
              </w:rPr>
            </w:pPr>
            <w:r w:rsidRPr="001D200B">
              <w:rPr>
                <w:rFonts w:cstheme="minorHAnsi"/>
                <w:sz w:val="22"/>
                <w:szCs w:val="22"/>
              </w:rPr>
              <w:t>11,5</w:t>
            </w:r>
          </w:p>
        </w:tc>
        <w:tc>
          <w:tcPr>
            <w:tcW w:w="1134" w:type="dxa"/>
            <w:vAlign w:val="center"/>
          </w:tcPr>
          <w:p w:rsidR="00BC38E9" w:rsidRPr="001D200B" w:rsidRDefault="00BC38E9" w:rsidP="003F0A2E">
            <w:pPr>
              <w:jc w:val="center"/>
              <w:rPr>
                <w:rFonts w:ascii="Calibri" w:hAnsi="Calibri" w:cs="Calibri"/>
                <w:sz w:val="22"/>
                <w:szCs w:val="22"/>
              </w:rPr>
            </w:pPr>
            <w:r w:rsidRPr="001D200B">
              <w:rPr>
                <w:rFonts w:ascii="Calibri" w:hAnsi="Calibri" w:cs="Calibri"/>
                <w:sz w:val="22"/>
                <w:szCs w:val="22"/>
              </w:rPr>
              <w:t>61</w:t>
            </w:r>
          </w:p>
        </w:tc>
        <w:tc>
          <w:tcPr>
            <w:tcW w:w="8080" w:type="dxa"/>
            <w:vAlign w:val="center"/>
          </w:tcPr>
          <w:p w:rsidR="00BC38E9" w:rsidRPr="001D200B" w:rsidRDefault="00BC38E9" w:rsidP="00BB01A1">
            <w:pPr>
              <w:spacing w:before="0" w:after="0" w:line="240" w:lineRule="auto"/>
              <w:jc w:val="left"/>
              <w:rPr>
                <w:rFonts w:cstheme="minorHAnsi"/>
                <w:sz w:val="22"/>
                <w:szCs w:val="22"/>
              </w:rPr>
            </w:pPr>
            <w:r w:rsidRPr="001D200B">
              <w:rPr>
                <w:rFonts w:cstheme="minorHAnsi"/>
                <w:sz w:val="22"/>
                <w:szCs w:val="22"/>
              </w:rPr>
              <w:t xml:space="preserve">Obszary przewidziane pod zabudowę zagrodową i mieszkaniową jednorodzinną z usługami w miejscowości Rudniki. Zlokalizowane w sąsiedztwie terenów już zainwestowanych zabudową o podobnych funkcjach. </w:t>
            </w:r>
          </w:p>
        </w:tc>
        <w:tc>
          <w:tcPr>
            <w:tcW w:w="1559" w:type="dxa"/>
            <w:vAlign w:val="bottom"/>
          </w:tcPr>
          <w:p w:rsidR="00BC38E9" w:rsidRPr="001D200B" w:rsidRDefault="00BC38E9" w:rsidP="00BC38E9">
            <w:pPr>
              <w:jc w:val="center"/>
              <w:rPr>
                <w:rFonts w:cstheme="minorHAnsi"/>
                <w:sz w:val="22"/>
                <w:szCs w:val="22"/>
              </w:rPr>
            </w:pPr>
            <w:r w:rsidRPr="001D200B">
              <w:rPr>
                <w:rFonts w:cstheme="minorHAnsi"/>
                <w:sz w:val="22"/>
                <w:szCs w:val="22"/>
              </w:rPr>
              <w:t>0,19</w:t>
            </w:r>
          </w:p>
        </w:tc>
        <w:tc>
          <w:tcPr>
            <w:tcW w:w="1559"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103</w:t>
            </w:r>
          </w:p>
        </w:tc>
      </w:tr>
      <w:tr w:rsidR="00BC38E9" w:rsidRPr="001D200B" w:rsidTr="00BC38E9">
        <w:tc>
          <w:tcPr>
            <w:tcW w:w="1419" w:type="dxa"/>
            <w:shd w:val="clear" w:color="auto" w:fill="CC9900"/>
            <w:vAlign w:val="center"/>
          </w:tcPr>
          <w:p w:rsidR="00BC38E9" w:rsidRPr="001D200B" w:rsidRDefault="00BC38E9" w:rsidP="00BB01A1">
            <w:pPr>
              <w:spacing w:line="240" w:lineRule="auto"/>
              <w:jc w:val="center"/>
              <w:rPr>
                <w:rFonts w:cstheme="minorHAnsi"/>
                <w:b/>
                <w:sz w:val="22"/>
                <w:szCs w:val="22"/>
              </w:rPr>
            </w:pPr>
            <w:r w:rsidRPr="001D200B">
              <w:rPr>
                <w:rFonts w:cstheme="minorHAnsi"/>
                <w:b/>
                <w:sz w:val="22"/>
                <w:szCs w:val="22"/>
              </w:rPr>
              <w:t>2</w:t>
            </w:r>
          </w:p>
        </w:tc>
        <w:tc>
          <w:tcPr>
            <w:tcW w:w="992" w:type="dxa"/>
            <w:vAlign w:val="center"/>
          </w:tcPr>
          <w:p w:rsidR="00BC38E9" w:rsidRPr="001D200B" w:rsidRDefault="00BC38E9" w:rsidP="003F0A2E">
            <w:pPr>
              <w:spacing w:line="240" w:lineRule="auto"/>
              <w:jc w:val="center"/>
              <w:rPr>
                <w:rFonts w:cstheme="minorHAnsi"/>
                <w:sz w:val="22"/>
                <w:szCs w:val="22"/>
              </w:rPr>
            </w:pPr>
            <w:r w:rsidRPr="001D200B">
              <w:rPr>
                <w:rFonts w:cstheme="minorHAnsi"/>
                <w:sz w:val="22"/>
                <w:szCs w:val="22"/>
              </w:rPr>
              <w:t>1,4</w:t>
            </w:r>
          </w:p>
        </w:tc>
        <w:tc>
          <w:tcPr>
            <w:tcW w:w="1134" w:type="dxa"/>
            <w:vAlign w:val="center"/>
          </w:tcPr>
          <w:p w:rsidR="00BC38E9" w:rsidRPr="001D200B" w:rsidRDefault="00BC38E9" w:rsidP="003F0A2E">
            <w:pPr>
              <w:jc w:val="center"/>
              <w:rPr>
                <w:rFonts w:ascii="Calibri" w:hAnsi="Calibri" w:cs="Calibri"/>
                <w:sz w:val="22"/>
                <w:szCs w:val="22"/>
              </w:rPr>
            </w:pPr>
            <w:r w:rsidRPr="001D200B">
              <w:rPr>
                <w:rFonts w:ascii="Calibri" w:hAnsi="Calibri" w:cstheme="minorHAnsi"/>
                <w:sz w:val="22"/>
                <w:szCs w:val="22"/>
              </w:rPr>
              <w:t>7</w:t>
            </w:r>
          </w:p>
        </w:tc>
        <w:tc>
          <w:tcPr>
            <w:tcW w:w="8080" w:type="dxa"/>
            <w:vAlign w:val="center"/>
          </w:tcPr>
          <w:p w:rsidR="00BC38E9" w:rsidRPr="001D200B" w:rsidRDefault="00BC38E9" w:rsidP="00BB01A1">
            <w:pPr>
              <w:spacing w:before="0" w:after="0" w:line="240" w:lineRule="auto"/>
              <w:jc w:val="left"/>
              <w:rPr>
                <w:rFonts w:cstheme="minorHAnsi"/>
                <w:sz w:val="22"/>
                <w:szCs w:val="22"/>
              </w:rPr>
            </w:pPr>
            <w:r w:rsidRPr="001D200B">
              <w:rPr>
                <w:rFonts w:cstheme="minorHAnsi"/>
                <w:sz w:val="22"/>
                <w:szCs w:val="22"/>
              </w:rPr>
              <w:t>Obszary przewidziane pod zabudowę zagrodową i mieszkaniową jednorodzinną z usługami w miejscowości Rudniki. Zlokalizowane w sąsiedztwie terenów już zainwestowanych zabudową o podobnych funkcjach</w:t>
            </w:r>
          </w:p>
        </w:tc>
        <w:tc>
          <w:tcPr>
            <w:tcW w:w="1559" w:type="dxa"/>
            <w:vAlign w:val="bottom"/>
          </w:tcPr>
          <w:p w:rsidR="00BC38E9" w:rsidRPr="001D200B" w:rsidRDefault="00BC38E9" w:rsidP="00BC38E9">
            <w:pPr>
              <w:jc w:val="center"/>
              <w:rPr>
                <w:rFonts w:cstheme="minorHAnsi"/>
                <w:sz w:val="22"/>
                <w:szCs w:val="22"/>
              </w:rPr>
            </w:pPr>
            <w:r w:rsidRPr="001D200B">
              <w:rPr>
                <w:rFonts w:cstheme="minorHAnsi"/>
                <w:sz w:val="22"/>
                <w:szCs w:val="22"/>
              </w:rPr>
              <w:t>0,06</w:t>
            </w:r>
          </w:p>
        </w:tc>
        <w:tc>
          <w:tcPr>
            <w:tcW w:w="1559"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11</w:t>
            </w:r>
          </w:p>
        </w:tc>
      </w:tr>
      <w:tr w:rsidR="00BC38E9" w:rsidRPr="001D200B" w:rsidTr="00BC38E9">
        <w:tc>
          <w:tcPr>
            <w:tcW w:w="1419" w:type="dxa"/>
            <w:shd w:val="clear" w:color="auto" w:fill="CC9900"/>
            <w:vAlign w:val="center"/>
          </w:tcPr>
          <w:p w:rsidR="00BC38E9" w:rsidRPr="001D200B" w:rsidRDefault="00BC38E9" w:rsidP="00BB01A1">
            <w:pPr>
              <w:spacing w:line="240" w:lineRule="auto"/>
              <w:jc w:val="center"/>
              <w:rPr>
                <w:rFonts w:cstheme="minorHAnsi"/>
                <w:b/>
                <w:sz w:val="22"/>
                <w:szCs w:val="22"/>
              </w:rPr>
            </w:pPr>
            <w:r w:rsidRPr="001D200B">
              <w:rPr>
                <w:rFonts w:cstheme="minorHAnsi"/>
                <w:b/>
                <w:sz w:val="22"/>
                <w:szCs w:val="22"/>
              </w:rPr>
              <w:t>3</w:t>
            </w:r>
          </w:p>
        </w:tc>
        <w:tc>
          <w:tcPr>
            <w:tcW w:w="992" w:type="dxa"/>
            <w:vAlign w:val="center"/>
          </w:tcPr>
          <w:p w:rsidR="00BC38E9" w:rsidRPr="001D200B" w:rsidRDefault="00BC38E9" w:rsidP="003F0A2E">
            <w:pPr>
              <w:spacing w:line="240" w:lineRule="auto"/>
              <w:jc w:val="center"/>
              <w:rPr>
                <w:rFonts w:cstheme="minorHAnsi"/>
                <w:sz w:val="22"/>
                <w:szCs w:val="22"/>
              </w:rPr>
            </w:pPr>
            <w:r w:rsidRPr="001D200B">
              <w:rPr>
                <w:rFonts w:cstheme="minorHAnsi"/>
                <w:sz w:val="22"/>
                <w:szCs w:val="22"/>
              </w:rPr>
              <w:t>13,3</w:t>
            </w:r>
          </w:p>
        </w:tc>
        <w:tc>
          <w:tcPr>
            <w:tcW w:w="1134" w:type="dxa"/>
            <w:vAlign w:val="center"/>
          </w:tcPr>
          <w:p w:rsidR="00BC38E9" w:rsidRPr="001D200B" w:rsidRDefault="00BC38E9" w:rsidP="003F0A2E">
            <w:pPr>
              <w:jc w:val="center"/>
              <w:rPr>
                <w:rFonts w:ascii="Calibri" w:hAnsi="Calibri" w:cs="Calibri"/>
                <w:sz w:val="22"/>
                <w:szCs w:val="22"/>
              </w:rPr>
            </w:pPr>
            <w:r w:rsidRPr="001D200B">
              <w:rPr>
                <w:rFonts w:ascii="Calibri" w:hAnsi="Calibri" w:cstheme="minorHAnsi"/>
                <w:sz w:val="22"/>
                <w:szCs w:val="22"/>
              </w:rPr>
              <w:t>71</w:t>
            </w:r>
          </w:p>
        </w:tc>
        <w:tc>
          <w:tcPr>
            <w:tcW w:w="8080" w:type="dxa"/>
            <w:vAlign w:val="center"/>
          </w:tcPr>
          <w:p w:rsidR="00BC38E9" w:rsidRPr="001D200B" w:rsidRDefault="00BC38E9" w:rsidP="00BB01A1">
            <w:pPr>
              <w:spacing w:before="0" w:after="0" w:line="240" w:lineRule="auto"/>
              <w:jc w:val="left"/>
              <w:rPr>
                <w:rFonts w:cstheme="minorHAnsi"/>
                <w:sz w:val="22"/>
                <w:szCs w:val="22"/>
              </w:rPr>
            </w:pPr>
            <w:r w:rsidRPr="001D200B">
              <w:rPr>
                <w:rFonts w:cstheme="minorHAnsi"/>
                <w:sz w:val="22"/>
                <w:szCs w:val="22"/>
              </w:rPr>
              <w:t>Obszary przewidziane pod zabudowę zagrodową i mieszkaniową jednorodzinną z usługami w miejscowości Wymysłów. W znacznej części zlokalizowane w sąsiedztwie terenów już zainwestowanych zabudową o podobnych funkcjach.</w:t>
            </w:r>
          </w:p>
        </w:tc>
        <w:tc>
          <w:tcPr>
            <w:tcW w:w="1559" w:type="dxa"/>
            <w:vAlign w:val="bottom"/>
          </w:tcPr>
          <w:p w:rsidR="00BC38E9" w:rsidRPr="001D200B" w:rsidRDefault="00BC38E9" w:rsidP="00BC38E9">
            <w:pPr>
              <w:jc w:val="center"/>
              <w:rPr>
                <w:rFonts w:cstheme="minorHAnsi"/>
                <w:sz w:val="22"/>
                <w:szCs w:val="22"/>
              </w:rPr>
            </w:pPr>
            <w:r w:rsidRPr="001D200B">
              <w:rPr>
                <w:rFonts w:cstheme="minorHAnsi"/>
                <w:sz w:val="22"/>
                <w:szCs w:val="22"/>
              </w:rPr>
              <w:t>0,19</w:t>
            </w:r>
          </w:p>
        </w:tc>
        <w:tc>
          <w:tcPr>
            <w:tcW w:w="1559"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120</w:t>
            </w:r>
          </w:p>
        </w:tc>
      </w:tr>
      <w:tr w:rsidR="00BC38E9" w:rsidRPr="001D200B" w:rsidTr="00BC38E9">
        <w:tc>
          <w:tcPr>
            <w:tcW w:w="1419" w:type="dxa"/>
            <w:shd w:val="clear" w:color="auto" w:fill="CC9900"/>
            <w:vAlign w:val="center"/>
          </w:tcPr>
          <w:p w:rsidR="00BC38E9" w:rsidRPr="001D200B" w:rsidRDefault="00BC38E9" w:rsidP="00BB01A1">
            <w:pPr>
              <w:spacing w:line="240" w:lineRule="auto"/>
              <w:jc w:val="center"/>
              <w:rPr>
                <w:rFonts w:cstheme="minorHAnsi"/>
                <w:b/>
                <w:sz w:val="22"/>
                <w:szCs w:val="22"/>
              </w:rPr>
            </w:pPr>
            <w:r w:rsidRPr="001D200B">
              <w:rPr>
                <w:rFonts w:cstheme="minorHAnsi"/>
                <w:b/>
                <w:sz w:val="22"/>
                <w:szCs w:val="22"/>
              </w:rPr>
              <w:t>4</w:t>
            </w:r>
          </w:p>
        </w:tc>
        <w:tc>
          <w:tcPr>
            <w:tcW w:w="992" w:type="dxa"/>
            <w:vAlign w:val="center"/>
          </w:tcPr>
          <w:p w:rsidR="00BC38E9" w:rsidRPr="001D200B" w:rsidRDefault="00BC38E9" w:rsidP="003F0A2E">
            <w:pPr>
              <w:spacing w:line="240" w:lineRule="auto"/>
              <w:jc w:val="center"/>
              <w:rPr>
                <w:rFonts w:cstheme="minorHAnsi"/>
                <w:sz w:val="22"/>
                <w:szCs w:val="22"/>
              </w:rPr>
            </w:pPr>
            <w:r w:rsidRPr="001D200B">
              <w:rPr>
                <w:rFonts w:cstheme="minorHAnsi"/>
                <w:sz w:val="22"/>
                <w:szCs w:val="22"/>
              </w:rPr>
              <w:t>8,3</w:t>
            </w:r>
          </w:p>
        </w:tc>
        <w:tc>
          <w:tcPr>
            <w:tcW w:w="1134" w:type="dxa"/>
            <w:vAlign w:val="center"/>
          </w:tcPr>
          <w:p w:rsidR="00BC38E9" w:rsidRPr="001D200B" w:rsidRDefault="00BC38E9" w:rsidP="003F0A2E">
            <w:pPr>
              <w:jc w:val="center"/>
              <w:rPr>
                <w:rFonts w:ascii="Calibri" w:hAnsi="Calibri" w:cs="Calibri"/>
                <w:sz w:val="22"/>
                <w:szCs w:val="22"/>
              </w:rPr>
            </w:pPr>
            <w:r w:rsidRPr="001D200B">
              <w:rPr>
                <w:rFonts w:ascii="Calibri" w:hAnsi="Calibri" w:cstheme="minorHAnsi"/>
                <w:sz w:val="22"/>
                <w:szCs w:val="22"/>
              </w:rPr>
              <w:t>44</w:t>
            </w:r>
          </w:p>
        </w:tc>
        <w:tc>
          <w:tcPr>
            <w:tcW w:w="8080" w:type="dxa"/>
            <w:vAlign w:val="center"/>
          </w:tcPr>
          <w:p w:rsidR="00BC38E9" w:rsidRPr="001D200B" w:rsidRDefault="00BC38E9" w:rsidP="00BB01A1">
            <w:pPr>
              <w:spacing w:before="0" w:after="0" w:line="240" w:lineRule="auto"/>
              <w:rPr>
                <w:rFonts w:cstheme="minorHAnsi"/>
                <w:sz w:val="22"/>
                <w:szCs w:val="22"/>
              </w:rPr>
            </w:pPr>
            <w:r w:rsidRPr="001D200B">
              <w:rPr>
                <w:rFonts w:cstheme="minorHAnsi"/>
                <w:sz w:val="22"/>
                <w:szCs w:val="22"/>
              </w:rPr>
              <w:t>Obszary przewidziane pod zabudowę zagrodową i mieszkaniową jednorodzinną z usługami w obrębie miejscowości Okrągła i Luszyca. W znacznej części zlokalizowane w sąsiedztwie terenów już zainwestowanych zabudową o podobnych funkcjach.</w:t>
            </w:r>
          </w:p>
        </w:tc>
        <w:tc>
          <w:tcPr>
            <w:tcW w:w="1559" w:type="dxa"/>
            <w:vAlign w:val="bottom"/>
          </w:tcPr>
          <w:p w:rsidR="00BC38E9" w:rsidRPr="001D200B" w:rsidRDefault="00BC38E9" w:rsidP="00BC38E9">
            <w:pPr>
              <w:jc w:val="center"/>
              <w:rPr>
                <w:rFonts w:cstheme="minorHAnsi"/>
                <w:sz w:val="22"/>
                <w:szCs w:val="22"/>
              </w:rPr>
            </w:pPr>
            <w:r w:rsidRPr="001D200B">
              <w:rPr>
                <w:rFonts w:cstheme="minorHAnsi"/>
                <w:sz w:val="22"/>
                <w:szCs w:val="22"/>
              </w:rPr>
              <w:t>0,16</w:t>
            </w:r>
          </w:p>
        </w:tc>
        <w:tc>
          <w:tcPr>
            <w:tcW w:w="1559"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74</w:t>
            </w:r>
          </w:p>
        </w:tc>
      </w:tr>
      <w:tr w:rsidR="00BC38E9" w:rsidRPr="001D200B" w:rsidTr="00BC38E9">
        <w:tc>
          <w:tcPr>
            <w:tcW w:w="1419" w:type="dxa"/>
            <w:shd w:val="clear" w:color="auto" w:fill="CC9900"/>
            <w:vAlign w:val="center"/>
          </w:tcPr>
          <w:p w:rsidR="00BC38E9" w:rsidRPr="001D200B" w:rsidRDefault="00BC38E9" w:rsidP="002E0C07">
            <w:pPr>
              <w:spacing w:line="240" w:lineRule="auto"/>
              <w:jc w:val="center"/>
              <w:rPr>
                <w:rFonts w:cstheme="minorHAnsi"/>
                <w:b/>
                <w:sz w:val="22"/>
                <w:szCs w:val="22"/>
              </w:rPr>
            </w:pPr>
            <w:r w:rsidRPr="001D200B">
              <w:rPr>
                <w:rFonts w:cstheme="minorHAnsi"/>
                <w:b/>
                <w:sz w:val="22"/>
                <w:szCs w:val="22"/>
              </w:rPr>
              <w:t>5</w:t>
            </w:r>
          </w:p>
        </w:tc>
        <w:tc>
          <w:tcPr>
            <w:tcW w:w="992" w:type="dxa"/>
            <w:vAlign w:val="center"/>
          </w:tcPr>
          <w:p w:rsidR="00BC38E9" w:rsidRPr="001D200B" w:rsidRDefault="00BC38E9" w:rsidP="003F0A2E">
            <w:pPr>
              <w:spacing w:line="240" w:lineRule="auto"/>
              <w:jc w:val="center"/>
              <w:rPr>
                <w:rFonts w:cstheme="minorHAnsi"/>
                <w:sz w:val="22"/>
                <w:szCs w:val="22"/>
              </w:rPr>
            </w:pPr>
            <w:r w:rsidRPr="001D200B">
              <w:rPr>
                <w:rFonts w:cstheme="minorHAnsi"/>
                <w:sz w:val="22"/>
                <w:szCs w:val="22"/>
              </w:rPr>
              <w:t>4,6</w:t>
            </w:r>
          </w:p>
        </w:tc>
        <w:tc>
          <w:tcPr>
            <w:tcW w:w="1134" w:type="dxa"/>
            <w:vAlign w:val="center"/>
          </w:tcPr>
          <w:p w:rsidR="00BC38E9" w:rsidRPr="001D200B" w:rsidRDefault="00BC38E9" w:rsidP="003F0A2E">
            <w:pPr>
              <w:jc w:val="center"/>
              <w:rPr>
                <w:rFonts w:ascii="Calibri" w:hAnsi="Calibri" w:cs="Calibri"/>
                <w:sz w:val="22"/>
                <w:szCs w:val="22"/>
              </w:rPr>
            </w:pPr>
            <w:r w:rsidRPr="001D200B">
              <w:rPr>
                <w:rFonts w:ascii="Calibri" w:hAnsi="Calibri" w:cstheme="minorHAnsi"/>
                <w:sz w:val="22"/>
                <w:szCs w:val="22"/>
              </w:rPr>
              <w:t>25</w:t>
            </w:r>
          </w:p>
        </w:tc>
        <w:tc>
          <w:tcPr>
            <w:tcW w:w="8080" w:type="dxa"/>
            <w:vAlign w:val="center"/>
          </w:tcPr>
          <w:p w:rsidR="00BC38E9" w:rsidRPr="001D200B" w:rsidRDefault="00BC38E9" w:rsidP="002E0C07">
            <w:pPr>
              <w:spacing w:before="0" w:after="0" w:line="240" w:lineRule="auto"/>
              <w:jc w:val="left"/>
              <w:rPr>
                <w:rFonts w:cstheme="minorHAnsi"/>
                <w:sz w:val="22"/>
                <w:szCs w:val="22"/>
              </w:rPr>
            </w:pPr>
            <w:r w:rsidRPr="001D200B">
              <w:rPr>
                <w:rFonts w:cstheme="minorHAnsi"/>
                <w:sz w:val="22"/>
                <w:szCs w:val="22"/>
              </w:rPr>
              <w:t>Obszary przewidziane pod zabudowę zagrodową i mieszkaniową jednorodzinną z usługami w miejscowości Brzozowa. Zlokalizowane w sąsiedztwie terenów już zainwestowanych zabudową o podobnych funkcjach.</w:t>
            </w:r>
          </w:p>
        </w:tc>
        <w:tc>
          <w:tcPr>
            <w:tcW w:w="1559" w:type="dxa"/>
            <w:vAlign w:val="bottom"/>
          </w:tcPr>
          <w:p w:rsidR="00BC38E9" w:rsidRPr="001D200B" w:rsidRDefault="00BC38E9" w:rsidP="00BC38E9">
            <w:pPr>
              <w:jc w:val="center"/>
              <w:rPr>
                <w:rFonts w:cstheme="minorHAnsi"/>
                <w:sz w:val="22"/>
                <w:szCs w:val="22"/>
              </w:rPr>
            </w:pPr>
            <w:r w:rsidRPr="001D200B">
              <w:rPr>
                <w:rFonts w:cstheme="minorHAnsi"/>
                <w:sz w:val="22"/>
                <w:szCs w:val="22"/>
              </w:rPr>
              <w:t>0,12</w:t>
            </w:r>
          </w:p>
        </w:tc>
        <w:tc>
          <w:tcPr>
            <w:tcW w:w="1559"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42</w:t>
            </w:r>
          </w:p>
        </w:tc>
      </w:tr>
      <w:tr w:rsidR="00BC38E9" w:rsidRPr="001D200B" w:rsidTr="00BC38E9">
        <w:tc>
          <w:tcPr>
            <w:tcW w:w="1419" w:type="dxa"/>
            <w:shd w:val="clear" w:color="auto" w:fill="CC9900"/>
            <w:vAlign w:val="center"/>
          </w:tcPr>
          <w:p w:rsidR="00BC38E9" w:rsidRPr="001D200B" w:rsidRDefault="00BC38E9" w:rsidP="003556EE">
            <w:pPr>
              <w:spacing w:line="240" w:lineRule="auto"/>
              <w:jc w:val="center"/>
              <w:rPr>
                <w:rFonts w:cstheme="minorHAnsi"/>
                <w:b/>
                <w:sz w:val="22"/>
                <w:szCs w:val="22"/>
              </w:rPr>
            </w:pPr>
            <w:r w:rsidRPr="001D200B">
              <w:rPr>
                <w:rFonts w:cstheme="minorHAnsi"/>
                <w:b/>
                <w:sz w:val="22"/>
                <w:szCs w:val="22"/>
              </w:rPr>
              <w:t>6</w:t>
            </w:r>
          </w:p>
        </w:tc>
        <w:tc>
          <w:tcPr>
            <w:tcW w:w="992" w:type="dxa"/>
            <w:vAlign w:val="center"/>
          </w:tcPr>
          <w:p w:rsidR="00BC38E9" w:rsidRPr="001D200B" w:rsidRDefault="00BC38E9" w:rsidP="003F0A2E">
            <w:pPr>
              <w:spacing w:line="240" w:lineRule="auto"/>
              <w:jc w:val="center"/>
              <w:rPr>
                <w:rFonts w:cstheme="minorHAnsi"/>
                <w:sz w:val="22"/>
                <w:szCs w:val="22"/>
              </w:rPr>
            </w:pPr>
            <w:r w:rsidRPr="001D200B">
              <w:rPr>
                <w:rFonts w:cstheme="minorHAnsi"/>
                <w:sz w:val="22"/>
                <w:szCs w:val="22"/>
              </w:rPr>
              <w:t>3,2</w:t>
            </w:r>
          </w:p>
        </w:tc>
        <w:tc>
          <w:tcPr>
            <w:tcW w:w="1134" w:type="dxa"/>
            <w:vAlign w:val="center"/>
          </w:tcPr>
          <w:p w:rsidR="00BC38E9" w:rsidRPr="001D200B" w:rsidRDefault="00BC38E9" w:rsidP="003F0A2E">
            <w:pPr>
              <w:jc w:val="center"/>
              <w:rPr>
                <w:rFonts w:ascii="Calibri" w:hAnsi="Calibri" w:cs="Calibri"/>
                <w:sz w:val="22"/>
                <w:szCs w:val="22"/>
              </w:rPr>
            </w:pPr>
            <w:r w:rsidRPr="001D200B">
              <w:rPr>
                <w:rFonts w:ascii="Calibri" w:hAnsi="Calibri" w:cstheme="minorHAnsi"/>
                <w:sz w:val="22"/>
                <w:szCs w:val="22"/>
              </w:rPr>
              <w:t>17</w:t>
            </w:r>
          </w:p>
        </w:tc>
        <w:tc>
          <w:tcPr>
            <w:tcW w:w="8080" w:type="dxa"/>
            <w:vAlign w:val="center"/>
          </w:tcPr>
          <w:p w:rsidR="00BC38E9" w:rsidRPr="001D200B" w:rsidRDefault="00BC38E9" w:rsidP="007B4BC0">
            <w:pPr>
              <w:spacing w:before="0" w:after="0" w:line="240" w:lineRule="auto"/>
              <w:rPr>
                <w:rFonts w:cstheme="minorHAnsi"/>
                <w:sz w:val="22"/>
                <w:szCs w:val="22"/>
              </w:rPr>
            </w:pPr>
            <w:r w:rsidRPr="001D200B">
              <w:rPr>
                <w:rFonts w:cstheme="minorHAnsi"/>
                <w:sz w:val="22"/>
                <w:szCs w:val="22"/>
              </w:rPr>
              <w:t>Obszary przewidziane pod zabudowę zagrodową i mieszkaniową jednorodzinną z usługami w miejscowości Tursko Małe i Kolonia Tursko Małe. W znacznej części zlokalizowane w sąsiedztwie terenów już zainwestowanych zabudową o podobnych funkcjach.</w:t>
            </w:r>
          </w:p>
        </w:tc>
        <w:tc>
          <w:tcPr>
            <w:tcW w:w="1559" w:type="dxa"/>
            <w:vAlign w:val="bottom"/>
          </w:tcPr>
          <w:p w:rsidR="00BC38E9" w:rsidRPr="001D200B" w:rsidRDefault="00BC38E9" w:rsidP="00BC38E9">
            <w:pPr>
              <w:jc w:val="center"/>
              <w:rPr>
                <w:rFonts w:cstheme="minorHAnsi"/>
                <w:sz w:val="22"/>
                <w:szCs w:val="22"/>
              </w:rPr>
            </w:pPr>
            <w:r w:rsidRPr="001D200B">
              <w:rPr>
                <w:rFonts w:cstheme="minorHAnsi"/>
                <w:sz w:val="22"/>
                <w:szCs w:val="22"/>
              </w:rPr>
              <w:t>0,1</w:t>
            </w:r>
          </w:p>
        </w:tc>
        <w:tc>
          <w:tcPr>
            <w:tcW w:w="1559"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28</w:t>
            </w:r>
          </w:p>
        </w:tc>
      </w:tr>
      <w:tr w:rsidR="00BC38E9" w:rsidRPr="001D200B" w:rsidTr="00BC38E9">
        <w:trPr>
          <w:trHeight w:val="399"/>
        </w:trPr>
        <w:tc>
          <w:tcPr>
            <w:tcW w:w="1419" w:type="dxa"/>
            <w:shd w:val="clear" w:color="auto" w:fill="CC9900"/>
            <w:vAlign w:val="center"/>
          </w:tcPr>
          <w:p w:rsidR="00BC38E9" w:rsidRPr="001D200B" w:rsidRDefault="00BC38E9" w:rsidP="003556EE">
            <w:pPr>
              <w:spacing w:line="240" w:lineRule="auto"/>
              <w:jc w:val="center"/>
              <w:rPr>
                <w:rFonts w:cstheme="minorHAnsi"/>
                <w:b/>
                <w:sz w:val="22"/>
                <w:szCs w:val="22"/>
              </w:rPr>
            </w:pPr>
            <w:r w:rsidRPr="001D200B">
              <w:rPr>
                <w:rFonts w:cstheme="minorHAnsi"/>
                <w:b/>
                <w:sz w:val="22"/>
                <w:szCs w:val="22"/>
              </w:rPr>
              <w:t>7</w:t>
            </w:r>
          </w:p>
        </w:tc>
        <w:tc>
          <w:tcPr>
            <w:tcW w:w="992" w:type="dxa"/>
            <w:vAlign w:val="center"/>
          </w:tcPr>
          <w:p w:rsidR="00BC38E9" w:rsidRPr="001D200B" w:rsidRDefault="00BC38E9" w:rsidP="003F0A2E">
            <w:pPr>
              <w:spacing w:line="240" w:lineRule="auto"/>
              <w:jc w:val="center"/>
              <w:rPr>
                <w:rFonts w:cstheme="minorHAnsi"/>
                <w:sz w:val="22"/>
                <w:szCs w:val="22"/>
              </w:rPr>
            </w:pPr>
            <w:r w:rsidRPr="001D200B">
              <w:rPr>
                <w:rFonts w:cstheme="minorHAnsi"/>
                <w:sz w:val="22"/>
                <w:szCs w:val="22"/>
              </w:rPr>
              <w:t>11,7</w:t>
            </w:r>
          </w:p>
        </w:tc>
        <w:tc>
          <w:tcPr>
            <w:tcW w:w="1134" w:type="dxa"/>
            <w:vAlign w:val="center"/>
          </w:tcPr>
          <w:p w:rsidR="00BC38E9" w:rsidRPr="001D200B" w:rsidRDefault="00BC38E9" w:rsidP="003F0A2E">
            <w:pPr>
              <w:jc w:val="center"/>
              <w:rPr>
                <w:rFonts w:ascii="Calibri" w:hAnsi="Calibri" w:cs="Calibri"/>
                <w:sz w:val="22"/>
                <w:szCs w:val="22"/>
              </w:rPr>
            </w:pPr>
            <w:r w:rsidRPr="001D200B">
              <w:rPr>
                <w:rFonts w:ascii="Calibri" w:hAnsi="Calibri" w:cstheme="minorHAnsi"/>
                <w:sz w:val="22"/>
                <w:szCs w:val="22"/>
              </w:rPr>
              <w:t>62</w:t>
            </w:r>
          </w:p>
        </w:tc>
        <w:tc>
          <w:tcPr>
            <w:tcW w:w="8080" w:type="dxa"/>
            <w:vAlign w:val="center"/>
          </w:tcPr>
          <w:p w:rsidR="00BC38E9" w:rsidRPr="001D200B" w:rsidRDefault="00BC38E9" w:rsidP="00BA73A4">
            <w:pPr>
              <w:spacing w:before="0" w:after="0" w:line="240" w:lineRule="auto"/>
              <w:jc w:val="left"/>
              <w:rPr>
                <w:rFonts w:cstheme="minorHAnsi"/>
                <w:sz w:val="22"/>
                <w:szCs w:val="22"/>
              </w:rPr>
            </w:pPr>
            <w:r w:rsidRPr="001D200B">
              <w:rPr>
                <w:rFonts w:cstheme="minorHAnsi"/>
                <w:sz w:val="22"/>
                <w:szCs w:val="22"/>
              </w:rPr>
              <w:t>Obszary przewidziane pod zabudowę zagrodową i mieszkaniową jednorodzinną z usługami w miejscowości Kamieniec. Zlokalizowane w sąsiedztwie terenów już zainwestowanych zabudową o podobnych funkcjach.</w:t>
            </w:r>
          </w:p>
        </w:tc>
        <w:tc>
          <w:tcPr>
            <w:tcW w:w="1559" w:type="dxa"/>
            <w:vAlign w:val="center"/>
          </w:tcPr>
          <w:p w:rsidR="00BC38E9" w:rsidRPr="001D200B" w:rsidRDefault="00BC38E9" w:rsidP="00BC38E9">
            <w:pPr>
              <w:jc w:val="center"/>
              <w:rPr>
                <w:rFonts w:cstheme="minorHAnsi"/>
                <w:sz w:val="22"/>
                <w:szCs w:val="22"/>
              </w:rPr>
            </w:pPr>
            <w:r w:rsidRPr="001D200B">
              <w:rPr>
                <w:rFonts w:cstheme="minorHAnsi"/>
                <w:sz w:val="22"/>
                <w:szCs w:val="22"/>
              </w:rPr>
              <w:t>0,2</w:t>
            </w:r>
          </w:p>
        </w:tc>
        <w:tc>
          <w:tcPr>
            <w:tcW w:w="1559" w:type="dxa"/>
            <w:gridSpan w:val="2"/>
            <w:vAlign w:val="center"/>
          </w:tcPr>
          <w:p w:rsidR="00BC38E9" w:rsidRPr="001D200B" w:rsidRDefault="00BC38E9" w:rsidP="00BC38E9">
            <w:pPr>
              <w:jc w:val="center"/>
              <w:rPr>
                <w:rFonts w:cstheme="minorHAnsi"/>
                <w:sz w:val="22"/>
                <w:szCs w:val="22"/>
              </w:rPr>
            </w:pPr>
            <w:r w:rsidRPr="001D200B">
              <w:rPr>
                <w:rFonts w:cstheme="minorHAnsi"/>
                <w:sz w:val="22"/>
                <w:szCs w:val="22"/>
              </w:rPr>
              <w:t>105</w:t>
            </w:r>
          </w:p>
        </w:tc>
      </w:tr>
      <w:tr w:rsidR="00BC38E9" w:rsidRPr="001D200B" w:rsidTr="00BC38E9">
        <w:trPr>
          <w:trHeight w:val="399"/>
        </w:trPr>
        <w:tc>
          <w:tcPr>
            <w:tcW w:w="1419" w:type="dxa"/>
            <w:shd w:val="clear" w:color="auto" w:fill="CC9900"/>
            <w:vAlign w:val="center"/>
          </w:tcPr>
          <w:p w:rsidR="00BC38E9" w:rsidRPr="001D200B" w:rsidRDefault="00BC38E9" w:rsidP="003556EE">
            <w:pPr>
              <w:spacing w:line="240" w:lineRule="auto"/>
              <w:jc w:val="center"/>
              <w:rPr>
                <w:rFonts w:cstheme="minorHAnsi"/>
                <w:b/>
                <w:sz w:val="22"/>
                <w:szCs w:val="22"/>
              </w:rPr>
            </w:pPr>
            <w:r w:rsidRPr="001D200B">
              <w:rPr>
                <w:rFonts w:cstheme="minorHAnsi"/>
                <w:b/>
                <w:sz w:val="22"/>
                <w:szCs w:val="22"/>
              </w:rPr>
              <w:t>8</w:t>
            </w:r>
          </w:p>
        </w:tc>
        <w:tc>
          <w:tcPr>
            <w:tcW w:w="992" w:type="dxa"/>
            <w:vAlign w:val="center"/>
          </w:tcPr>
          <w:p w:rsidR="00BC38E9" w:rsidRPr="001D200B" w:rsidRDefault="00BC38E9" w:rsidP="003F0A2E">
            <w:pPr>
              <w:spacing w:line="240" w:lineRule="auto"/>
              <w:jc w:val="center"/>
              <w:rPr>
                <w:rFonts w:cstheme="minorHAnsi"/>
                <w:sz w:val="22"/>
                <w:szCs w:val="22"/>
              </w:rPr>
            </w:pPr>
            <w:r w:rsidRPr="001D200B">
              <w:rPr>
                <w:rFonts w:cstheme="minorHAnsi"/>
                <w:sz w:val="22"/>
                <w:szCs w:val="22"/>
              </w:rPr>
              <w:t>3,7</w:t>
            </w:r>
          </w:p>
        </w:tc>
        <w:tc>
          <w:tcPr>
            <w:tcW w:w="1134" w:type="dxa"/>
            <w:vAlign w:val="center"/>
          </w:tcPr>
          <w:p w:rsidR="00BC38E9" w:rsidRPr="001D200B" w:rsidRDefault="00BC38E9" w:rsidP="003F0A2E">
            <w:pPr>
              <w:jc w:val="center"/>
              <w:rPr>
                <w:rFonts w:ascii="Calibri" w:hAnsi="Calibri" w:cs="Calibri"/>
                <w:sz w:val="22"/>
                <w:szCs w:val="22"/>
              </w:rPr>
            </w:pPr>
            <w:r w:rsidRPr="001D200B">
              <w:rPr>
                <w:rFonts w:ascii="Calibri" w:hAnsi="Calibri" w:cstheme="minorHAnsi"/>
                <w:sz w:val="22"/>
                <w:szCs w:val="22"/>
              </w:rPr>
              <w:t>20</w:t>
            </w:r>
          </w:p>
        </w:tc>
        <w:tc>
          <w:tcPr>
            <w:tcW w:w="8080" w:type="dxa"/>
            <w:vAlign w:val="center"/>
          </w:tcPr>
          <w:p w:rsidR="00BC38E9" w:rsidRPr="001D200B" w:rsidRDefault="00BC38E9" w:rsidP="002A4F47">
            <w:pPr>
              <w:spacing w:before="0" w:after="0" w:line="240" w:lineRule="auto"/>
              <w:rPr>
                <w:rFonts w:cstheme="minorHAnsi"/>
                <w:sz w:val="22"/>
                <w:szCs w:val="22"/>
              </w:rPr>
            </w:pPr>
            <w:r w:rsidRPr="001D200B">
              <w:rPr>
                <w:rFonts w:cstheme="minorHAnsi"/>
                <w:sz w:val="22"/>
                <w:szCs w:val="22"/>
              </w:rPr>
              <w:t>Obszary przewidziane pod zabudowę zagrodową i mieszkaniową jednorodzinną z usługami w miejscowości Kamieniec. Zlokalizowane w sąsiedztwie terenów już zainwestowanych zabudową o podobnych funkcjach.</w:t>
            </w:r>
          </w:p>
        </w:tc>
        <w:tc>
          <w:tcPr>
            <w:tcW w:w="1559" w:type="dxa"/>
            <w:vAlign w:val="bottom"/>
          </w:tcPr>
          <w:p w:rsidR="00BC38E9" w:rsidRPr="001D200B" w:rsidRDefault="00BC38E9" w:rsidP="00BC38E9">
            <w:pPr>
              <w:jc w:val="center"/>
              <w:rPr>
                <w:rFonts w:cstheme="minorHAnsi"/>
                <w:sz w:val="22"/>
                <w:szCs w:val="22"/>
              </w:rPr>
            </w:pPr>
            <w:r w:rsidRPr="001D200B">
              <w:rPr>
                <w:rFonts w:cstheme="minorHAnsi"/>
                <w:sz w:val="22"/>
                <w:szCs w:val="22"/>
              </w:rPr>
              <w:t>0,11</w:t>
            </w:r>
          </w:p>
        </w:tc>
        <w:tc>
          <w:tcPr>
            <w:tcW w:w="1559"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34</w:t>
            </w:r>
          </w:p>
        </w:tc>
      </w:tr>
      <w:tr w:rsidR="00BC38E9" w:rsidRPr="001D200B" w:rsidTr="00BC38E9">
        <w:trPr>
          <w:trHeight w:val="399"/>
        </w:trPr>
        <w:tc>
          <w:tcPr>
            <w:tcW w:w="1419" w:type="dxa"/>
            <w:shd w:val="clear" w:color="auto" w:fill="CC9900"/>
            <w:vAlign w:val="center"/>
          </w:tcPr>
          <w:p w:rsidR="00BC38E9" w:rsidRPr="001D200B" w:rsidRDefault="00BC38E9" w:rsidP="003556EE">
            <w:pPr>
              <w:spacing w:line="240" w:lineRule="auto"/>
              <w:jc w:val="center"/>
              <w:rPr>
                <w:rFonts w:cstheme="minorHAnsi"/>
                <w:b/>
                <w:sz w:val="22"/>
                <w:szCs w:val="22"/>
              </w:rPr>
            </w:pPr>
            <w:r w:rsidRPr="001D200B">
              <w:rPr>
                <w:rFonts w:cstheme="minorHAnsi"/>
                <w:b/>
                <w:sz w:val="22"/>
                <w:szCs w:val="22"/>
              </w:rPr>
              <w:lastRenderedPageBreak/>
              <w:t>9</w:t>
            </w:r>
          </w:p>
        </w:tc>
        <w:tc>
          <w:tcPr>
            <w:tcW w:w="992" w:type="dxa"/>
            <w:vAlign w:val="center"/>
          </w:tcPr>
          <w:p w:rsidR="00BC38E9" w:rsidRPr="001D200B" w:rsidRDefault="00BC38E9" w:rsidP="003F0A2E">
            <w:pPr>
              <w:spacing w:line="240" w:lineRule="auto"/>
              <w:jc w:val="center"/>
              <w:rPr>
                <w:rFonts w:cstheme="minorHAnsi"/>
                <w:sz w:val="22"/>
                <w:szCs w:val="22"/>
              </w:rPr>
            </w:pPr>
            <w:r w:rsidRPr="001D200B">
              <w:rPr>
                <w:rFonts w:cstheme="minorHAnsi"/>
                <w:sz w:val="22"/>
                <w:szCs w:val="22"/>
              </w:rPr>
              <w:t>9,4</w:t>
            </w:r>
          </w:p>
        </w:tc>
        <w:tc>
          <w:tcPr>
            <w:tcW w:w="1134" w:type="dxa"/>
            <w:vAlign w:val="center"/>
          </w:tcPr>
          <w:p w:rsidR="00BC38E9" w:rsidRPr="001D200B" w:rsidRDefault="00BC38E9" w:rsidP="003F0A2E">
            <w:pPr>
              <w:jc w:val="center"/>
              <w:rPr>
                <w:rFonts w:ascii="Calibri" w:hAnsi="Calibri" w:cs="Calibri"/>
                <w:sz w:val="22"/>
                <w:szCs w:val="22"/>
              </w:rPr>
            </w:pPr>
            <w:r w:rsidRPr="001D200B">
              <w:rPr>
                <w:rFonts w:ascii="Calibri" w:hAnsi="Calibri" w:cstheme="minorHAnsi"/>
                <w:sz w:val="22"/>
                <w:szCs w:val="22"/>
              </w:rPr>
              <w:t>50</w:t>
            </w:r>
          </w:p>
        </w:tc>
        <w:tc>
          <w:tcPr>
            <w:tcW w:w="8080" w:type="dxa"/>
            <w:vAlign w:val="center"/>
          </w:tcPr>
          <w:p w:rsidR="00BC38E9" w:rsidRPr="001D200B" w:rsidRDefault="00BC38E9" w:rsidP="002A4F47">
            <w:pPr>
              <w:spacing w:before="0" w:after="0" w:line="240" w:lineRule="auto"/>
              <w:rPr>
                <w:rFonts w:cstheme="minorHAnsi"/>
                <w:sz w:val="22"/>
                <w:szCs w:val="22"/>
              </w:rPr>
            </w:pPr>
            <w:r w:rsidRPr="001D200B">
              <w:rPr>
                <w:rFonts w:cstheme="minorHAnsi"/>
                <w:sz w:val="22"/>
                <w:szCs w:val="22"/>
              </w:rPr>
              <w:t>Obszary przewidziane pod zabudowę zagrodową i mieszkaniową jednorodzinną z usługami w miejscowości Zrębin. Zlokalizowane w sąsiedztwie terenów już zainwestowanych zabudową o podobnych funkcjach.</w:t>
            </w:r>
          </w:p>
        </w:tc>
        <w:tc>
          <w:tcPr>
            <w:tcW w:w="1559" w:type="dxa"/>
            <w:vAlign w:val="bottom"/>
          </w:tcPr>
          <w:p w:rsidR="00BC38E9" w:rsidRPr="001D200B" w:rsidRDefault="00BC38E9" w:rsidP="00BC38E9">
            <w:pPr>
              <w:jc w:val="center"/>
              <w:rPr>
                <w:rFonts w:cstheme="minorHAnsi"/>
                <w:sz w:val="22"/>
                <w:szCs w:val="22"/>
              </w:rPr>
            </w:pPr>
            <w:r w:rsidRPr="001D200B">
              <w:rPr>
                <w:rFonts w:cstheme="minorHAnsi"/>
                <w:sz w:val="22"/>
                <w:szCs w:val="22"/>
              </w:rPr>
              <w:t>0,18</w:t>
            </w:r>
          </w:p>
        </w:tc>
        <w:tc>
          <w:tcPr>
            <w:tcW w:w="1559"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85</w:t>
            </w:r>
          </w:p>
        </w:tc>
      </w:tr>
      <w:tr w:rsidR="00BC38E9" w:rsidRPr="001D200B" w:rsidTr="00BC38E9">
        <w:trPr>
          <w:trHeight w:val="399"/>
        </w:trPr>
        <w:tc>
          <w:tcPr>
            <w:tcW w:w="1419" w:type="dxa"/>
            <w:shd w:val="clear" w:color="auto" w:fill="CC9900"/>
            <w:vAlign w:val="center"/>
          </w:tcPr>
          <w:p w:rsidR="00BC38E9" w:rsidRPr="001D200B" w:rsidRDefault="00BC38E9" w:rsidP="00BF6071">
            <w:pPr>
              <w:spacing w:line="240" w:lineRule="auto"/>
              <w:jc w:val="center"/>
              <w:rPr>
                <w:rFonts w:cstheme="minorHAnsi"/>
                <w:b/>
                <w:sz w:val="22"/>
                <w:szCs w:val="22"/>
              </w:rPr>
            </w:pPr>
            <w:r w:rsidRPr="001D200B">
              <w:rPr>
                <w:rFonts w:cstheme="minorHAnsi"/>
                <w:b/>
                <w:sz w:val="22"/>
                <w:szCs w:val="22"/>
              </w:rPr>
              <w:t>10</w:t>
            </w:r>
          </w:p>
        </w:tc>
        <w:tc>
          <w:tcPr>
            <w:tcW w:w="992" w:type="dxa"/>
            <w:vAlign w:val="center"/>
          </w:tcPr>
          <w:p w:rsidR="00BC38E9" w:rsidRPr="001D200B" w:rsidRDefault="00BC38E9" w:rsidP="003F0A2E">
            <w:pPr>
              <w:spacing w:line="240" w:lineRule="auto"/>
              <w:jc w:val="center"/>
              <w:rPr>
                <w:rFonts w:cstheme="minorHAnsi"/>
                <w:sz w:val="22"/>
                <w:szCs w:val="22"/>
              </w:rPr>
            </w:pPr>
            <w:r w:rsidRPr="001D200B">
              <w:rPr>
                <w:rFonts w:cstheme="minorHAnsi"/>
                <w:sz w:val="22"/>
                <w:szCs w:val="22"/>
              </w:rPr>
              <w:t>10,7</w:t>
            </w:r>
          </w:p>
        </w:tc>
        <w:tc>
          <w:tcPr>
            <w:tcW w:w="1134" w:type="dxa"/>
            <w:vAlign w:val="center"/>
          </w:tcPr>
          <w:p w:rsidR="00BC38E9" w:rsidRPr="001D200B" w:rsidRDefault="00BC38E9" w:rsidP="003F0A2E">
            <w:pPr>
              <w:jc w:val="center"/>
              <w:rPr>
                <w:rFonts w:ascii="Calibri" w:hAnsi="Calibri" w:cs="Calibri"/>
                <w:sz w:val="22"/>
                <w:szCs w:val="22"/>
              </w:rPr>
            </w:pPr>
            <w:r w:rsidRPr="001D200B">
              <w:rPr>
                <w:rFonts w:ascii="Calibri" w:hAnsi="Calibri" w:cstheme="minorHAnsi"/>
                <w:sz w:val="22"/>
                <w:szCs w:val="22"/>
              </w:rPr>
              <w:t>57</w:t>
            </w:r>
          </w:p>
        </w:tc>
        <w:tc>
          <w:tcPr>
            <w:tcW w:w="8080" w:type="dxa"/>
            <w:vAlign w:val="center"/>
          </w:tcPr>
          <w:p w:rsidR="00BC38E9" w:rsidRPr="001D200B" w:rsidRDefault="00BC38E9" w:rsidP="00650B2E">
            <w:pPr>
              <w:spacing w:before="0" w:after="0" w:line="240" w:lineRule="auto"/>
              <w:rPr>
                <w:rFonts w:cstheme="minorHAnsi"/>
                <w:sz w:val="22"/>
                <w:szCs w:val="22"/>
              </w:rPr>
            </w:pPr>
            <w:r w:rsidRPr="001D200B">
              <w:rPr>
                <w:rFonts w:cstheme="minorHAnsi"/>
                <w:sz w:val="22"/>
                <w:szCs w:val="22"/>
              </w:rPr>
              <w:t>Obszary przewidziane pod zabudowę zagrodową i mieszkaniową jednorodzinną z usługami w miejscowości Zdzieci Nowe. W części zlokalizowane w sąsiedztwie terenów już zainwestowanych zabudową o podobnych funkcjach.</w:t>
            </w:r>
          </w:p>
        </w:tc>
        <w:tc>
          <w:tcPr>
            <w:tcW w:w="1559" w:type="dxa"/>
            <w:vAlign w:val="bottom"/>
          </w:tcPr>
          <w:p w:rsidR="00BC38E9" w:rsidRPr="001D200B" w:rsidRDefault="00BC38E9" w:rsidP="00BC38E9">
            <w:pPr>
              <w:jc w:val="center"/>
              <w:rPr>
                <w:rFonts w:cstheme="minorHAnsi"/>
                <w:sz w:val="22"/>
                <w:szCs w:val="22"/>
              </w:rPr>
            </w:pPr>
            <w:r w:rsidRPr="001D200B">
              <w:rPr>
                <w:rFonts w:cstheme="minorHAnsi"/>
                <w:sz w:val="22"/>
                <w:szCs w:val="22"/>
              </w:rPr>
              <w:t>0,18</w:t>
            </w:r>
          </w:p>
        </w:tc>
        <w:tc>
          <w:tcPr>
            <w:tcW w:w="1559"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96</w:t>
            </w:r>
          </w:p>
        </w:tc>
      </w:tr>
      <w:tr w:rsidR="00BC38E9" w:rsidRPr="001D200B" w:rsidTr="00BC38E9">
        <w:trPr>
          <w:trHeight w:val="399"/>
        </w:trPr>
        <w:tc>
          <w:tcPr>
            <w:tcW w:w="1419" w:type="dxa"/>
            <w:shd w:val="clear" w:color="auto" w:fill="CC9900"/>
            <w:vAlign w:val="center"/>
          </w:tcPr>
          <w:p w:rsidR="00BC38E9" w:rsidRPr="001D200B" w:rsidRDefault="00BC38E9" w:rsidP="00BF6071">
            <w:pPr>
              <w:spacing w:line="240" w:lineRule="auto"/>
              <w:jc w:val="center"/>
              <w:rPr>
                <w:rFonts w:cstheme="minorHAnsi"/>
                <w:b/>
                <w:sz w:val="22"/>
                <w:szCs w:val="22"/>
              </w:rPr>
            </w:pPr>
            <w:r w:rsidRPr="001D200B">
              <w:rPr>
                <w:rFonts w:cstheme="minorHAnsi"/>
                <w:b/>
                <w:sz w:val="22"/>
                <w:szCs w:val="22"/>
              </w:rPr>
              <w:t>11</w:t>
            </w:r>
          </w:p>
        </w:tc>
        <w:tc>
          <w:tcPr>
            <w:tcW w:w="992" w:type="dxa"/>
            <w:vAlign w:val="center"/>
          </w:tcPr>
          <w:p w:rsidR="00BC38E9" w:rsidRPr="001D200B" w:rsidRDefault="00BC38E9" w:rsidP="003F0A2E">
            <w:pPr>
              <w:spacing w:line="240" w:lineRule="auto"/>
              <w:jc w:val="center"/>
              <w:rPr>
                <w:rFonts w:cstheme="minorHAnsi"/>
                <w:sz w:val="22"/>
                <w:szCs w:val="22"/>
              </w:rPr>
            </w:pPr>
            <w:r w:rsidRPr="001D200B">
              <w:rPr>
                <w:rFonts w:cstheme="minorHAnsi"/>
                <w:sz w:val="22"/>
                <w:szCs w:val="22"/>
              </w:rPr>
              <w:t>7,9</w:t>
            </w:r>
          </w:p>
        </w:tc>
        <w:tc>
          <w:tcPr>
            <w:tcW w:w="1134" w:type="dxa"/>
            <w:vAlign w:val="center"/>
          </w:tcPr>
          <w:p w:rsidR="00BC38E9" w:rsidRPr="001D200B" w:rsidRDefault="00BC38E9" w:rsidP="003F0A2E">
            <w:pPr>
              <w:jc w:val="center"/>
              <w:rPr>
                <w:rFonts w:ascii="Calibri" w:hAnsi="Calibri" w:cs="Calibri"/>
                <w:sz w:val="22"/>
                <w:szCs w:val="22"/>
              </w:rPr>
            </w:pPr>
            <w:r w:rsidRPr="001D200B">
              <w:rPr>
                <w:rFonts w:ascii="Calibri" w:hAnsi="Calibri" w:cstheme="minorHAnsi"/>
                <w:sz w:val="22"/>
                <w:szCs w:val="22"/>
              </w:rPr>
              <w:t>42</w:t>
            </w:r>
          </w:p>
        </w:tc>
        <w:tc>
          <w:tcPr>
            <w:tcW w:w="8080" w:type="dxa"/>
            <w:vAlign w:val="center"/>
          </w:tcPr>
          <w:p w:rsidR="00BC38E9" w:rsidRPr="001D200B" w:rsidRDefault="00BC38E9" w:rsidP="00525D60">
            <w:pPr>
              <w:spacing w:before="0" w:after="0" w:line="240" w:lineRule="auto"/>
              <w:rPr>
                <w:rFonts w:cstheme="minorHAnsi"/>
                <w:sz w:val="22"/>
                <w:szCs w:val="22"/>
              </w:rPr>
            </w:pPr>
            <w:r w:rsidRPr="001D200B">
              <w:rPr>
                <w:rFonts w:cstheme="minorHAnsi"/>
                <w:sz w:val="22"/>
                <w:szCs w:val="22"/>
              </w:rPr>
              <w:t>Obszary przewidziane pod zabudowę zagrodową i mieszkaniową jednorodzinną z usługami w miejscowości Łęg.</w:t>
            </w:r>
          </w:p>
        </w:tc>
        <w:tc>
          <w:tcPr>
            <w:tcW w:w="1559" w:type="dxa"/>
            <w:vAlign w:val="bottom"/>
          </w:tcPr>
          <w:p w:rsidR="00BC38E9" w:rsidRPr="001D200B" w:rsidRDefault="00BC38E9" w:rsidP="00BC38E9">
            <w:pPr>
              <w:jc w:val="center"/>
              <w:rPr>
                <w:rFonts w:cstheme="minorHAnsi"/>
                <w:sz w:val="22"/>
                <w:szCs w:val="22"/>
              </w:rPr>
            </w:pPr>
            <w:r w:rsidRPr="001D200B">
              <w:rPr>
                <w:rFonts w:cstheme="minorHAnsi"/>
                <w:sz w:val="22"/>
                <w:szCs w:val="22"/>
              </w:rPr>
              <w:t>0,16</w:t>
            </w:r>
          </w:p>
        </w:tc>
        <w:tc>
          <w:tcPr>
            <w:tcW w:w="1559"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71</w:t>
            </w:r>
          </w:p>
        </w:tc>
      </w:tr>
      <w:tr w:rsidR="00BC38E9" w:rsidRPr="001D200B" w:rsidTr="00BC38E9">
        <w:trPr>
          <w:trHeight w:val="391"/>
        </w:trPr>
        <w:tc>
          <w:tcPr>
            <w:tcW w:w="1419" w:type="dxa"/>
            <w:shd w:val="clear" w:color="auto" w:fill="CC9900"/>
            <w:vAlign w:val="center"/>
          </w:tcPr>
          <w:p w:rsidR="00BC38E9" w:rsidRPr="001D200B" w:rsidRDefault="00BC38E9" w:rsidP="00BF6071">
            <w:pPr>
              <w:spacing w:line="240" w:lineRule="auto"/>
              <w:jc w:val="center"/>
              <w:rPr>
                <w:rFonts w:cstheme="minorHAnsi"/>
                <w:b/>
                <w:sz w:val="22"/>
                <w:szCs w:val="22"/>
              </w:rPr>
            </w:pPr>
            <w:r w:rsidRPr="001D200B">
              <w:rPr>
                <w:rFonts w:cstheme="minorHAnsi"/>
                <w:b/>
                <w:sz w:val="22"/>
                <w:szCs w:val="22"/>
              </w:rPr>
              <w:t>12</w:t>
            </w:r>
          </w:p>
        </w:tc>
        <w:tc>
          <w:tcPr>
            <w:tcW w:w="992" w:type="dxa"/>
            <w:vAlign w:val="center"/>
          </w:tcPr>
          <w:p w:rsidR="00BC38E9" w:rsidRPr="001D200B" w:rsidRDefault="00BC38E9" w:rsidP="003F0A2E">
            <w:pPr>
              <w:spacing w:line="240" w:lineRule="auto"/>
              <w:jc w:val="center"/>
              <w:rPr>
                <w:rFonts w:cstheme="minorHAnsi"/>
                <w:sz w:val="22"/>
                <w:szCs w:val="22"/>
              </w:rPr>
            </w:pPr>
            <w:r w:rsidRPr="001D200B">
              <w:rPr>
                <w:rFonts w:cstheme="minorHAnsi"/>
                <w:sz w:val="22"/>
                <w:szCs w:val="22"/>
              </w:rPr>
              <w:t>5,5</w:t>
            </w:r>
          </w:p>
        </w:tc>
        <w:tc>
          <w:tcPr>
            <w:tcW w:w="1134" w:type="dxa"/>
            <w:vAlign w:val="center"/>
          </w:tcPr>
          <w:p w:rsidR="00BC38E9" w:rsidRPr="001D200B" w:rsidRDefault="00BC38E9" w:rsidP="003F0A2E">
            <w:pPr>
              <w:jc w:val="center"/>
              <w:rPr>
                <w:rFonts w:ascii="Calibri" w:hAnsi="Calibri" w:cs="Calibri"/>
                <w:sz w:val="22"/>
                <w:szCs w:val="22"/>
              </w:rPr>
            </w:pPr>
            <w:r w:rsidRPr="001D200B">
              <w:rPr>
                <w:rFonts w:ascii="Calibri" w:hAnsi="Calibri" w:cstheme="minorHAnsi"/>
                <w:sz w:val="22"/>
                <w:szCs w:val="22"/>
              </w:rPr>
              <w:t>29</w:t>
            </w:r>
          </w:p>
        </w:tc>
        <w:tc>
          <w:tcPr>
            <w:tcW w:w="8080" w:type="dxa"/>
            <w:vAlign w:val="center"/>
          </w:tcPr>
          <w:p w:rsidR="00BC38E9" w:rsidRPr="001D200B" w:rsidRDefault="00BC38E9" w:rsidP="00525D60">
            <w:pPr>
              <w:spacing w:before="0" w:after="0" w:line="240" w:lineRule="auto"/>
              <w:rPr>
                <w:rFonts w:cstheme="minorHAnsi"/>
                <w:sz w:val="22"/>
                <w:szCs w:val="22"/>
              </w:rPr>
            </w:pPr>
            <w:r w:rsidRPr="001D200B">
              <w:rPr>
                <w:rFonts w:cstheme="minorHAnsi"/>
                <w:sz w:val="22"/>
                <w:szCs w:val="22"/>
              </w:rPr>
              <w:t>Obszary przewidziane pod zabudowę zagrodową i mieszkaniową jednorodzinną z usługami w miejscowości Łęg. W części zlokalizowane w sąsiedztwie terenów już zainwestowanych zabudową o podobnych funkcjach.</w:t>
            </w:r>
          </w:p>
        </w:tc>
        <w:tc>
          <w:tcPr>
            <w:tcW w:w="1559" w:type="dxa"/>
            <w:vAlign w:val="bottom"/>
          </w:tcPr>
          <w:p w:rsidR="00BC38E9" w:rsidRPr="001D200B" w:rsidRDefault="00BC38E9" w:rsidP="00BC38E9">
            <w:pPr>
              <w:jc w:val="center"/>
              <w:rPr>
                <w:rFonts w:cstheme="minorHAnsi"/>
                <w:sz w:val="22"/>
                <w:szCs w:val="22"/>
              </w:rPr>
            </w:pPr>
            <w:r w:rsidRPr="001D200B">
              <w:rPr>
                <w:rFonts w:cstheme="minorHAnsi"/>
                <w:sz w:val="22"/>
                <w:szCs w:val="22"/>
              </w:rPr>
              <w:t>0,13</w:t>
            </w:r>
          </w:p>
        </w:tc>
        <w:tc>
          <w:tcPr>
            <w:tcW w:w="1559"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49</w:t>
            </w:r>
          </w:p>
        </w:tc>
      </w:tr>
      <w:tr w:rsidR="00BC38E9" w:rsidRPr="001D200B" w:rsidTr="00BC38E9">
        <w:trPr>
          <w:trHeight w:val="399"/>
        </w:trPr>
        <w:tc>
          <w:tcPr>
            <w:tcW w:w="1419" w:type="dxa"/>
            <w:shd w:val="clear" w:color="auto" w:fill="CC9900"/>
            <w:vAlign w:val="center"/>
          </w:tcPr>
          <w:p w:rsidR="00BC38E9" w:rsidRPr="001D200B" w:rsidRDefault="00BC38E9" w:rsidP="00BF6071">
            <w:pPr>
              <w:spacing w:line="240" w:lineRule="auto"/>
              <w:jc w:val="center"/>
              <w:rPr>
                <w:rFonts w:cstheme="minorHAnsi"/>
                <w:b/>
                <w:sz w:val="22"/>
                <w:szCs w:val="22"/>
              </w:rPr>
            </w:pPr>
            <w:r w:rsidRPr="001D200B">
              <w:rPr>
                <w:rFonts w:cstheme="minorHAnsi"/>
                <w:b/>
                <w:sz w:val="22"/>
                <w:szCs w:val="22"/>
              </w:rPr>
              <w:t>13</w:t>
            </w:r>
          </w:p>
        </w:tc>
        <w:tc>
          <w:tcPr>
            <w:tcW w:w="992" w:type="dxa"/>
            <w:vAlign w:val="center"/>
          </w:tcPr>
          <w:p w:rsidR="00BC38E9" w:rsidRPr="001D200B" w:rsidRDefault="00BC38E9" w:rsidP="003F0A2E">
            <w:pPr>
              <w:spacing w:line="240" w:lineRule="auto"/>
              <w:jc w:val="center"/>
              <w:rPr>
                <w:rFonts w:cstheme="minorHAnsi"/>
                <w:sz w:val="22"/>
                <w:szCs w:val="22"/>
              </w:rPr>
            </w:pPr>
            <w:r w:rsidRPr="001D200B">
              <w:rPr>
                <w:rFonts w:cstheme="minorHAnsi"/>
                <w:sz w:val="22"/>
                <w:szCs w:val="22"/>
              </w:rPr>
              <w:t>9,4</w:t>
            </w:r>
          </w:p>
        </w:tc>
        <w:tc>
          <w:tcPr>
            <w:tcW w:w="1134" w:type="dxa"/>
            <w:vAlign w:val="center"/>
          </w:tcPr>
          <w:p w:rsidR="00BC38E9" w:rsidRPr="001D200B" w:rsidRDefault="00BC38E9" w:rsidP="003F0A2E">
            <w:pPr>
              <w:jc w:val="center"/>
              <w:rPr>
                <w:rFonts w:ascii="Calibri" w:hAnsi="Calibri" w:cs="Calibri"/>
                <w:sz w:val="22"/>
                <w:szCs w:val="22"/>
              </w:rPr>
            </w:pPr>
            <w:r w:rsidRPr="001D200B">
              <w:rPr>
                <w:rFonts w:ascii="Calibri" w:hAnsi="Calibri" w:cstheme="minorHAnsi"/>
                <w:sz w:val="22"/>
                <w:szCs w:val="22"/>
              </w:rPr>
              <w:t>50</w:t>
            </w:r>
          </w:p>
        </w:tc>
        <w:tc>
          <w:tcPr>
            <w:tcW w:w="8080" w:type="dxa"/>
            <w:vAlign w:val="center"/>
          </w:tcPr>
          <w:p w:rsidR="00BC38E9" w:rsidRPr="001D200B" w:rsidRDefault="00BC38E9" w:rsidP="0005260C">
            <w:pPr>
              <w:spacing w:before="0" w:after="0" w:line="240" w:lineRule="auto"/>
              <w:rPr>
                <w:rFonts w:cstheme="minorHAnsi"/>
                <w:sz w:val="22"/>
                <w:szCs w:val="22"/>
              </w:rPr>
            </w:pPr>
            <w:r w:rsidRPr="001D200B">
              <w:rPr>
                <w:rFonts w:cstheme="minorHAnsi"/>
                <w:sz w:val="22"/>
                <w:szCs w:val="22"/>
              </w:rPr>
              <w:t>Obszary przewidziane pod zabudowę zagrodową i mieszkaniową jednorodzinną z usługami w miejscowości Zdzieci Stare. Zlokalizowane w sąsiedztwie terenów już zainwestowanych zabudową o podobnych funkcjach.</w:t>
            </w:r>
          </w:p>
        </w:tc>
        <w:tc>
          <w:tcPr>
            <w:tcW w:w="1559" w:type="dxa"/>
            <w:vAlign w:val="bottom"/>
          </w:tcPr>
          <w:p w:rsidR="00BC38E9" w:rsidRPr="001D200B" w:rsidRDefault="00BC38E9" w:rsidP="00BC38E9">
            <w:pPr>
              <w:jc w:val="center"/>
              <w:rPr>
                <w:rFonts w:cstheme="minorHAnsi"/>
                <w:sz w:val="22"/>
                <w:szCs w:val="22"/>
              </w:rPr>
            </w:pPr>
            <w:r w:rsidRPr="001D200B">
              <w:rPr>
                <w:rFonts w:cstheme="minorHAnsi"/>
                <w:sz w:val="22"/>
                <w:szCs w:val="22"/>
              </w:rPr>
              <w:t>0,16</w:t>
            </w:r>
          </w:p>
        </w:tc>
        <w:tc>
          <w:tcPr>
            <w:tcW w:w="1559"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85</w:t>
            </w:r>
          </w:p>
        </w:tc>
      </w:tr>
      <w:tr w:rsidR="00BC38E9" w:rsidRPr="001D200B" w:rsidTr="00BC38E9">
        <w:trPr>
          <w:trHeight w:val="399"/>
        </w:trPr>
        <w:tc>
          <w:tcPr>
            <w:tcW w:w="1419" w:type="dxa"/>
            <w:shd w:val="clear" w:color="auto" w:fill="CC9900"/>
            <w:vAlign w:val="center"/>
          </w:tcPr>
          <w:p w:rsidR="00BC38E9" w:rsidRPr="001D200B" w:rsidRDefault="00BC38E9" w:rsidP="00BF6071">
            <w:pPr>
              <w:spacing w:line="240" w:lineRule="auto"/>
              <w:jc w:val="center"/>
              <w:rPr>
                <w:rFonts w:cstheme="minorHAnsi"/>
                <w:b/>
                <w:sz w:val="22"/>
                <w:szCs w:val="22"/>
              </w:rPr>
            </w:pPr>
            <w:r w:rsidRPr="001D200B">
              <w:rPr>
                <w:rFonts w:cstheme="minorHAnsi"/>
                <w:b/>
                <w:sz w:val="22"/>
                <w:szCs w:val="22"/>
              </w:rPr>
              <w:t>14</w:t>
            </w:r>
          </w:p>
        </w:tc>
        <w:tc>
          <w:tcPr>
            <w:tcW w:w="992" w:type="dxa"/>
            <w:vAlign w:val="center"/>
          </w:tcPr>
          <w:p w:rsidR="00BC38E9" w:rsidRPr="001D200B" w:rsidRDefault="00BC38E9" w:rsidP="003F0A2E">
            <w:pPr>
              <w:spacing w:line="240" w:lineRule="auto"/>
              <w:jc w:val="center"/>
              <w:rPr>
                <w:rFonts w:cstheme="minorHAnsi"/>
                <w:sz w:val="22"/>
                <w:szCs w:val="22"/>
              </w:rPr>
            </w:pPr>
            <w:r w:rsidRPr="001D200B">
              <w:rPr>
                <w:rFonts w:cstheme="minorHAnsi"/>
                <w:sz w:val="22"/>
                <w:szCs w:val="22"/>
              </w:rPr>
              <w:t>1,1</w:t>
            </w:r>
          </w:p>
        </w:tc>
        <w:tc>
          <w:tcPr>
            <w:tcW w:w="1134" w:type="dxa"/>
            <w:vAlign w:val="center"/>
          </w:tcPr>
          <w:p w:rsidR="00BC38E9" w:rsidRPr="001D200B" w:rsidRDefault="00BC38E9" w:rsidP="003F0A2E">
            <w:pPr>
              <w:jc w:val="center"/>
              <w:rPr>
                <w:rFonts w:ascii="Calibri" w:hAnsi="Calibri" w:cs="Calibri"/>
                <w:sz w:val="22"/>
                <w:szCs w:val="22"/>
              </w:rPr>
            </w:pPr>
            <w:r w:rsidRPr="001D200B">
              <w:rPr>
                <w:rFonts w:ascii="Calibri" w:hAnsi="Calibri" w:cstheme="minorHAnsi"/>
                <w:sz w:val="22"/>
                <w:szCs w:val="22"/>
              </w:rPr>
              <w:t>6</w:t>
            </w:r>
          </w:p>
        </w:tc>
        <w:tc>
          <w:tcPr>
            <w:tcW w:w="8080" w:type="dxa"/>
            <w:vAlign w:val="center"/>
          </w:tcPr>
          <w:p w:rsidR="00BC38E9" w:rsidRPr="001D200B" w:rsidRDefault="00BC38E9" w:rsidP="00FA6251">
            <w:pPr>
              <w:spacing w:before="0" w:after="0" w:line="240" w:lineRule="auto"/>
              <w:rPr>
                <w:rFonts w:cstheme="minorHAnsi"/>
                <w:sz w:val="22"/>
                <w:szCs w:val="22"/>
              </w:rPr>
            </w:pPr>
            <w:r w:rsidRPr="001D200B">
              <w:rPr>
                <w:rFonts w:cstheme="minorHAnsi"/>
                <w:sz w:val="22"/>
                <w:szCs w:val="22"/>
              </w:rPr>
              <w:t>Obszary przewidziane pod zabudowę zagrodową i mieszkaniową jednorodzinną z usługami w miejscowości Ruszcza. Zlokalizowane w sąsiedztwie terenów już zainwestowanych zabudową o podobnych funkcjach.</w:t>
            </w:r>
          </w:p>
        </w:tc>
        <w:tc>
          <w:tcPr>
            <w:tcW w:w="1559" w:type="dxa"/>
            <w:vAlign w:val="bottom"/>
          </w:tcPr>
          <w:p w:rsidR="00BC38E9" w:rsidRPr="001D200B" w:rsidRDefault="00BC38E9" w:rsidP="00BC38E9">
            <w:pPr>
              <w:jc w:val="center"/>
              <w:rPr>
                <w:rFonts w:cstheme="minorHAnsi"/>
                <w:sz w:val="22"/>
                <w:szCs w:val="22"/>
              </w:rPr>
            </w:pPr>
            <w:r w:rsidRPr="001D200B">
              <w:rPr>
                <w:rFonts w:cstheme="minorHAnsi"/>
                <w:sz w:val="22"/>
                <w:szCs w:val="22"/>
              </w:rPr>
              <w:t>0,06</w:t>
            </w:r>
          </w:p>
        </w:tc>
        <w:tc>
          <w:tcPr>
            <w:tcW w:w="1559"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10</w:t>
            </w:r>
          </w:p>
        </w:tc>
      </w:tr>
      <w:tr w:rsidR="00BC38E9" w:rsidRPr="001D200B" w:rsidTr="00BC38E9">
        <w:trPr>
          <w:trHeight w:val="399"/>
        </w:trPr>
        <w:tc>
          <w:tcPr>
            <w:tcW w:w="1419" w:type="dxa"/>
            <w:shd w:val="clear" w:color="auto" w:fill="CC9900"/>
            <w:vAlign w:val="center"/>
          </w:tcPr>
          <w:p w:rsidR="00BC38E9" w:rsidRPr="001D200B" w:rsidRDefault="00BC38E9" w:rsidP="00BF6071">
            <w:pPr>
              <w:spacing w:line="240" w:lineRule="auto"/>
              <w:jc w:val="center"/>
              <w:rPr>
                <w:rFonts w:cstheme="minorHAnsi"/>
                <w:b/>
                <w:sz w:val="22"/>
                <w:szCs w:val="22"/>
              </w:rPr>
            </w:pPr>
            <w:r w:rsidRPr="001D200B">
              <w:rPr>
                <w:rFonts w:cstheme="minorHAnsi"/>
                <w:b/>
                <w:sz w:val="22"/>
                <w:szCs w:val="22"/>
              </w:rPr>
              <w:t>15</w:t>
            </w:r>
          </w:p>
        </w:tc>
        <w:tc>
          <w:tcPr>
            <w:tcW w:w="992" w:type="dxa"/>
            <w:vAlign w:val="center"/>
          </w:tcPr>
          <w:p w:rsidR="00BC38E9" w:rsidRPr="001D200B" w:rsidRDefault="00BC38E9" w:rsidP="003F0A2E">
            <w:pPr>
              <w:spacing w:line="240" w:lineRule="auto"/>
              <w:jc w:val="center"/>
              <w:rPr>
                <w:rFonts w:cstheme="minorHAnsi"/>
                <w:sz w:val="22"/>
                <w:szCs w:val="22"/>
              </w:rPr>
            </w:pPr>
            <w:r w:rsidRPr="001D200B">
              <w:rPr>
                <w:rFonts w:cstheme="minorHAnsi"/>
                <w:sz w:val="22"/>
                <w:szCs w:val="22"/>
              </w:rPr>
              <w:t>12,3</w:t>
            </w:r>
          </w:p>
        </w:tc>
        <w:tc>
          <w:tcPr>
            <w:tcW w:w="1134" w:type="dxa"/>
            <w:vAlign w:val="center"/>
          </w:tcPr>
          <w:p w:rsidR="00BC38E9" w:rsidRPr="001D200B" w:rsidRDefault="00BC38E9" w:rsidP="003F0A2E">
            <w:pPr>
              <w:jc w:val="center"/>
              <w:rPr>
                <w:rFonts w:ascii="Calibri" w:hAnsi="Calibri" w:cs="Calibri"/>
                <w:sz w:val="22"/>
                <w:szCs w:val="22"/>
              </w:rPr>
            </w:pPr>
            <w:r w:rsidRPr="001D200B">
              <w:rPr>
                <w:rFonts w:ascii="Calibri" w:hAnsi="Calibri" w:cstheme="minorHAnsi"/>
                <w:sz w:val="22"/>
                <w:szCs w:val="22"/>
              </w:rPr>
              <w:t>66</w:t>
            </w:r>
          </w:p>
        </w:tc>
        <w:tc>
          <w:tcPr>
            <w:tcW w:w="8080" w:type="dxa"/>
            <w:vAlign w:val="center"/>
          </w:tcPr>
          <w:p w:rsidR="00BC38E9" w:rsidRPr="001D200B" w:rsidRDefault="00BC38E9" w:rsidP="00FA6251">
            <w:pPr>
              <w:spacing w:before="0" w:after="0" w:line="240" w:lineRule="auto"/>
              <w:rPr>
                <w:rFonts w:cstheme="minorHAnsi"/>
                <w:sz w:val="22"/>
                <w:szCs w:val="22"/>
              </w:rPr>
            </w:pPr>
            <w:r w:rsidRPr="001D200B">
              <w:rPr>
                <w:rFonts w:cstheme="minorHAnsi"/>
                <w:sz w:val="22"/>
                <w:szCs w:val="22"/>
              </w:rPr>
              <w:t>Obszary przewidziane pod zabudowę zagrodową i mieszkaniową jednorodzinną z usługami w miejscowości Ruszcza.</w:t>
            </w:r>
          </w:p>
        </w:tc>
        <w:tc>
          <w:tcPr>
            <w:tcW w:w="1559" w:type="dxa"/>
            <w:vAlign w:val="bottom"/>
          </w:tcPr>
          <w:p w:rsidR="00BC38E9" w:rsidRPr="001D200B" w:rsidRDefault="00BC38E9" w:rsidP="00BC38E9">
            <w:pPr>
              <w:jc w:val="center"/>
              <w:rPr>
                <w:rFonts w:cstheme="minorHAnsi"/>
                <w:sz w:val="22"/>
                <w:szCs w:val="22"/>
              </w:rPr>
            </w:pPr>
            <w:r w:rsidRPr="001D200B">
              <w:rPr>
                <w:rFonts w:cstheme="minorHAnsi"/>
                <w:sz w:val="22"/>
                <w:szCs w:val="22"/>
              </w:rPr>
              <w:t>0,19</w:t>
            </w:r>
          </w:p>
        </w:tc>
        <w:tc>
          <w:tcPr>
            <w:tcW w:w="1559"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112</w:t>
            </w:r>
          </w:p>
        </w:tc>
      </w:tr>
      <w:tr w:rsidR="00BC38E9" w:rsidRPr="001D200B" w:rsidTr="00BC38E9">
        <w:trPr>
          <w:trHeight w:val="399"/>
        </w:trPr>
        <w:tc>
          <w:tcPr>
            <w:tcW w:w="1419" w:type="dxa"/>
            <w:shd w:val="clear" w:color="auto" w:fill="CC9900"/>
            <w:vAlign w:val="center"/>
          </w:tcPr>
          <w:p w:rsidR="00BC38E9" w:rsidRPr="001D200B" w:rsidRDefault="00BC38E9" w:rsidP="003556EE">
            <w:pPr>
              <w:spacing w:line="240" w:lineRule="auto"/>
              <w:jc w:val="center"/>
              <w:rPr>
                <w:rFonts w:cstheme="minorHAnsi"/>
                <w:b/>
                <w:sz w:val="22"/>
                <w:szCs w:val="22"/>
              </w:rPr>
            </w:pPr>
            <w:r w:rsidRPr="001D200B">
              <w:rPr>
                <w:rFonts w:cstheme="minorHAnsi"/>
                <w:b/>
                <w:sz w:val="22"/>
                <w:szCs w:val="22"/>
              </w:rPr>
              <w:t>16</w:t>
            </w:r>
          </w:p>
        </w:tc>
        <w:tc>
          <w:tcPr>
            <w:tcW w:w="992" w:type="dxa"/>
            <w:vAlign w:val="center"/>
          </w:tcPr>
          <w:p w:rsidR="00BC38E9" w:rsidRPr="001D200B" w:rsidRDefault="00BC38E9" w:rsidP="003F0A2E">
            <w:pPr>
              <w:spacing w:line="240" w:lineRule="auto"/>
              <w:jc w:val="center"/>
              <w:rPr>
                <w:rFonts w:cstheme="minorHAnsi"/>
                <w:sz w:val="22"/>
                <w:szCs w:val="22"/>
              </w:rPr>
            </w:pPr>
            <w:r w:rsidRPr="001D200B">
              <w:rPr>
                <w:rFonts w:cstheme="minorHAnsi"/>
                <w:sz w:val="22"/>
                <w:szCs w:val="22"/>
              </w:rPr>
              <w:t>2,4</w:t>
            </w:r>
          </w:p>
        </w:tc>
        <w:tc>
          <w:tcPr>
            <w:tcW w:w="1134" w:type="dxa"/>
            <w:vAlign w:val="center"/>
          </w:tcPr>
          <w:p w:rsidR="00BC38E9" w:rsidRPr="001D200B" w:rsidRDefault="00BC38E9" w:rsidP="003F0A2E">
            <w:pPr>
              <w:jc w:val="center"/>
              <w:rPr>
                <w:rFonts w:ascii="Calibri" w:hAnsi="Calibri" w:cs="Calibri"/>
                <w:sz w:val="22"/>
                <w:szCs w:val="22"/>
              </w:rPr>
            </w:pPr>
            <w:r w:rsidRPr="001D200B">
              <w:rPr>
                <w:rFonts w:ascii="Calibri" w:hAnsi="Calibri" w:cstheme="minorHAnsi"/>
                <w:sz w:val="22"/>
                <w:szCs w:val="22"/>
              </w:rPr>
              <w:t>13</w:t>
            </w:r>
          </w:p>
        </w:tc>
        <w:tc>
          <w:tcPr>
            <w:tcW w:w="8080" w:type="dxa"/>
            <w:vAlign w:val="center"/>
          </w:tcPr>
          <w:p w:rsidR="00BC38E9" w:rsidRPr="001D200B" w:rsidRDefault="00BC38E9" w:rsidP="00AC6CAC">
            <w:pPr>
              <w:spacing w:before="0" w:after="0" w:line="240" w:lineRule="auto"/>
              <w:rPr>
                <w:rFonts w:cstheme="minorHAnsi"/>
                <w:sz w:val="22"/>
                <w:szCs w:val="22"/>
              </w:rPr>
            </w:pPr>
            <w:r w:rsidRPr="001D200B">
              <w:rPr>
                <w:rFonts w:cstheme="minorHAnsi"/>
                <w:sz w:val="22"/>
                <w:szCs w:val="22"/>
              </w:rPr>
              <w:t>Obszary przewidziane pod zabudowę zagrodową i mieszkaniową jednorodzinną z usługami w miejscowości Ruszcza.</w:t>
            </w:r>
          </w:p>
        </w:tc>
        <w:tc>
          <w:tcPr>
            <w:tcW w:w="1559" w:type="dxa"/>
            <w:vAlign w:val="bottom"/>
          </w:tcPr>
          <w:p w:rsidR="00BC38E9" w:rsidRPr="001D200B" w:rsidRDefault="00BC38E9" w:rsidP="00BC38E9">
            <w:pPr>
              <w:jc w:val="center"/>
              <w:rPr>
                <w:rFonts w:cstheme="minorHAnsi"/>
                <w:sz w:val="22"/>
                <w:szCs w:val="22"/>
              </w:rPr>
            </w:pPr>
            <w:r w:rsidRPr="001D200B">
              <w:rPr>
                <w:rFonts w:cstheme="minorHAnsi"/>
                <w:sz w:val="22"/>
                <w:szCs w:val="22"/>
              </w:rPr>
              <w:t>0,09</w:t>
            </w:r>
          </w:p>
        </w:tc>
        <w:tc>
          <w:tcPr>
            <w:tcW w:w="1559"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22</w:t>
            </w:r>
          </w:p>
        </w:tc>
      </w:tr>
      <w:tr w:rsidR="00BC38E9" w:rsidRPr="001D200B" w:rsidTr="00BC38E9">
        <w:trPr>
          <w:trHeight w:val="399"/>
        </w:trPr>
        <w:tc>
          <w:tcPr>
            <w:tcW w:w="1419" w:type="dxa"/>
            <w:shd w:val="clear" w:color="auto" w:fill="CC9900"/>
            <w:vAlign w:val="center"/>
          </w:tcPr>
          <w:p w:rsidR="00BC38E9" w:rsidRPr="001D200B" w:rsidRDefault="00BC38E9" w:rsidP="003556EE">
            <w:pPr>
              <w:spacing w:line="240" w:lineRule="auto"/>
              <w:jc w:val="center"/>
              <w:rPr>
                <w:rFonts w:cstheme="minorHAnsi"/>
                <w:b/>
                <w:sz w:val="22"/>
                <w:szCs w:val="22"/>
              </w:rPr>
            </w:pPr>
            <w:r w:rsidRPr="001D200B">
              <w:rPr>
                <w:rFonts w:cstheme="minorHAnsi"/>
                <w:b/>
                <w:sz w:val="22"/>
                <w:szCs w:val="22"/>
              </w:rPr>
              <w:t>17</w:t>
            </w:r>
          </w:p>
        </w:tc>
        <w:tc>
          <w:tcPr>
            <w:tcW w:w="992" w:type="dxa"/>
            <w:vAlign w:val="center"/>
          </w:tcPr>
          <w:p w:rsidR="00BC38E9" w:rsidRPr="001D200B" w:rsidRDefault="00BC38E9" w:rsidP="003F0A2E">
            <w:pPr>
              <w:spacing w:line="240" w:lineRule="auto"/>
              <w:jc w:val="center"/>
              <w:rPr>
                <w:rFonts w:cstheme="minorHAnsi"/>
                <w:sz w:val="22"/>
                <w:szCs w:val="22"/>
              </w:rPr>
            </w:pPr>
            <w:r w:rsidRPr="001D200B">
              <w:rPr>
                <w:rFonts w:cstheme="minorHAnsi"/>
                <w:sz w:val="22"/>
                <w:szCs w:val="22"/>
              </w:rPr>
              <w:t>0,8</w:t>
            </w:r>
          </w:p>
        </w:tc>
        <w:tc>
          <w:tcPr>
            <w:tcW w:w="1134" w:type="dxa"/>
            <w:vAlign w:val="center"/>
          </w:tcPr>
          <w:p w:rsidR="00BC38E9" w:rsidRPr="001D200B" w:rsidRDefault="00BC38E9" w:rsidP="003F0A2E">
            <w:pPr>
              <w:jc w:val="center"/>
              <w:rPr>
                <w:rFonts w:ascii="Calibri" w:hAnsi="Calibri" w:cs="Calibri"/>
                <w:sz w:val="22"/>
                <w:szCs w:val="22"/>
              </w:rPr>
            </w:pPr>
            <w:r w:rsidRPr="001D200B">
              <w:rPr>
                <w:rFonts w:ascii="Calibri" w:hAnsi="Calibri" w:cstheme="minorHAnsi"/>
                <w:sz w:val="22"/>
                <w:szCs w:val="22"/>
              </w:rPr>
              <w:t>4</w:t>
            </w:r>
          </w:p>
        </w:tc>
        <w:tc>
          <w:tcPr>
            <w:tcW w:w="8080" w:type="dxa"/>
            <w:vAlign w:val="center"/>
          </w:tcPr>
          <w:p w:rsidR="00BC38E9" w:rsidRPr="001D200B" w:rsidRDefault="00BC38E9" w:rsidP="00AC43C5">
            <w:pPr>
              <w:spacing w:before="0" w:after="0" w:line="240" w:lineRule="auto"/>
              <w:rPr>
                <w:rFonts w:cstheme="minorHAnsi"/>
                <w:sz w:val="22"/>
                <w:szCs w:val="22"/>
              </w:rPr>
            </w:pPr>
            <w:r w:rsidRPr="001D200B">
              <w:rPr>
                <w:rFonts w:cstheme="minorHAnsi"/>
                <w:sz w:val="22"/>
                <w:szCs w:val="22"/>
              </w:rPr>
              <w:t>Obszary przewidziane pod zabudowę zagrodową i mieszkaniową jednorodzinną z usługami w miejscowości Rybitwy. Zlokalizowane w sąsiedztwie terenów już zainwestowanych zabudową o podobnych funkcjach.</w:t>
            </w:r>
          </w:p>
        </w:tc>
        <w:tc>
          <w:tcPr>
            <w:tcW w:w="1559" w:type="dxa"/>
            <w:vAlign w:val="center"/>
          </w:tcPr>
          <w:p w:rsidR="00BC38E9" w:rsidRPr="001D200B" w:rsidRDefault="00BC38E9" w:rsidP="00BC38E9">
            <w:pPr>
              <w:jc w:val="center"/>
              <w:rPr>
                <w:rFonts w:cstheme="minorHAnsi"/>
                <w:sz w:val="22"/>
                <w:szCs w:val="22"/>
              </w:rPr>
            </w:pPr>
            <w:r w:rsidRPr="001D200B">
              <w:rPr>
                <w:rFonts w:cstheme="minorHAnsi"/>
                <w:sz w:val="22"/>
                <w:szCs w:val="22"/>
              </w:rPr>
              <w:t>0,05</w:t>
            </w:r>
          </w:p>
        </w:tc>
        <w:tc>
          <w:tcPr>
            <w:tcW w:w="1559" w:type="dxa"/>
            <w:gridSpan w:val="2"/>
            <w:vAlign w:val="center"/>
          </w:tcPr>
          <w:p w:rsidR="00BC38E9" w:rsidRPr="001D200B" w:rsidRDefault="00BC38E9" w:rsidP="00BC38E9">
            <w:pPr>
              <w:jc w:val="center"/>
              <w:rPr>
                <w:rFonts w:cstheme="minorHAnsi"/>
                <w:sz w:val="22"/>
                <w:szCs w:val="22"/>
              </w:rPr>
            </w:pPr>
            <w:r w:rsidRPr="001D200B">
              <w:rPr>
                <w:rFonts w:cstheme="minorHAnsi"/>
                <w:sz w:val="22"/>
                <w:szCs w:val="22"/>
              </w:rPr>
              <w:t>6</w:t>
            </w:r>
          </w:p>
        </w:tc>
      </w:tr>
      <w:tr w:rsidR="00BC38E9" w:rsidRPr="001D200B" w:rsidTr="00BC38E9">
        <w:trPr>
          <w:trHeight w:val="399"/>
        </w:trPr>
        <w:tc>
          <w:tcPr>
            <w:tcW w:w="1419" w:type="dxa"/>
            <w:shd w:val="clear" w:color="auto" w:fill="CC9900"/>
            <w:vAlign w:val="center"/>
          </w:tcPr>
          <w:p w:rsidR="00BC38E9" w:rsidRPr="001D200B" w:rsidRDefault="00BC38E9" w:rsidP="003556EE">
            <w:pPr>
              <w:spacing w:line="240" w:lineRule="auto"/>
              <w:jc w:val="center"/>
              <w:rPr>
                <w:rFonts w:cstheme="minorHAnsi"/>
                <w:b/>
                <w:sz w:val="22"/>
                <w:szCs w:val="22"/>
              </w:rPr>
            </w:pPr>
            <w:r w:rsidRPr="001D200B">
              <w:rPr>
                <w:rFonts w:cstheme="minorHAnsi"/>
                <w:b/>
                <w:sz w:val="22"/>
                <w:szCs w:val="22"/>
              </w:rPr>
              <w:t>18</w:t>
            </w:r>
          </w:p>
        </w:tc>
        <w:tc>
          <w:tcPr>
            <w:tcW w:w="992" w:type="dxa"/>
            <w:vAlign w:val="center"/>
          </w:tcPr>
          <w:p w:rsidR="00BC38E9" w:rsidRPr="001D200B" w:rsidRDefault="00BC38E9" w:rsidP="003F0A2E">
            <w:pPr>
              <w:spacing w:line="240" w:lineRule="auto"/>
              <w:jc w:val="center"/>
              <w:rPr>
                <w:rFonts w:cstheme="minorHAnsi"/>
                <w:sz w:val="22"/>
                <w:szCs w:val="22"/>
              </w:rPr>
            </w:pPr>
            <w:r w:rsidRPr="001D200B">
              <w:rPr>
                <w:rFonts w:cstheme="minorHAnsi"/>
                <w:sz w:val="22"/>
                <w:szCs w:val="22"/>
              </w:rPr>
              <w:t>5,1</w:t>
            </w:r>
          </w:p>
        </w:tc>
        <w:tc>
          <w:tcPr>
            <w:tcW w:w="1134" w:type="dxa"/>
            <w:vAlign w:val="center"/>
          </w:tcPr>
          <w:p w:rsidR="00BC38E9" w:rsidRPr="001D200B" w:rsidRDefault="00BC38E9" w:rsidP="003F0A2E">
            <w:pPr>
              <w:jc w:val="center"/>
              <w:rPr>
                <w:rFonts w:ascii="Calibri" w:hAnsi="Calibri" w:cs="Calibri"/>
                <w:sz w:val="22"/>
                <w:szCs w:val="22"/>
              </w:rPr>
            </w:pPr>
            <w:r w:rsidRPr="001D200B">
              <w:rPr>
                <w:rFonts w:ascii="Calibri" w:hAnsi="Calibri" w:cstheme="minorHAnsi"/>
                <w:sz w:val="22"/>
                <w:szCs w:val="22"/>
              </w:rPr>
              <w:t>27</w:t>
            </w:r>
          </w:p>
        </w:tc>
        <w:tc>
          <w:tcPr>
            <w:tcW w:w="8080" w:type="dxa"/>
            <w:vAlign w:val="center"/>
          </w:tcPr>
          <w:p w:rsidR="00BC38E9" w:rsidRPr="001D200B" w:rsidRDefault="00BC38E9" w:rsidP="007B58D5">
            <w:pPr>
              <w:spacing w:before="0" w:after="0" w:line="240" w:lineRule="auto"/>
              <w:rPr>
                <w:rFonts w:cstheme="minorHAnsi"/>
                <w:sz w:val="22"/>
                <w:szCs w:val="22"/>
              </w:rPr>
            </w:pPr>
            <w:r w:rsidRPr="001D200B">
              <w:rPr>
                <w:rFonts w:cstheme="minorHAnsi"/>
                <w:sz w:val="22"/>
                <w:szCs w:val="22"/>
              </w:rPr>
              <w:t>Obszary przewidziane pod zabudowę zagrodową i mieszkaniową jednorodzinną z usługami w miejscowości Rybitwy. Zlokalizowane w sąsiedztwie terenów już zainwestowanych zabudową o podobnych funkcjach.</w:t>
            </w:r>
          </w:p>
        </w:tc>
        <w:tc>
          <w:tcPr>
            <w:tcW w:w="1559" w:type="dxa"/>
            <w:vAlign w:val="center"/>
          </w:tcPr>
          <w:p w:rsidR="00BC38E9" w:rsidRPr="001D200B" w:rsidRDefault="00BC38E9" w:rsidP="00BC38E9">
            <w:pPr>
              <w:jc w:val="center"/>
              <w:rPr>
                <w:rFonts w:cstheme="minorHAnsi"/>
                <w:sz w:val="22"/>
                <w:szCs w:val="22"/>
              </w:rPr>
            </w:pPr>
            <w:r w:rsidRPr="001D200B">
              <w:rPr>
                <w:rFonts w:cstheme="minorHAnsi"/>
                <w:sz w:val="22"/>
                <w:szCs w:val="22"/>
              </w:rPr>
              <w:t>0,13</w:t>
            </w:r>
          </w:p>
        </w:tc>
        <w:tc>
          <w:tcPr>
            <w:tcW w:w="1559" w:type="dxa"/>
            <w:gridSpan w:val="2"/>
            <w:vAlign w:val="center"/>
          </w:tcPr>
          <w:p w:rsidR="00BC38E9" w:rsidRPr="001D200B" w:rsidRDefault="00BC38E9" w:rsidP="00BC38E9">
            <w:pPr>
              <w:jc w:val="center"/>
              <w:rPr>
                <w:rFonts w:cstheme="minorHAnsi"/>
                <w:sz w:val="22"/>
                <w:szCs w:val="22"/>
              </w:rPr>
            </w:pPr>
            <w:r w:rsidRPr="001D200B">
              <w:rPr>
                <w:rFonts w:cstheme="minorHAnsi"/>
                <w:sz w:val="22"/>
                <w:szCs w:val="22"/>
              </w:rPr>
              <w:t>45</w:t>
            </w:r>
          </w:p>
        </w:tc>
      </w:tr>
      <w:tr w:rsidR="00BC38E9" w:rsidRPr="001D200B" w:rsidTr="00BC38E9">
        <w:trPr>
          <w:trHeight w:val="399"/>
        </w:trPr>
        <w:tc>
          <w:tcPr>
            <w:tcW w:w="1419" w:type="dxa"/>
            <w:shd w:val="clear" w:color="auto" w:fill="CC9900"/>
            <w:vAlign w:val="center"/>
          </w:tcPr>
          <w:p w:rsidR="00BC38E9" w:rsidRPr="001D200B" w:rsidRDefault="00BC38E9" w:rsidP="003556EE">
            <w:pPr>
              <w:spacing w:line="240" w:lineRule="auto"/>
              <w:jc w:val="center"/>
              <w:rPr>
                <w:rFonts w:cstheme="minorHAnsi"/>
                <w:b/>
                <w:sz w:val="22"/>
                <w:szCs w:val="22"/>
              </w:rPr>
            </w:pPr>
            <w:r w:rsidRPr="001D200B">
              <w:rPr>
                <w:rFonts w:cstheme="minorHAnsi"/>
                <w:b/>
                <w:sz w:val="22"/>
                <w:szCs w:val="22"/>
              </w:rPr>
              <w:lastRenderedPageBreak/>
              <w:t>19</w:t>
            </w:r>
          </w:p>
        </w:tc>
        <w:tc>
          <w:tcPr>
            <w:tcW w:w="992" w:type="dxa"/>
            <w:vAlign w:val="center"/>
          </w:tcPr>
          <w:p w:rsidR="00BC38E9" w:rsidRPr="001D200B" w:rsidRDefault="00BC38E9" w:rsidP="003F0A2E">
            <w:pPr>
              <w:spacing w:line="240" w:lineRule="auto"/>
              <w:jc w:val="center"/>
              <w:rPr>
                <w:rFonts w:cstheme="minorHAnsi"/>
                <w:sz w:val="22"/>
                <w:szCs w:val="22"/>
              </w:rPr>
            </w:pPr>
            <w:r w:rsidRPr="001D200B">
              <w:rPr>
                <w:rFonts w:cstheme="minorHAnsi"/>
                <w:sz w:val="22"/>
                <w:szCs w:val="22"/>
              </w:rPr>
              <w:t>3,6</w:t>
            </w:r>
          </w:p>
        </w:tc>
        <w:tc>
          <w:tcPr>
            <w:tcW w:w="1134" w:type="dxa"/>
            <w:vAlign w:val="center"/>
          </w:tcPr>
          <w:p w:rsidR="00BC38E9" w:rsidRPr="001D200B" w:rsidRDefault="00BC38E9" w:rsidP="003F0A2E">
            <w:pPr>
              <w:jc w:val="center"/>
              <w:rPr>
                <w:rFonts w:ascii="Calibri" w:hAnsi="Calibri" w:cs="Calibri"/>
                <w:sz w:val="22"/>
                <w:szCs w:val="22"/>
              </w:rPr>
            </w:pPr>
            <w:r w:rsidRPr="001D200B">
              <w:rPr>
                <w:rFonts w:ascii="Calibri" w:hAnsi="Calibri" w:cstheme="minorHAnsi"/>
                <w:sz w:val="22"/>
                <w:szCs w:val="22"/>
              </w:rPr>
              <w:t>19</w:t>
            </w:r>
          </w:p>
        </w:tc>
        <w:tc>
          <w:tcPr>
            <w:tcW w:w="8080" w:type="dxa"/>
            <w:vAlign w:val="center"/>
          </w:tcPr>
          <w:p w:rsidR="00BC38E9" w:rsidRPr="001D200B" w:rsidRDefault="00BC38E9" w:rsidP="00E27C2E">
            <w:pPr>
              <w:spacing w:before="0" w:after="0" w:line="240" w:lineRule="auto"/>
              <w:rPr>
                <w:rFonts w:cstheme="minorHAnsi"/>
                <w:sz w:val="22"/>
                <w:szCs w:val="22"/>
              </w:rPr>
            </w:pPr>
            <w:r w:rsidRPr="001D200B">
              <w:rPr>
                <w:rFonts w:cstheme="minorHAnsi"/>
                <w:sz w:val="22"/>
                <w:szCs w:val="22"/>
              </w:rPr>
              <w:t>Obszary przewidziane pod zabudowę zagrodową i mieszkaniową jednorodzinną z usługami w miejscowości Kraśnik.</w:t>
            </w:r>
          </w:p>
        </w:tc>
        <w:tc>
          <w:tcPr>
            <w:tcW w:w="1559" w:type="dxa"/>
            <w:vAlign w:val="center"/>
          </w:tcPr>
          <w:p w:rsidR="00BC38E9" w:rsidRPr="001D200B" w:rsidRDefault="00BC38E9" w:rsidP="00BC38E9">
            <w:pPr>
              <w:jc w:val="center"/>
              <w:rPr>
                <w:rFonts w:cstheme="minorHAnsi"/>
                <w:sz w:val="22"/>
                <w:szCs w:val="22"/>
              </w:rPr>
            </w:pPr>
            <w:r w:rsidRPr="001D200B">
              <w:rPr>
                <w:rFonts w:cstheme="minorHAnsi"/>
                <w:sz w:val="22"/>
                <w:szCs w:val="22"/>
              </w:rPr>
              <w:t>0,11</w:t>
            </w:r>
          </w:p>
        </w:tc>
        <w:tc>
          <w:tcPr>
            <w:tcW w:w="1559" w:type="dxa"/>
            <w:gridSpan w:val="2"/>
            <w:vAlign w:val="center"/>
          </w:tcPr>
          <w:p w:rsidR="00BC38E9" w:rsidRPr="001D200B" w:rsidRDefault="00BC38E9" w:rsidP="00BC38E9">
            <w:pPr>
              <w:jc w:val="center"/>
              <w:rPr>
                <w:rFonts w:cstheme="minorHAnsi"/>
                <w:sz w:val="22"/>
                <w:szCs w:val="22"/>
              </w:rPr>
            </w:pPr>
            <w:r w:rsidRPr="001D200B">
              <w:rPr>
                <w:rFonts w:cstheme="minorHAnsi"/>
                <w:sz w:val="22"/>
                <w:szCs w:val="22"/>
              </w:rPr>
              <w:t>32</w:t>
            </w:r>
          </w:p>
        </w:tc>
      </w:tr>
      <w:tr w:rsidR="00BC38E9" w:rsidRPr="001D200B" w:rsidTr="00BC38E9">
        <w:trPr>
          <w:trHeight w:val="399"/>
        </w:trPr>
        <w:tc>
          <w:tcPr>
            <w:tcW w:w="1419" w:type="dxa"/>
            <w:shd w:val="clear" w:color="auto" w:fill="FF6699"/>
            <w:vAlign w:val="center"/>
          </w:tcPr>
          <w:p w:rsidR="00BC38E9" w:rsidRPr="001D200B" w:rsidRDefault="00BC38E9" w:rsidP="00BF6071">
            <w:pPr>
              <w:spacing w:line="240" w:lineRule="auto"/>
              <w:jc w:val="center"/>
              <w:rPr>
                <w:rFonts w:cstheme="minorHAnsi"/>
                <w:b/>
                <w:sz w:val="22"/>
                <w:szCs w:val="22"/>
              </w:rPr>
            </w:pPr>
            <w:r w:rsidRPr="001D200B">
              <w:rPr>
                <w:rFonts w:cstheme="minorHAnsi"/>
                <w:b/>
                <w:sz w:val="22"/>
                <w:szCs w:val="22"/>
              </w:rPr>
              <w:t>1</w:t>
            </w:r>
          </w:p>
        </w:tc>
        <w:tc>
          <w:tcPr>
            <w:tcW w:w="992" w:type="dxa"/>
            <w:vAlign w:val="center"/>
          </w:tcPr>
          <w:p w:rsidR="00BC38E9" w:rsidRPr="001D200B" w:rsidRDefault="00BC38E9" w:rsidP="003F0A2E">
            <w:pPr>
              <w:spacing w:line="240" w:lineRule="auto"/>
              <w:jc w:val="center"/>
              <w:rPr>
                <w:rFonts w:cstheme="minorHAnsi"/>
                <w:sz w:val="22"/>
                <w:szCs w:val="22"/>
              </w:rPr>
            </w:pPr>
            <w:r w:rsidRPr="001D200B">
              <w:rPr>
                <w:rFonts w:cstheme="minorHAnsi"/>
                <w:sz w:val="22"/>
                <w:szCs w:val="22"/>
              </w:rPr>
              <w:t>16,0</w:t>
            </w:r>
          </w:p>
        </w:tc>
        <w:tc>
          <w:tcPr>
            <w:tcW w:w="1134" w:type="dxa"/>
            <w:vAlign w:val="center"/>
          </w:tcPr>
          <w:p w:rsidR="00BC38E9" w:rsidRPr="001D200B" w:rsidRDefault="00BC38E9" w:rsidP="003F0A2E">
            <w:pPr>
              <w:spacing w:line="240" w:lineRule="auto"/>
              <w:jc w:val="center"/>
              <w:rPr>
                <w:rFonts w:cstheme="minorHAnsi"/>
                <w:sz w:val="22"/>
                <w:szCs w:val="22"/>
              </w:rPr>
            </w:pPr>
            <w:r w:rsidRPr="001D200B">
              <w:rPr>
                <w:rFonts w:cstheme="minorHAnsi"/>
                <w:sz w:val="22"/>
                <w:szCs w:val="22"/>
              </w:rPr>
              <w:t>128</w:t>
            </w:r>
          </w:p>
        </w:tc>
        <w:tc>
          <w:tcPr>
            <w:tcW w:w="8080" w:type="dxa"/>
            <w:vAlign w:val="center"/>
          </w:tcPr>
          <w:p w:rsidR="00BC38E9" w:rsidRPr="001D200B" w:rsidRDefault="00BC38E9" w:rsidP="00087388">
            <w:pPr>
              <w:spacing w:before="0" w:after="0" w:line="240" w:lineRule="auto"/>
              <w:rPr>
                <w:rFonts w:cstheme="minorHAnsi"/>
                <w:sz w:val="22"/>
                <w:szCs w:val="22"/>
              </w:rPr>
            </w:pPr>
            <w:r w:rsidRPr="001D200B">
              <w:rPr>
                <w:rFonts w:cstheme="minorHAnsi"/>
                <w:sz w:val="22"/>
                <w:szCs w:val="22"/>
              </w:rPr>
              <w:t xml:space="preserve">Obszary przewidziane pod zabudowę mieszkaniowo – usługową o charakterze miejskim w miejscowości Rybitwy. </w:t>
            </w:r>
          </w:p>
        </w:tc>
        <w:tc>
          <w:tcPr>
            <w:tcW w:w="1559" w:type="dxa"/>
            <w:vAlign w:val="center"/>
          </w:tcPr>
          <w:p w:rsidR="00BC38E9" w:rsidRPr="001D200B" w:rsidRDefault="00BC38E9" w:rsidP="00BC38E9">
            <w:pPr>
              <w:jc w:val="center"/>
              <w:rPr>
                <w:rFonts w:cstheme="minorHAnsi"/>
                <w:sz w:val="22"/>
                <w:szCs w:val="22"/>
              </w:rPr>
            </w:pPr>
            <w:r w:rsidRPr="001D200B">
              <w:rPr>
                <w:rFonts w:cstheme="minorHAnsi"/>
                <w:sz w:val="22"/>
                <w:szCs w:val="22"/>
              </w:rPr>
              <w:t>0,25</w:t>
            </w:r>
          </w:p>
        </w:tc>
        <w:tc>
          <w:tcPr>
            <w:tcW w:w="1559" w:type="dxa"/>
            <w:gridSpan w:val="2"/>
            <w:vAlign w:val="center"/>
          </w:tcPr>
          <w:p w:rsidR="00BC38E9" w:rsidRPr="001D200B" w:rsidRDefault="00BC38E9" w:rsidP="00BC38E9">
            <w:pPr>
              <w:jc w:val="center"/>
              <w:rPr>
                <w:rFonts w:cstheme="minorHAnsi"/>
                <w:sz w:val="22"/>
                <w:szCs w:val="22"/>
              </w:rPr>
            </w:pPr>
            <w:r w:rsidRPr="001D200B">
              <w:rPr>
                <w:rFonts w:cstheme="minorHAnsi"/>
                <w:sz w:val="22"/>
                <w:szCs w:val="22"/>
              </w:rPr>
              <w:t>217</w:t>
            </w:r>
          </w:p>
        </w:tc>
      </w:tr>
      <w:tr w:rsidR="00BC38E9" w:rsidRPr="001D200B" w:rsidTr="00BC38E9">
        <w:trPr>
          <w:trHeight w:val="399"/>
        </w:trPr>
        <w:tc>
          <w:tcPr>
            <w:tcW w:w="1419" w:type="dxa"/>
            <w:shd w:val="clear" w:color="auto" w:fill="CCC0D9" w:themeFill="accent4" w:themeFillTint="66"/>
            <w:vAlign w:val="center"/>
          </w:tcPr>
          <w:p w:rsidR="00BC38E9" w:rsidRPr="001D200B" w:rsidRDefault="00BC38E9" w:rsidP="003556EE">
            <w:pPr>
              <w:spacing w:line="240" w:lineRule="auto"/>
              <w:jc w:val="center"/>
              <w:rPr>
                <w:rFonts w:cstheme="minorHAnsi"/>
                <w:b/>
                <w:sz w:val="22"/>
                <w:szCs w:val="22"/>
              </w:rPr>
            </w:pPr>
            <w:r w:rsidRPr="001D200B">
              <w:rPr>
                <w:rFonts w:cstheme="minorHAnsi"/>
                <w:b/>
                <w:sz w:val="22"/>
                <w:szCs w:val="22"/>
              </w:rPr>
              <w:t>1</w:t>
            </w:r>
          </w:p>
        </w:tc>
        <w:tc>
          <w:tcPr>
            <w:tcW w:w="992" w:type="dxa"/>
            <w:vAlign w:val="center"/>
          </w:tcPr>
          <w:p w:rsidR="00BC38E9" w:rsidRPr="001D200B" w:rsidRDefault="00BC38E9" w:rsidP="00BF6071">
            <w:pPr>
              <w:spacing w:line="240" w:lineRule="auto"/>
              <w:jc w:val="center"/>
              <w:rPr>
                <w:rFonts w:cstheme="minorHAnsi"/>
                <w:sz w:val="22"/>
                <w:szCs w:val="22"/>
              </w:rPr>
            </w:pPr>
            <w:r w:rsidRPr="001D200B">
              <w:rPr>
                <w:rFonts w:cstheme="minorHAnsi"/>
                <w:sz w:val="22"/>
                <w:szCs w:val="22"/>
              </w:rPr>
              <w:t>156</w:t>
            </w:r>
          </w:p>
        </w:tc>
        <w:tc>
          <w:tcPr>
            <w:tcW w:w="1134" w:type="dxa"/>
            <w:vMerge w:val="restart"/>
            <w:shd w:val="clear" w:color="auto" w:fill="D9D9D9" w:themeFill="background1" w:themeFillShade="D9"/>
            <w:vAlign w:val="center"/>
          </w:tcPr>
          <w:p w:rsidR="00BC38E9" w:rsidRPr="001D200B" w:rsidRDefault="00BC38E9" w:rsidP="003556EE">
            <w:pPr>
              <w:spacing w:line="240" w:lineRule="auto"/>
              <w:jc w:val="center"/>
              <w:rPr>
                <w:rFonts w:cstheme="minorHAnsi"/>
                <w:sz w:val="22"/>
                <w:szCs w:val="22"/>
              </w:rPr>
            </w:pPr>
          </w:p>
        </w:tc>
        <w:tc>
          <w:tcPr>
            <w:tcW w:w="8080" w:type="dxa"/>
            <w:vMerge w:val="restart"/>
            <w:vAlign w:val="center"/>
          </w:tcPr>
          <w:p w:rsidR="00BC38E9" w:rsidRPr="001D200B" w:rsidRDefault="00BC38E9" w:rsidP="00BC38E9">
            <w:pPr>
              <w:spacing w:before="0" w:after="0" w:line="240" w:lineRule="auto"/>
              <w:rPr>
                <w:rFonts w:cstheme="minorHAnsi"/>
                <w:sz w:val="22"/>
                <w:szCs w:val="22"/>
              </w:rPr>
            </w:pPr>
            <w:r w:rsidRPr="001D200B">
              <w:rPr>
                <w:rFonts w:cstheme="minorHAnsi"/>
                <w:sz w:val="22"/>
                <w:szCs w:val="22"/>
              </w:rPr>
              <w:t>Obszary przewidziane pod działalność gospodarczą, produkcyjną i usługową. Strefa przemysłowa: działalności gospodarczej w Brzozowej oraz w północnej części Połańca.</w:t>
            </w:r>
          </w:p>
        </w:tc>
        <w:tc>
          <w:tcPr>
            <w:tcW w:w="3118" w:type="dxa"/>
            <w:gridSpan w:val="3"/>
            <w:vMerge w:val="restart"/>
            <w:vAlign w:val="center"/>
          </w:tcPr>
          <w:p w:rsidR="00BC38E9" w:rsidRPr="001D200B" w:rsidRDefault="00BC38E9" w:rsidP="00916C39">
            <w:pPr>
              <w:pStyle w:val="Tekstpodstawowy2"/>
              <w:spacing w:line="240" w:lineRule="auto"/>
              <w:jc w:val="center"/>
              <w:rPr>
                <w:sz w:val="22"/>
                <w:szCs w:val="22"/>
              </w:rPr>
            </w:pPr>
            <w:r w:rsidRPr="001D200B">
              <w:rPr>
                <w:sz w:val="22"/>
                <w:szCs w:val="22"/>
              </w:rPr>
              <w:t>w zależności od rodzaju</w:t>
            </w:r>
          </w:p>
          <w:p w:rsidR="00BC38E9" w:rsidRPr="001D200B" w:rsidRDefault="00BC38E9" w:rsidP="00916C39">
            <w:pPr>
              <w:pStyle w:val="Tekstpodstawowy2"/>
              <w:spacing w:line="240" w:lineRule="auto"/>
              <w:jc w:val="center"/>
              <w:rPr>
                <w:sz w:val="22"/>
                <w:szCs w:val="22"/>
              </w:rPr>
            </w:pPr>
            <w:r w:rsidRPr="001D200B">
              <w:rPr>
                <w:sz w:val="22"/>
                <w:szCs w:val="22"/>
              </w:rPr>
              <w:t>działalności</w:t>
            </w:r>
          </w:p>
        </w:tc>
      </w:tr>
      <w:tr w:rsidR="00BC38E9" w:rsidRPr="001D200B" w:rsidTr="00BC38E9">
        <w:trPr>
          <w:trHeight w:val="399"/>
        </w:trPr>
        <w:tc>
          <w:tcPr>
            <w:tcW w:w="1419" w:type="dxa"/>
            <w:shd w:val="clear" w:color="auto" w:fill="CCC0D9" w:themeFill="accent4" w:themeFillTint="66"/>
            <w:vAlign w:val="center"/>
          </w:tcPr>
          <w:p w:rsidR="00BC38E9" w:rsidRPr="001D200B" w:rsidRDefault="00BC38E9" w:rsidP="003556EE">
            <w:pPr>
              <w:spacing w:line="240" w:lineRule="auto"/>
              <w:jc w:val="center"/>
              <w:rPr>
                <w:rFonts w:cstheme="minorHAnsi"/>
                <w:b/>
                <w:sz w:val="22"/>
                <w:szCs w:val="22"/>
              </w:rPr>
            </w:pPr>
            <w:r w:rsidRPr="001D200B">
              <w:rPr>
                <w:rFonts w:cstheme="minorHAnsi"/>
                <w:b/>
                <w:sz w:val="22"/>
                <w:szCs w:val="22"/>
              </w:rPr>
              <w:t>2</w:t>
            </w:r>
          </w:p>
        </w:tc>
        <w:tc>
          <w:tcPr>
            <w:tcW w:w="992" w:type="dxa"/>
            <w:vAlign w:val="center"/>
          </w:tcPr>
          <w:p w:rsidR="00BC38E9" w:rsidRPr="001D200B" w:rsidRDefault="00BC38E9" w:rsidP="00087388">
            <w:pPr>
              <w:spacing w:line="240" w:lineRule="auto"/>
              <w:jc w:val="center"/>
              <w:rPr>
                <w:rFonts w:cstheme="minorHAnsi"/>
                <w:sz w:val="22"/>
                <w:szCs w:val="22"/>
              </w:rPr>
            </w:pPr>
            <w:r w:rsidRPr="001D200B">
              <w:rPr>
                <w:rFonts w:cstheme="minorHAnsi"/>
                <w:sz w:val="22"/>
                <w:szCs w:val="22"/>
              </w:rPr>
              <w:t>45,5</w:t>
            </w:r>
          </w:p>
        </w:tc>
        <w:tc>
          <w:tcPr>
            <w:tcW w:w="1134" w:type="dxa"/>
            <w:vMerge/>
            <w:shd w:val="clear" w:color="auto" w:fill="D9D9D9" w:themeFill="background1" w:themeFillShade="D9"/>
            <w:vAlign w:val="center"/>
          </w:tcPr>
          <w:p w:rsidR="00BC38E9" w:rsidRPr="001D200B" w:rsidRDefault="00BC38E9" w:rsidP="003556EE">
            <w:pPr>
              <w:spacing w:line="240" w:lineRule="auto"/>
              <w:jc w:val="center"/>
              <w:rPr>
                <w:rFonts w:cstheme="minorHAnsi"/>
                <w:sz w:val="22"/>
                <w:szCs w:val="22"/>
              </w:rPr>
            </w:pPr>
          </w:p>
        </w:tc>
        <w:tc>
          <w:tcPr>
            <w:tcW w:w="8080" w:type="dxa"/>
            <w:vMerge/>
            <w:vAlign w:val="center"/>
          </w:tcPr>
          <w:p w:rsidR="00BC38E9" w:rsidRPr="001D200B" w:rsidRDefault="00BC38E9" w:rsidP="00BC38E9">
            <w:pPr>
              <w:spacing w:before="0" w:after="0" w:line="240" w:lineRule="auto"/>
              <w:rPr>
                <w:rFonts w:cstheme="minorHAnsi"/>
                <w:sz w:val="22"/>
                <w:szCs w:val="22"/>
              </w:rPr>
            </w:pPr>
          </w:p>
        </w:tc>
        <w:tc>
          <w:tcPr>
            <w:tcW w:w="3118" w:type="dxa"/>
            <w:gridSpan w:val="3"/>
            <w:vMerge/>
            <w:vAlign w:val="center"/>
          </w:tcPr>
          <w:p w:rsidR="00BC38E9" w:rsidRPr="001D200B" w:rsidRDefault="00BC38E9" w:rsidP="003556EE">
            <w:pPr>
              <w:spacing w:line="240" w:lineRule="auto"/>
              <w:jc w:val="center"/>
              <w:rPr>
                <w:rFonts w:cstheme="minorHAnsi"/>
                <w:sz w:val="22"/>
                <w:szCs w:val="22"/>
              </w:rPr>
            </w:pPr>
          </w:p>
        </w:tc>
      </w:tr>
      <w:tr w:rsidR="00BC38E9" w:rsidRPr="001D200B" w:rsidTr="00BC38E9">
        <w:trPr>
          <w:trHeight w:val="399"/>
        </w:trPr>
        <w:tc>
          <w:tcPr>
            <w:tcW w:w="1419" w:type="dxa"/>
            <w:shd w:val="clear" w:color="auto" w:fill="548DD4" w:themeFill="text2" w:themeFillTint="99"/>
            <w:vAlign w:val="center"/>
          </w:tcPr>
          <w:p w:rsidR="00BC38E9" w:rsidRPr="001D200B" w:rsidRDefault="00BC38E9" w:rsidP="003556EE">
            <w:pPr>
              <w:spacing w:line="240" w:lineRule="auto"/>
              <w:jc w:val="center"/>
              <w:rPr>
                <w:rFonts w:cstheme="minorHAnsi"/>
                <w:b/>
                <w:sz w:val="22"/>
                <w:szCs w:val="22"/>
              </w:rPr>
            </w:pPr>
            <w:r w:rsidRPr="001D200B">
              <w:rPr>
                <w:rFonts w:cstheme="minorHAnsi"/>
                <w:b/>
                <w:sz w:val="22"/>
                <w:szCs w:val="22"/>
              </w:rPr>
              <w:t>1</w:t>
            </w:r>
          </w:p>
        </w:tc>
        <w:tc>
          <w:tcPr>
            <w:tcW w:w="992" w:type="dxa"/>
            <w:vAlign w:val="center"/>
          </w:tcPr>
          <w:p w:rsidR="00BC38E9" w:rsidRPr="001D200B" w:rsidRDefault="00BC38E9" w:rsidP="00087388">
            <w:pPr>
              <w:spacing w:line="240" w:lineRule="auto"/>
              <w:jc w:val="center"/>
              <w:rPr>
                <w:rFonts w:cstheme="minorHAnsi"/>
                <w:sz w:val="22"/>
                <w:szCs w:val="22"/>
              </w:rPr>
            </w:pPr>
            <w:r w:rsidRPr="001D200B">
              <w:rPr>
                <w:rFonts w:cstheme="minorHAnsi"/>
                <w:sz w:val="22"/>
                <w:szCs w:val="22"/>
              </w:rPr>
              <w:t>33,4</w:t>
            </w:r>
          </w:p>
        </w:tc>
        <w:tc>
          <w:tcPr>
            <w:tcW w:w="1134" w:type="dxa"/>
            <w:vMerge/>
            <w:shd w:val="clear" w:color="auto" w:fill="D9D9D9" w:themeFill="background1" w:themeFillShade="D9"/>
            <w:vAlign w:val="center"/>
          </w:tcPr>
          <w:p w:rsidR="00BC38E9" w:rsidRPr="001D200B" w:rsidRDefault="00BC38E9" w:rsidP="003556EE">
            <w:pPr>
              <w:spacing w:line="240" w:lineRule="auto"/>
              <w:jc w:val="center"/>
              <w:rPr>
                <w:rFonts w:cstheme="minorHAnsi"/>
                <w:sz w:val="22"/>
                <w:szCs w:val="22"/>
              </w:rPr>
            </w:pPr>
          </w:p>
        </w:tc>
        <w:tc>
          <w:tcPr>
            <w:tcW w:w="8080" w:type="dxa"/>
            <w:vAlign w:val="center"/>
          </w:tcPr>
          <w:p w:rsidR="00BC38E9" w:rsidRPr="001D200B" w:rsidRDefault="00BC38E9" w:rsidP="00BC38E9">
            <w:pPr>
              <w:spacing w:before="0" w:after="0" w:line="240" w:lineRule="auto"/>
              <w:rPr>
                <w:rFonts w:cstheme="minorHAnsi"/>
                <w:sz w:val="22"/>
                <w:szCs w:val="22"/>
              </w:rPr>
            </w:pPr>
            <w:r w:rsidRPr="001D200B">
              <w:rPr>
                <w:rFonts w:cstheme="minorHAnsi"/>
                <w:sz w:val="22"/>
                <w:szCs w:val="22"/>
              </w:rPr>
              <w:t xml:space="preserve">Obszary rozwojowe dla lokalizacji zabudowy przemysłowej w tym związanej z urządzeniami do wytwarzania energii z OZE w miejscowości Rudniki. </w:t>
            </w:r>
          </w:p>
        </w:tc>
        <w:tc>
          <w:tcPr>
            <w:tcW w:w="3118" w:type="dxa"/>
            <w:gridSpan w:val="3"/>
            <w:vMerge/>
            <w:vAlign w:val="center"/>
          </w:tcPr>
          <w:p w:rsidR="00BC38E9" w:rsidRPr="001D200B" w:rsidRDefault="00BC38E9" w:rsidP="003556EE">
            <w:pPr>
              <w:spacing w:line="240" w:lineRule="auto"/>
              <w:jc w:val="center"/>
              <w:rPr>
                <w:rFonts w:cstheme="minorHAnsi"/>
                <w:sz w:val="22"/>
                <w:szCs w:val="22"/>
              </w:rPr>
            </w:pPr>
          </w:p>
        </w:tc>
      </w:tr>
      <w:tr w:rsidR="00BC38E9" w:rsidRPr="001D200B" w:rsidTr="00E123B4">
        <w:tc>
          <w:tcPr>
            <w:tcW w:w="14743" w:type="dxa"/>
            <w:gridSpan w:val="7"/>
            <w:shd w:val="clear" w:color="auto" w:fill="D9D9D9" w:themeFill="background1" w:themeFillShade="D9"/>
            <w:vAlign w:val="center"/>
          </w:tcPr>
          <w:p w:rsidR="00BC38E9" w:rsidRPr="001D200B" w:rsidRDefault="00BC38E9" w:rsidP="002E40C3">
            <w:pPr>
              <w:spacing w:before="0" w:after="0" w:line="240" w:lineRule="auto"/>
              <w:jc w:val="left"/>
              <w:rPr>
                <w:rFonts w:cstheme="minorHAnsi"/>
                <w:b/>
                <w:sz w:val="22"/>
                <w:szCs w:val="22"/>
              </w:rPr>
            </w:pPr>
            <w:r w:rsidRPr="001D200B">
              <w:rPr>
                <w:rFonts w:cstheme="minorHAnsi"/>
                <w:b/>
                <w:sz w:val="22"/>
                <w:szCs w:val="22"/>
              </w:rPr>
              <w:t>MIASTO POŁANIEC</w:t>
            </w:r>
          </w:p>
        </w:tc>
      </w:tr>
      <w:tr w:rsidR="00BC38E9" w:rsidRPr="001D200B" w:rsidTr="00BC38E9">
        <w:tc>
          <w:tcPr>
            <w:tcW w:w="1419" w:type="dxa"/>
            <w:shd w:val="clear" w:color="auto" w:fill="CC9900"/>
            <w:vAlign w:val="center"/>
          </w:tcPr>
          <w:p w:rsidR="00BC38E9" w:rsidRPr="001D200B" w:rsidRDefault="00BC38E9" w:rsidP="000205DF">
            <w:pPr>
              <w:spacing w:line="240" w:lineRule="auto"/>
              <w:jc w:val="center"/>
              <w:rPr>
                <w:rFonts w:cstheme="minorHAnsi"/>
                <w:b/>
                <w:sz w:val="22"/>
                <w:szCs w:val="22"/>
              </w:rPr>
            </w:pPr>
            <w:r w:rsidRPr="001D200B">
              <w:rPr>
                <w:rFonts w:cstheme="minorHAnsi"/>
                <w:b/>
                <w:sz w:val="22"/>
                <w:szCs w:val="22"/>
              </w:rPr>
              <w:t>20</w:t>
            </w:r>
          </w:p>
        </w:tc>
        <w:tc>
          <w:tcPr>
            <w:tcW w:w="992" w:type="dxa"/>
            <w:vAlign w:val="center"/>
          </w:tcPr>
          <w:p w:rsidR="00BC38E9" w:rsidRPr="001D200B" w:rsidRDefault="00BC38E9" w:rsidP="000205DF">
            <w:pPr>
              <w:spacing w:line="240" w:lineRule="auto"/>
              <w:jc w:val="center"/>
              <w:rPr>
                <w:rFonts w:cstheme="minorHAnsi"/>
                <w:sz w:val="22"/>
                <w:szCs w:val="22"/>
              </w:rPr>
            </w:pPr>
            <w:r w:rsidRPr="001D200B">
              <w:rPr>
                <w:rFonts w:cstheme="minorHAnsi"/>
                <w:sz w:val="22"/>
                <w:szCs w:val="22"/>
              </w:rPr>
              <w:t>10,6</w:t>
            </w:r>
          </w:p>
        </w:tc>
        <w:tc>
          <w:tcPr>
            <w:tcW w:w="1134" w:type="dxa"/>
            <w:vAlign w:val="bottom"/>
          </w:tcPr>
          <w:p w:rsidR="00BC38E9" w:rsidRPr="001D200B" w:rsidRDefault="00BC38E9">
            <w:pPr>
              <w:jc w:val="center"/>
              <w:rPr>
                <w:rFonts w:ascii="Calibri" w:hAnsi="Calibri" w:cs="Calibri"/>
                <w:sz w:val="22"/>
                <w:szCs w:val="22"/>
              </w:rPr>
            </w:pPr>
            <w:r w:rsidRPr="001D200B">
              <w:rPr>
                <w:rFonts w:ascii="Calibri" w:hAnsi="Calibri" w:cstheme="minorHAnsi"/>
                <w:sz w:val="22"/>
                <w:szCs w:val="22"/>
              </w:rPr>
              <w:t>57</w:t>
            </w:r>
          </w:p>
        </w:tc>
        <w:tc>
          <w:tcPr>
            <w:tcW w:w="8080" w:type="dxa"/>
            <w:vAlign w:val="center"/>
          </w:tcPr>
          <w:p w:rsidR="00BC38E9" w:rsidRPr="001D200B" w:rsidRDefault="00BC38E9" w:rsidP="000205DF">
            <w:pPr>
              <w:spacing w:before="0" w:after="0" w:line="240" w:lineRule="auto"/>
              <w:jc w:val="left"/>
              <w:rPr>
                <w:rFonts w:cstheme="minorHAnsi"/>
                <w:sz w:val="22"/>
                <w:szCs w:val="22"/>
              </w:rPr>
            </w:pPr>
            <w:r w:rsidRPr="001D200B">
              <w:rPr>
                <w:rFonts w:cstheme="minorHAnsi"/>
                <w:sz w:val="22"/>
                <w:szCs w:val="22"/>
              </w:rPr>
              <w:t>Obszary przewidziane pod zabudowę zagrodową i mieszkaniową jednorodzinną z usługami.</w:t>
            </w:r>
          </w:p>
        </w:tc>
        <w:tc>
          <w:tcPr>
            <w:tcW w:w="1701" w:type="dxa"/>
            <w:gridSpan w:val="2"/>
            <w:vAlign w:val="center"/>
          </w:tcPr>
          <w:p w:rsidR="00BC38E9" w:rsidRPr="001D200B" w:rsidRDefault="00BC38E9" w:rsidP="00BC38E9">
            <w:pPr>
              <w:jc w:val="center"/>
              <w:rPr>
                <w:rFonts w:cstheme="minorHAnsi"/>
                <w:sz w:val="22"/>
                <w:szCs w:val="22"/>
              </w:rPr>
            </w:pPr>
            <w:r w:rsidRPr="001D200B">
              <w:rPr>
                <w:rFonts w:cstheme="minorHAnsi"/>
                <w:sz w:val="22"/>
                <w:szCs w:val="22"/>
              </w:rPr>
              <w:t>0,2</w:t>
            </w:r>
          </w:p>
        </w:tc>
        <w:tc>
          <w:tcPr>
            <w:tcW w:w="1417" w:type="dxa"/>
            <w:vAlign w:val="center"/>
          </w:tcPr>
          <w:p w:rsidR="00BC38E9" w:rsidRPr="001D200B" w:rsidRDefault="00BC38E9" w:rsidP="00BC38E9">
            <w:pPr>
              <w:jc w:val="center"/>
              <w:rPr>
                <w:rFonts w:cstheme="minorHAnsi"/>
                <w:sz w:val="22"/>
                <w:szCs w:val="22"/>
              </w:rPr>
            </w:pPr>
            <w:r w:rsidRPr="001D200B">
              <w:rPr>
                <w:rFonts w:cstheme="minorHAnsi"/>
                <w:sz w:val="22"/>
                <w:szCs w:val="22"/>
              </w:rPr>
              <w:t>96</w:t>
            </w:r>
          </w:p>
        </w:tc>
      </w:tr>
      <w:tr w:rsidR="00BC38E9" w:rsidRPr="001D200B" w:rsidTr="00BC38E9">
        <w:tc>
          <w:tcPr>
            <w:tcW w:w="1419" w:type="dxa"/>
            <w:shd w:val="clear" w:color="auto" w:fill="CC9900"/>
            <w:vAlign w:val="center"/>
          </w:tcPr>
          <w:p w:rsidR="00BC38E9" w:rsidRPr="001D200B" w:rsidRDefault="00BC38E9" w:rsidP="000205DF">
            <w:pPr>
              <w:spacing w:line="240" w:lineRule="auto"/>
              <w:jc w:val="center"/>
              <w:rPr>
                <w:rFonts w:cstheme="minorHAnsi"/>
                <w:b/>
                <w:sz w:val="22"/>
                <w:szCs w:val="22"/>
              </w:rPr>
            </w:pPr>
            <w:r w:rsidRPr="001D200B">
              <w:rPr>
                <w:rFonts w:cstheme="minorHAnsi"/>
                <w:b/>
                <w:sz w:val="22"/>
                <w:szCs w:val="22"/>
              </w:rPr>
              <w:t>21</w:t>
            </w:r>
          </w:p>
        </w:tc>
        <w:tc>
          <w:tcPr>
            <w:tcW w:w="992" w:type="dxa"/>
            <w:vAlign w:val="center"/>
          </w:tcPr>
          <w:p w:rsidR="00BC38E9" w:rsidRPr="001D200B" w:rsidRDefault="00BC38E9" w:rsidP="000205DF">
            <w:pPr>
              <w:spacing w:line="240" w:lineRule="auto"/>
              <w:jc w:val="center"/>
              <w:rPr>
                <w:rFonts w:cstheme="minorHAnsi"/>
                <w:sz w:val="22"/>
                <w:szCs w:val="22"/>
              </w:rPr>
            </w:pPr>
            <w:r w:rsidRPr="001D200B">
              <w:rPr>
                <w:rFonts w:cstheme="minorHAnsi"/>
                <w:sz w:val="22"/>
                <w:szCs w:val="22"/>
              </w:rPr>
              <w:t>11,8</w:t>
            </w:r>
          </w:p>
        </w:tc>
        <w:tc>
          <w:tcPr>
            <w:tcW w:w="1134" w:type="dxa"/>
            <w:vAlign w:val="bottom"/>
          </w:tcPr>
          <w:p w:rsidR="00BC38E9" w:rsidRPr="001D200B" w:rsidRDefault="00BC38E9">
            <w:pPr>
              <w:jc w:val="center"/>
              <w:rPr>
                <w:rFonts w:ascii="Calibri" w:hAnsi="Calibri" w:cs="Calibri"/>
                <w:sz w:val="22"/>
                <w:szCs w:val="22"/>
              </w:rPr>
            </w:pPr>
            <w:r w:rsidRPr="001D200B">
              <w:rPr>
                <w:rFonts w:ascii="Calibri" w:hAnsi="Calibri" w:cstheme="minorHAnsi"/>
                <w:sz w:val="22"/>
                <w:szCs w:val="22"/>
              </w:rPr>
              <w:t>63</w:t>
            </w:r>
          </w:p>
        </w:tc>
        <w:tc>
          <w:tcPr>
            <w:tcW w:w="8080" w:type="dxa"/>
            <w:vAlign w:val="center"/>
          </w:tcPr>
          <w:p w:rsidR="00BC38E9" w:rsidRPr="001D200B" w:rsidRDefault="00BC38E9" w:rsidP="000205DF">
            <w:pPr>
              <w:spacing w:before="0" w:after="0" w:line="240" w:lineRule="auto"/>
              <w:jc w:val="left"/>
              <w:rPr>
                <w:rFonts w:cstheme="minorHAnsi"/>
                <w:sz w:val="22"/>
                <w:szCs w:val="22"/>
              </w:rPr>
            </w:pPr>
            <w:r w:rsidRPr="001D200B">
              <w:rPr>
                <w:rFonts w:cstheme="minorHAnsi"/>
                <w:sz w:val="22"/>
                <w:szCs w:val="22"/>
              </w:rPr>
              <w:t>Obszary przewidziane pod zabudowę zagrodową i mieszkaniową jednorodzinną z usługami.</w:t>
            </w:r>
          </w:p>
        </w:tc>
        <w:tc>
          <w:tcPr>
            <w:tcW w:w="1701" w:type="dxa"/>
            <w:gridSpan w:val="2"/>
            <w:vAlign w:val="center"/>
          </w:tcPr>
          <w:p w:rsidR="00BC38E9" w:rsidRPr="001D200B" w:rsidRDefault="00BC38E9" w:rsidP="00BC38E9">
            <w:pPr>
              <w:jc w:val="center"/>
              <w:rPr>
                <w:rFonts w:cstheme="minorHAnsi"/>
                <w:sz w:val="22"/>
                <w:szCs w:val="22"/>
              </w:rPr>
            </w:pPr>
            <w:r w:rsidRPr="001D200B">
              <w:rPr>
                <w:rFonts w:cstheme="minorHAnsi"/>
                <w:sz w:val="22"/>
                <w:szCs w:val="22"/>
              </w:rPr>
              <w:t>0,19</w:t>
            </w:r>
          </w:p>
        </w:tc>
        <w:tc>
          <w:tcPr>
            <w:tcW w:w="1417" w:type="dxa"/>
            <w:vAlign w:val="center"/>
          </w:tcPr>
          <w:p w:rsidR="00BC38E9" w:rsidRPr="001D200B" w:rsidRDefault="00BC38E9" w:rsidP="00BC38E9">
            <w:pPr>
              <w:jc w:val="center"/>
              <w:rPr>
                <w:rFonts w:cstheme="minorHAnsi"/>
                <w:sz w:val="22"/>
                <w:szCs w:val="22"/>
              </w:rPr>
            </w:pPr>
            <w:r w:rsidRPr="001D200B">
              <w:rPr>
                <w:rFonts w:cstheme="minorHAnsi"/>
                <w:sz w:val="22"/>
                <w:szCs w:val="22"/>
              </w:rPr>
              <w:t>107</w:t>
            </w:r>
          </w:p>
        </w:tc>
      </w:tr>
      <w:tr w:rsidR="00BC38E9" w:rsidRPr="001D200B" w:rsidTr="00BC38E9">
        <w:tc>
          <w:tcPr>
            <w:tcW w:w="1419" w:type="dxa"/>
            <w:shd w:val="clear" w:color="auto" w:fill="CC9900"/>
            <w:vAlign w:val="center"/>
          </w:tcPr>
          <w:p w:rsidR="00BC38E9" w:rsidRPr="001D200B" w:rsidRDefault="00BC38E9" w:rsidP="000205DF">
            <w:pPr>
              <w:spacing w:line="240" w:lineRule="auto"/>
              <w:jc w:val="center"/>
              <w:rPr>
                <w:rFonts w:cstheme="minorHAnsi"/>
                <w:b/>
                <w:sz w:val="22"/>
                <w:szCs w:val="22"/>
              </w:rPr>
            </w:pPr>
            <w:r w:rsidRPr="001D200B">
              <w:rPr>
                <w:rFonts w:cstheme="minorHAnsi"/>
                <w:b/>
                <w:sz w:val="22"/>
                <w:szCs w:val="22"/>
              </w:rPr>
              <w:t>22</w:t>
            </w:r>
          </w:p>
        </w:tc>
        <w:tc>
          <w:tcPr>
            <w:tcW w:w="992" w:type="dxa"/>
            <w:vAlign w:val="center"/>
          </w:tcPr>
          <w:p w:rsidR="00BC38E9" w:rsidRPr="001D200B" w:rsidRDefault="00BC38E9" w:rsidP="000205DF">
            <w:pPr>
              <w:spacing w:line="240" w:lineRule="auto"/>
              <w:jc w:val="center"/>
              <w:rPr>
                <w:rFonts w:cstheme="minorHAnsi"/>
                <w:sz w:val="22"/>
                <w:szCs w:val="22"/>
              </w:rPr>
            </w:pPr>
            <w:r w:rsidRPr="001D200B">
              <w:rPr>
                <w:rFonts w:cstheme="minorHAnsi"/>
                <w:sz w:val="22"/>
                <w:szCs w:val="22"/>
              </w:rPr>
              <w:t>4,8</w:t>
            </w:r>
          </w:p>
        </w:tc>
        <w:tc>
          <w:tcPr>
            <w:tcW w:w="1134" w:type="dxa"/>
            <w:vAlign w:val="bottom"/>
          </w:tcPr>
          <w:p w:rsidR="00BC38E9" w:rsidRPr="001D200B" w:rsidRDefault="00BC38E9">
            <w:pPr>
              <w:jc w:val="center"/>
              <w:rPr>
                <w:rFonts w:ascii="Calibri" w:hAnsi="Calibri" w:cs="Calibri"/>
                <w:sz w:val="22"/>
                <w:szCs w:val="22"/>
              </w:rPr>
            </w:pPr>
            <w:r w:rsidRPr="001D200B">
              <w:rPr>
                <w:rFonts w:ascii="Calibri" w:hAnsi="Calibri" w:cstheme="minorHAnsi"/>
                <w:sz w:val="22"/>
                <w:szCs w:val="22"/>
              </w:rPr>
              <w:t>26</w:t>
            </w:r>
          </w:p>
        </w:tc>
        <w:tc>
          <w:tcPr>
            <w:tcW w:w="8080" w:type="dxa"/>
            <w:vAlign w:val="center"/>
          </w:tcPr>
          <w:p w:rsidR="00BC38E9" w:rsidRPr="001D200B" w:rsidRDefault="00BC38E9" w:rsidP="000205DF">
            <w:pPr>
              <w:spacing w:before="0" w:after="0" w:line="240" w:lineRule="auto"/>
              <w:jc w:val="left"/>
              <w:rPr>
                <w:rFonts w:cstheme="minorHAnsi"/>
                <w:sz w:val="22"/>
                <w:szCs w:val="22"/>
              </w:rPr>
            </w:pPr>
            <w:r w:rsidRPr="001D200B">
              <w:rPr>
                <w:rFonts w:cstheme="minorHAnsi"/>
                <w:sz w:val="22"/>
                <w:szCs w:val="22"/>
              </w:rPr>
              <w:t>Obszary przewidziane pod zabudowę zagrodową i mieszkaniową jednorodzinną z usługami.</w:t>
            </w:r>
          </w:p>
        </w:tc>
        <w:tc>
          <w:tcPr>
            <w:tcW w:w="1701" w:type="dxa"/>
            <w:gridSpan w:val="2"/>
            <w:vAlign w:val="center"/>
          </w:tcPr>
          <w:p w:rsidR="00BC38E9" w:rsidRPr="001D200B" w:rsidRDefault="00BC38E9" w:rsidP="00BC38E9">
            <w:pPr>
              <w:jc w:val="center"/>
              <w:rPr>
                <w:rFonts w:cstheme="minorHAnsi"/>
                <w:sz w:val="22"/>
                <w:szCs w:val="22"/>
              </w:rPr>
            </w:pPr>
            <w:r w:rsidRPr="001D200B">
              <w:rPr>
                <w:rFonts w:cstheme="minorHAnsi"/>
                <w:sz w:val="22"/>
                <w:szCs w:val="22"/>
              </w:rPr>
              <w:t>0,13</w:t>
            </w:r>
          </w:p>
        </w:tc>
        <w:tc>
          <w:tcPr>
            <w:tcW w:w="1417" w:type="dxa"/>
            <w:vAlign w:val="center"/>
          </w:tcPr>
          <w:p w:rsidR="00BC38E9" w:rsidRPr="001D200B" w:rsidRDefault="00BC38E9" w:rsidP="00BC38E9">
            <w:pPr>
              <w:jc w:val="center"/>
              <w:rPr>
                <w:rFonts w:cstheme="minorHAnsi"/>
                <w:sz w:val="22"/>
                <w:szCs w:val="22"/>
              </w:rPr>
            </w:pPr>
            <w:r w:rsidRPr="001D200B">
              <w:rPr>
                <w:rFonts w:cstheme="minorHAnsi"/>
                <w:sz w:val="22"/>
                <w:szCs w:val="22"/>
              </w:rPr>
              <w:t>44</w:t>
            </w:r>
          </w:p>
        </w:tc>
      </w:tr>
      <w:tr w:rsidR="00BC38E9" w:rsidRPr="001D200B" w:rsidTr="00BC38E9">
        <w:tc>
          <w:tcPr>
            <w:tcW w:w="1419" w:type="dxa"/>
            <w:shd w:val="clear" w:color="auto" w:fill="CC9900"/>
            <w:vAlign w:val="center"/>
          </w:tcPr>
          <w:p w:rsidR="00BC38E9" w:rsidRPr="001D200B" w:rsidRDefault="00BC38E9" w:rsidP="000205DF">
            <w:pPr>
              <w:spacing w:line="240" w:lineRule="auto"/>
              <w:jc w:val="center"/>
              <w:rPr>
                <w:rFonts w:cstheme="minorHAnsi"/>
                <w:b/>
                <w:sz w:val="22"/>
                <w:szCs w:val="22"/>
              </w:rPr>
            </w:pPr>
            <w:r w:rsidRPr="001D200B">
              <w:rPr>
                <w:rFonts w:cstheme="minorHAnsi"/>
                <w:b/>
                <w:sz w:val="22"/>
                <w:szCs w:val="22"/>
              </w:rPr>
              <w:t>23</w:t>
            </w:r>
          </w:p>
        </w:tc>
        <w:tc>
          <w:tcPr>
            <w:tcW w:w="992" w:type="dxa"/>
            <w:vAlign w:val="center"/>
          </w:tcPr>
          <w:p w:rsidR="00BC38E9" w:rsidRPr="001D200B" w:rsidRDefault="00BC38E9" w:rsidP="00583A20">
            <w:pPr>
              <w:spacing w:line="240" w:lineRule="auto"/>
              <w:jc w:val="center"/>
              <w:rPr>
                <w:rFonts w:cstheme="minorHAnsi"/>
                <w:sz w:val="22"/>
                <w:szCs w:val="22"/>
              </w:rPr>
            </w:pPr>
            <w:r w:rsidRPr="001D200B">
              <w:rPr>
                <w:rFonts w:cstheme="minorHAnsi"/>
                <w:sz w:val="22"/>
                <w:szCs w:val="22"/>
              </w:rPr>
              <w:t>2,9</w:t>
            </w:r>
          </w:p>
        </w:tc>
        <w:tc>
          <w:tcPr>
            <w:tcW w:w="1134" w:type="dxa"/>
            <w:vAlign w:val="bottom"/>
          </w:tcPr>
          <w:p w:rsidR="00BC38E9" w:rsidRPr="001D200B" w:rsidRDefault="00BC38E9">
            <w:pPr>
              <w:jc w:val="center"/>
              <w:rPr>
                <w:rFonts w:ascii="Calibri" w:hAnsi="Calibri" w:cs="Calibri"/>
                <w:sz w:val="22"/>
                <w:szCs w:val="22"/>
              </w:rPr>
            </w:pPr>
            <w:r w:rsidRPr="001D200B">
              <w:rPr>
                <w:rFonts w:ascii="Calibri" w:hAnsi="Calibri" w:cstheme="minorHAnsi"/>
                <w:sz w:val="22"/>
                <w:szCs w:val="22"/>
              </w:rPr>
              <w:t>15</w:t>
            </w:r>
          </w:p>
        </w:tc>
        <w:tc>
          <w:tcPr>
            <w:tcW w:w="8080" w:type="dxa"/>
            <w:vAlign w:val="center"/>
          </w:tcPr>
          <w:p w:rsidR="00BC38E9" w:rsidRPr="001D200B" w:rsidRDefault="00BC38E9" w:rsidP="000205DF">
            <w:pPr>
              <w:spacing w:before="0" w:after="0" w:line="240" w:lineRule="auto"/>
              <w:rPr>
                <w:rFonts w:cstheme="minorHAnsi"/>
                <w:sz w:val="22"/>
                <w:szCs w:val="22"/>
              </w:rPr>
            </w:pPr>
            <w:r w:rsidRPr="001D200B">
              <w:rPr>
                <w:rFonts w:cstheme="minorHAnsi"/>
                <w:sz w:val="22"/>
                <w:szCs w:val="22"/>
              </w:rPr>
              <w:t>Obszary przewidziane pod zabudowę zagrodową i mieszkaniową jednorodzinną z usługami.</w:t>
            </w:r>
          </w:p>
        </w:tc>
        <w:tc>
          <w:tcPr>
            <w:tcW w:w="1701" w:type="dxa"/>
            <w:gridSpan w:val="2"/>
            <w:vAlign w:val="center"/>
          </w:tcPr>
          <w:p w:rsidR="00BC38E9" w:rsidRPr="001D200B" w:rsidRDefault="00BC38E9" w:rsidP="00BC38E9">
            <w:pPr>
              <w:jc w:val="center"/>
              <w:rPr>
                <w:rFonts w:cstheme="minorHAnsi"/>
                <w:sz w:val="22"/>
                <w:szCs w:val="22"/>
              </w:rPr>
            </w:pPr>
            <w:r w:rsidRPr="001D200B">
              <w:rPr>
                <w:rFonts w:cstheme="minorHAnsi"/>
                <w:sz w:val="22"/>
                <w:szCs w:val="22"/>
              </w:rPr>
              <w:t>0,1</w:t>
            </w:r>
          </w:p>
        </w:tc>
        <w:tc>
          <w:tcPr>
            <w:tcW w:w="1417" w:type="dxa"/>
            <w:vAlign w:val="center"/>
          </w:tcPr>
          <w:p w:rsidR="00BC38E9" w:rsidRPr="001D200B" w:rsidRDefault="00BC38E9" w:rsidP="00BC38E9">
            <w:pPr>
              <w:jc w:val="center"/>
              <w:rPr>
                <w:rFonts w:cstheme="minorHAnsi"/>
                <w:sz w:val="22"/>
                <w:szCs w:val="22"/>
              </w:rPr>
            </w:pPr>
            <w:r w:rsidRPr="001D200B">
              <w:rPr>
                <w:rFonts w:cstheme="minorHAnsi"/>
                <w:sz w:val="22"/>
                <w:szCs w:val="22"/>
              </w:rPr>
              <w:t>25</w:t>
            </w:r>
          </w:p>
        </w:tc>
      </w:tr>
      <w:tr w:rsidR="00BC38E9" w:rsidRPr="001D200B" w:rsidTr="00BC38E9">
        <w:tc>
          <w:tcPr>
            <w:tcW w:w="1419" w:type="dxa"/>
            <w:shd w:val="clear" w:color="auto" w:fill="CC9900"/>
            <w:vAlign w:val="center"/>
          </w:tcPr>
          <w:p w:rsidR="00BC38E9" w:rsidRPr="001D200B" w:rsidRDefault="00BC38E9" w:rsidP="000205DF">
            <w:pPr>
              <w:spacing w:line="240" w:lineRule="auto"/>
              <w:jc w:val="center"/>
              <w:rPr>
                <w:rFonts w:cstheme="minorHAnsi"/>
                <w:b/>
                <w:sz w:val="22"/>
                <w:szCs w:val="22"/>
              </w:rPr>
            </w:pPr>
            <w:r w:rsidRPr="001D200B">
              <w:rPr>
                <w:rFonts w:cstheme="minorHAnsi"/>
                <w:b/>
                <w:sz w:val="22"/>
                <w:szCs w:val="22"/>
              </w:rPr>
              <w:t>24</w:t>
            </w:r>
          </w:p>
        </w:tc>
        <w:tc>
          <w:tcPr>
            <w:tcW w:w="992" w:type="dxa"/>
            <w:vAlign w:val="center"/>
          </w:tcPr>
          <w:p w:rsidR="00BC38E9" w:rsidRPr="001D200B" w:rsidRDefault="00BC38E9" w:rsidP="000205DF">
            <w:pPr>
              <w:spacing w:line="240" w:lineRule="auto"/>
              <w:jc w:val="center"/>
              <w:rPr>
                <w:rFonts w:cstheme="minorHAnsi"/>
                <w:sz w:val="22"/>
                <w:szCs w:val="22"/>
              </w:rPr>
            </w:pPr>
            <w:r w:rsidRPr="001D200B">
              <w:rPr>
                <w:rFonts w:cstheme="minorHAnsi"/>
                <w:sz w:val="22"/>
                <w:szCs w:val="22"/>
              </w:rPr>
              <w:t>6,5</w:t>
            </w:r>
          </w:p>
        </w:tc>
        <w:tc>
          <w:tcPr>
            <w:tcW w:w="1134" w:type="dxa"/>
            <w:vAlign w:val="bottom"/>
          </w:tcPr>
          <w:p w:rsidR="00BC38E9" w:rsidRPr="001D200B" w:rsidRDefault="00BC38E9">
            <w:pPr>
              <w:jc w:val="center"/>
              <w:rPr>
                <w:rFonts w:ascii="Calibri" w:hAnsi="Calibri" w:cs="Calibri"/>
                <w:sz w:val="22"/>
                <w:szCs w:val="22"/>
              </w:rPr>
            </w:pPr>
            <w:r w:rsidRPr="001D200B">
              <w:rPr>
                <w:rFonts w:ascii="Calibri" w:hAnsi="Calibri" w:cstheme="minorHAnsi"/>
                <w:sz w:val="22"/>
                <w:szCs w:val="22"/>
              </w:rPr>
              <w:t>35</w:t>
            </w:r>
          </w:p>
        </w:tc>
        <w:tc>
          <w:tcPr>
            <w:tcW w:w="8080" w:type="dxa"/>
            <w:vAlign w:val="center"/>
          </w:tcPr>
          <w:p w:rsidR="00BC38E9" w:rsidRPr="001D200B" w:rsidRDefault="00BC38E9" w:rsidP="000205DF">
            <w:pPr>
              <w:spacing w:before="0" w:after="0" w:line="240" w:lineRule="auto"/>
              <w:jc w:val="left"/>
              <w:rPr>
                <w:rFonts w:cstheme="minorHAnsi"/>
                <w:sz w:val="22"/>
                <w:szCs w:val="22"/>
              </w:rPr>
            </w:pPr>
            <w:r w:rsidRPr="001D200B">
              <w:rPr>
                <w:rFonts w:cstheme="minorHAnsi"/>
                <w:sz w:val="22"/>
                <w:szCs w:val="22"/>
              </w:rPr>
              <w:t>Obszary przewidziane pod zabudowę zagrodową i mieszkaniową jednorodzinną z usługami.</w:t>
            </w:r>
          </w:p>
        </w:tc>
        <w:tc>
          <w:tcPr>
            <w:tcW w:w="1701"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0,15</w:t>
            </w:r>
          </w:p>
        </w:tc>
        <w:tc>
          <w:tcPr>
            <w:tcW w:w="1417" w:type="dxa"/>
            <w:vAlign w:val="bottom"/>
          </w:tcPr>
          <w:p w:rsidR="00BC38E9" w:rsidRPr="001D200B" w:rsidRDefault="00BC38E9" w:rsidP="00BC38E9">
            <w:pPr>
              <w:jc w:val="center"/>
              <w:rPr>
                <w:rFonts w:cstheme="minorHAnsi"/>
                <w:sz w:val="22"/>
                <w:szCs w:val="22"/>
              </w:rPr>
            </w:pPr>
            <w:r w:rsidRPr="001D200B">
              <w:rPr>
                <w:rFonts w:cstheme="minorHAnsi"/>
                <w:sz w:val="22"/>
                <w:szCs w:val="22"/>
              </w:rPr>
              <w:t>59</w:t>
            </w:r>
          </w:p>
        </w:tc>
      </w:tr>
      <w:tr w:rsidR="00BC38E9" w:rsidRPr="001D200B" w:rsidTr="00BC38E9">
        <w:tc>
          <w:tcPr>
            <w:tcW w:w="1419" w:type="dxa"/>
            <w:shd w:val="clear" w:color="auto" w:fill="CC9900"/>
            <w:vAlign w:val="center"/>
          </w:tcPr>
          <w:p w:rsidR="00BC38E9" w:rsidRPr="001D200B" w:rsidRDefault="00BC38E9" w:rsidP="000205DF">
            <w:pPr>
              <w:spacing w:line="240" w:lineRule="auto"/>
              <w:jc w:val="center"/>
              <w:rPr>
                <w:rFonts w:cstheme="minorHAnsi"/>
                <w:b/>
                <w:sz w:val="22"/>
                <w:szCs w:val="22"/>
              </w:rPr>
            </w:pPr>
            <w:r w:rsidRPr="001D200B">
              <w:rPr>
                <w:rFonts w:cstheme="minorHAnsi"/>
                <w:b/>
                <w:sz w:val="22"/>
                <w:szCs w:val="22"/>
              </w:rPr>
              <w:t>25</w:t>
            </w:r>
          </w:p>
        </w:tc>
        <w:tc>
          <w:tcPr>
            <w:tcW w:w="992" w:type="dxa"/>
            <w:vAlign w:val="center"/>
          </w:tcPr>
          <w:p w:rsidR="00BC38E9" w:rsidRPr="001D200B" w:rsidRDefault="00BC38E9" w:rsidP="000205DF">
            <w:pPr>
              <w:spacing w:line="240" w:lineRule="auto"/>
              <w:jc w:val="center"/>
              <w:rPr>
                <w:rFonts w:cstheme="minorHAnsi"/>
                <w:sz w:val="22"/>
                <w:szCs w:val="22"/>
              </w:rPr>
            </w:pPr>
            <w:r w:rsidRPr="001D200B">
              <w:rPr>
                <w:rFonts w:cstheme="minorHAnsi"/>
                <w:sz w:val="22"/>
                <w:szCs w:val="22"/>
              </w:rPr>
              <w:t>1,5</w:t>
            </w:r>
          </w:p>
        </w:tc>
        <w:tc>
          <w:tcPr>
            <w:tcW w:w="1134" w:type="dxa"/>
            <w:vAlign w:val="bottom"/>
          </w:tcPr>
          <w:p w:rsidR="00BC38E9" w:rsidRPr="001D200B" w:rsidRDefault="00BC38E9">
            <w:pPr>
              <w:jc w:val="center"/>
              <w:rPr>
                <w:rFonts w:ascii="Calibri" w:hAnsi="Calibri" w:cs="Calibri"/>
                <w:sz w:val="22"/>
                <w:szCs w:val="22"/>
              </w:rPr>
            </w:pPr>
            <w:r w:rsidRPr="001D200B">
              <w:rPr>
                <w:rFonts w:ascii="Calibri" w:hAnsi="Calibri" w:cstheme="minorHAnsi"/>
                <w:sz w:val="22"/>
                <w:szCs w:val="22"/>
              </w:rPr>
              <w:t>8</w:t>
            </w:r>
          </w:p>
        </w:tc>
        <w:tc>
          <w:tcPr>
            <w:tcW w:w="8080" w:type="dxa"/>
            <w:vAlign w:val="center"/>
          </w:tcPr>
          <w:p w:rsidR="00BC38E9" w:rsidRPr="001D200B" w:rsidRDefault="00BC38E9" w:rsidP="000205DF">
            <w:pPr>
              <w:spacing w:before="0" w:after="0" w:line="240" w:lineRule="auto"/>
              <w:jc w:val="left"/>
              <w:rPr>
                <w:rFonts w:cstheme="minorHAnsi"/>
                <w:sz w:val="22"/>
                <w:szCs w:val="22"/>
              </w:rPr>
            </w:pPr>
            <w:r w:rsidRPr="001D200B">
              <w:rPr>
                <w:rFonts w:cstheme="minorHAnsi"/>
                <w:sz w:val="22"/>
                <w:szCs w:val="22"/>
              </w:rPr>
              <w:t>Obszary przewidziane pod zabudowę zagrodową i mieszkaniową jednorodzinną z usługami.</w:t>
            </w:r>
          </w:p>
        </w:tc>
        <w:tc>
          <w:tcPr>
            <w:tcW w:w="1701"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0,07</w:t>
            </w:r>
          </w:p>
        </w:tc>
        <w:tc>
          <w:tcPr>
            <w:tcW w:w="1417" w:type="dxa"/>
            <w:vAlign w:val="bottom"/>
          </w:tcPr>
          <w:p w:rsidR="00BC38E9" w:rsidRPr="001D200B" w:rsidRDefault="00BC38E9" w:rsidP="00BC38E9">
            <w:pPr>
              <w:jc w:val="center"/>
              <w:rPr>
                <w:rFonts w:cstheme="minorHAnsi"/>
                <w:sz w:val="22"/>
                <w:szCs w:val="22"/>
              </w:rPr>
            </w:pPr>
            <w:r w:rsidRPr="001D200B">
              <w:rPr>
                <w:rFonts w:cstheme="minorHAnsi"/>
                <w:sz w:val="22"/>
                <w:szCs w:val="22"/>
              </w:rPr>
              <w:t>13</w:t>
            </w:r>
          </w:p>
        </w:tc>
      </w:tr>
      <w:tr w:rsidR="00BC38E9" w:rsidRPr="001D200B" w:rsidTr="00BC38E9">
        <w:trPr>
          <w:trHeight w:val="399"/>
        </w:trPr>
        <w:tc>
          <w:tcPr>
            <w:tcW w:w="1419" w:type="dxa"/>
            <w:shd w:val="clear" w:color="auto" w:fill="CC9900"/>
            <w:vAlign w:val="center"/>
          </w:tcPr>
          <w:p w:rsidR="00BC38E9" w:rsidRPr="001D200B" w:rsidRDefault="00BC38E9" w:rsidP="000205DF">
            <w:pPr>
              <w:spacing w:line="240" w:lineRule="auto"/>
              <w:jc w:val="center"/>
              <w:rPr>
                <w:rFonts w:cstheme="minorHAnsi"/>
                <w:b/>
                <w:sz w:val="22"/>
                <w:szCs w:val="22"/>
              </w:rPr>
            </w:pPr>
            <w:r w:rsidRPr="001D200B">
              <w:rPr>
                <w:rFonts w:cstheme="minorHAnsi"/>
                <w:b/>
                <w:sz w:val="22"/>
                <w:szCs w:val="22"/>
              </w:rPr>
              <w:t>26</w:t>
            </w:r>
          </w:p>
        </w:tc>
        <w:tc>
          <w:tcPr>
            <w:tcW w:w="992" w:type="dxa"/>
          </w:tcPr>
          <w:p w:rsidR="00BC38E9" w:rsidRPr="001D200B" w:rsidRDefault="00BC38E9" w:rsidP="000205DF">
            <w:pPr>
              <w:spacing w:line="240" w:lineRule="auto"/>
              <w:jc w:val="center"/>
              <w:rPr>
                <w:rFonts w:cstheme="minorHAnsi"/>
                <w:sz w:val="22"/>
                <w:szCs w:val="22"/>
              </w:rPr>
            </w:pPr>
            <w:r w:rsidRPr="001D200B">
              <w:rPr>
                <w:rFonts w:cstheme="minorHAnsi"/>
                <w:sz w:val="22"/>
                <w:szCs w:val="22"/>
              </w:rPr>
              <w:t>1,3</w:t>
            </w:r>
          </w:p>
        </w:tc>
        <w:tc>
          <w:tcPr>
            <w:tcW w:w="1134" w:type="dxa"/>
            <w:vAlign w:val="bottom"/>
          </w:tcPr>
          <w:p w:rsidR="00BC38E9" w:rsidRPr="001D200B" w:rsidRDefault="00BC38E9">
            <w:pPr>
              <w:jc w:val="center"/>
              <w:rPr>
                <w:rFonts w:ascii="Calibri" w:hAnsi="Calibri" w:cs="Calibri"/>
                <w:sz w:val="22"/>
                <w:szCs w:val="22"/>
              </w:rPr>
            </w:pPr>
            <w:r w:rsidRPr="001D200B">
              <w:rPr>
                <w:rFonts w:ascii="Calibri" w:hAnsi="Calibri" w:cstheme="minorHAnsi"/>
                <w:sz w:val="22"/>
                <w:szCs w:val="22"/>
              </w:rPr>
              <w:t>7</w:t>
            </w:r>
          </w:p>
        </w:tc>
        <w:tc>
          <w:tcPr>
            <w:tcW w:w="8080" w:type="dxa"/>
            <w:vAlign w:val="center"/>
          </w:tcPr>
          <w:p w:rsidR="00BC38E9" w:rsidRPr="001D200B" w:rsidRDefault="00BC38E9" w:rsidP="000205DF">
            <w:pPr>
              <w:spacing w:before="0" w:after="0" w:line="240" w:lineRule="auto"/>
              <w:jc w:val="left"/>
              <w:rPr>
                <w:rFonts w:cstheme="minorHAnsi"/>
                <w:sz w:val="22"/>
                <w:szCs w:val="22"/>
              </w:rPr>
            </w:pPr>
            <w:r w:rsidRPr="001D200B">
              <w:rPr>
                <w:rFonts w:cstheme="minorHAnsi"/>
                <w:sz w:val="22"/>
                <w:szCs w:val="22"/>
              </w:rPr>
              <w:t>Obszary przewidziane pod zabudowę zagrodową i mieszkaniową jednorodzinną z usługami.</w:t>
            </w:r>
          </w:p>
        </w:tc>
        <w:tc>
          <w:tcPr>
            <w:tcW w:w="1701"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0,06</w:t>
            </w:r>
          </w:p>
        </w:tc>
        <w:tc>
          <w:tcPr>
            <w:tcW w:w="1417" w:type="dxa"/>
            <w:vAlign w:val="bottom"/>
          </w:tcPr>
          <w:p w:rsidR="00BC38E9" w:rsidRPr="001D200B" w:rsidRDefault="00BC38E9" w:rsidP="00BC38E9">
            <w:pPr>
              <w:jc w:val="center"/>
              <w:rPr>
                <w:rFonts w:cstheme="minorHAnsi"/>
                <w:sz w:val="22"/>
                <w:szCs w:val="22"/>
              </w:rPr>
            </w:pPr>
            <w:r w:rsidRPr="001D200B">
              <w:rPr>
                <w:rFonts w:cstheme="minorHAnsi"/>
                <w:sz w:val="22"/>
                <w:szCs w:val="22"/>
              </w:rPr>
              <w:t>11</w:t>
            </w:r>
          </w:p>
        </w:tc>
      </w:tr>
      <w:tr w:rsidR="00BC38E9" w:rsidRPr="001D200B" w:rsidTr="00BC38E9">
        <w:trPr>
          <w:trHeight w:val="399"/>
        </w:trPr>
        <w:tc>
          <w:tcPr>
            <w:tcW w:w="1419" w:type="dxa"/>
            <w:shd w:val="clear" w:color="auto" w:fill="CC9900"/>
            <w:vAlign w:val="center"/>
          </w:tcPr>
          <w:p w:rsidR="00BC38E9" w:rsidRPr="001D200B" w:rsidRDefault="00BC38E9" w:rsidP="00341DE3">
            <w:pPr>
              <w:spacing w:line="240" w:lineRule="auto"/>
              <w:jc w:val="center"/>
              <w:rPr>
                <w:rFonts w:cstheme="minorHAnsi"/>
                <w:b/>
                <w:sz w:val="22"/>
                <w:szCs w:val="22"/>
              </w:rPr>
            </w:pPr>
            <w:r w:rsidRPr="001D200B">
              <w:rPr>
                <w:rFonts w:cstheme="minorHAnsi"/>
                <w:b/>
                <w:sz w:val="22"/>
                <w:szCs w:val="22"/>
              </w:rPr>
              <w:t>27</w:t>
            </w:r>
          </w:p>
        </w:tc>
        <w:tc>
          <w:tcPr>
            <w:tcW w:w="992" w:type="dxa"/>
          </w:tcPr>
          <w:p w:rsidR="00BC38E9" w:rsidRPr="001D200B" w:rsidRDefault="00BC38E9" w:rsidP="000205DF">
            <w:pPr>
              <w:spacing w:line="240" w:lineRule="auto"/>
              <w:jc w:val="center"/>
              <w:rPr>
                <w:rFonts w:cstheme="minorHAnsi"/>
                <w:sz w:val="22"/>
                <w:szCs w:val="22"/>
              </w:rPr>
            </w:pPr>
            <w:r w:rsidRPr="001D200B">
              <w:rPr>
                <w:rFonts w:cstheme="minorHAnsi"/>
                <w:sz w:val="22"/>
                <w:szCs w:val="22"/>
              </w:rPr>
              <w:t>1,0</w:t>
            </w:r>
          </w:p>
        </w:tc>
        <w:tc>
          <w:tcPr>
            <w:tcW w:w="1134" w:type="dxa"/>
            <w:vAlign w:val="bottom"/>
          </w:tcPr>
          <w:p w:rsidR="00BC38E9" w:rsidRPr="001D200B" w:rsidRDefault="00BC38E9">
            <w:pPr>
              <w:jc w:val="center"/>
              <w:rPr>
                <w:rFonts w:ascii="Calibri" w:hAnsi="Calibri" w:cs="Calibri"/>
                <w:sz w:val="22"/>
                <w:szCs w:val="22"/>
              </w:rPr>
            </w:pPr>
            <w:r w:rsidRPr="001D200B">
              <w:rPr>
                <w:rFonts w:ascii="Calibri" w:hAnsi="Calibri" w:cstheme="minorHAnsi"/>
                <w:sz w:val="22"/>
                <w:szCs w:val="22"/>
              </w:rPr>
              <w:t>5</w:t>
            </w:r>
          </w:p>
        </w:tc>
        <w:tc>
          <w:tcPr>
            <w:tcW w:w="8080" w:type="dxa"/>
            <w:vAlign w:val="center"/>
          </w:tcPr>
          <w:p w:rsidR="00BC38E9" w:rsidRPr="001D200B" w:rsidRDefault="00BC38E9" w:rsidP="000205DF">
            <w:pPr>
              <w:spacing w:before="0" w:after="0" w:line="240" w:lineRule="auto"/>
              <w:jc w:val="left"/>
              <w:rPr>
                <w:rFonts w:cstheme="minorHAnsi"/>
                <w:sz w:val="22"/>
                <w:szCs w:val="22"/>
              </w:rPr>
            </w:pPr>
            <w:r w:rsidRPr="001D200B">
              <w:rPr>
                <w:rFonts w:cstheme="minorHAnsi"/>
                <w:sz w:val="22"/>
                <w:szCs w:val="22"/>
              </w:rPr>
              <w:t>Obszary przewidziane pod zabudowę zagrodową i mieszkaniową jednorodzinną z usługami.</w:t>
            </w:r>
          </w:p>
        </w:tc>
        <w:tc>
          <w:tcPr>
            <w:tcW w:w="1701"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0,04</w:t>
            </w:r>
          </w:p>
        </w:tc>
        <w:tc>
          <w:tcPr>
            <w:tcW w:w="1417" w:type="dxa"/>
            <w:vAlign w:val="bottom"/>
          </w:tcPr>
          <w:p w:rsidR="00BC38E9" w:rsidRPr="001D200B" w:rsidRDefault="00BC38E9" w:rsidP="00BC38E9">
            <w:pPr>
              <w:jc w:val="center"/>
              <w:rPr>
                <w:rFonts w:cstheme="minorHAnsi"/>
                <w:sz w:val="22"/>
                <w:szCs w:val="22"/>
              </w:rPr>
            </w:pPr>
            <w:r w:rsidRPr="001D200B">
              <w:rPr>
                <w:rFonts w:cstheme="minorHAnsi"/>
                <w:sz w:val="22"/>
                <w:szCs w:val="22"/>
              </w:rPr>
              <w:t>8</w:t>
            </w:r>
          </w:p>
        </w:tc>
      </w:tr>
      <w:tr w:rsidR="00BC38E9" w:rsidRPr="001D200B" w:rsidTr="00BC38E9">
        <w:trPr>
          <w:trHeight w:val="399"/>
        </w:trPr>
        <w:tc>
          <w:tcPr>
            <w:tcW w:w="1419" w:type="dxa"/>
            <w:shd w:val="clear" w:color="auto" w:fill="FF6699"/>
            <w:vAlign w:val="center"/>
          </w:tcPr>
          <w:p w:rsidR="00BC38E9" w:rsidRPr="001D200B" w:rsidRDefault="00BC38E9" w:rsidP="000205DF">
            <w:pPr>
              <w:spacing w:line="240" w:lineRule="auto"/>
              <w:jc w:val="center"/>
              <w:rPr>
                <w:rFonts w:cstheme="minorHAnsi"/>
                <w:b/>
                <w:sz w:val="22"/>
                <w:szCs w:val="22"/>
              </w:rPr>
            </w:pPr>
            <w:r w:rsidRPr="001D200B">
              <w:rPr>
                <w:rFonts w:cstheme="minorHAnsi"/>
                <w:b/>
                <w:sz w:val="22"/>
                <w:szCs w:val="22"/>
              </w:rPr>
              <w:lastRenderedPageBreak/>
              <w:t>2</w:t>
            </w:r>
          </w:p>
        </w:tc>
        <w:tc>
          <w:tcPr>
            <w:tcW w:w="992" w:type="dxa"/>
            <w:vAlign w:val="center"/>
          </w:tcPr>
          <w:p w:rsidR="00BC38E9" w:rsidRPr="001D200B" w:rsidRDefault="00BC38E9" w:rsidP="003556EE">
            <w:pPr>
              <w:spacing w:line="240" w:lineRule="auto"/>
              <w:jc w:val="center"/>
              <w:rPr>
                <w:rFonts w:cstheme="minorHAnsi"/>
                <w:sz w:val="22"/>
                <w:szCs w:val="22"/>
              </w:rPr>
            </w:pPr>
            <w:r w:rsidRPr="001D200B">
              <w:rPr>
                <w:rFonts w:cstheme="minorHAnsi"/>
                <w:sz w:val="22"/>
                <w:szCs w:val="22"/>
              </w:rPr>
              <w:t>15,0</w:t>
            </w:r>
          </w:p>
        </w:tc>
        <w:tc>
          <w:tcPr>
            <w:tcW w:w="1134" w:type="dxa"/>
            <w:vAlign w:val="bottom"/>
          </w:tcPr>
          <w:p w:rsidR="00BC38E9" w:rsidRPr="001D200B" w:rsidRDefault="00BC38E9">
            <w:pPr>
              <w:jc w:val="center"/>
              <w:rPr>
                <w:rFonts w:ascii="Calibri" w:hAnsi="Calibri" w:cs="Calibri"/>
                <w:sz w:val="22"/>
                <w:szCs w:val="22"/>
              </w:rPr>
            </w:pPr>
            <w:r w:rsidRPr="001D200B">
              <w:rPr>
                <w:rFonts w:ascii="Calibri" w:hAnsi="Calibri" w:cstheme="minorHAnsi"/>
                <w:sz w:val="22"/>
                <w:szCs w:val="22"/>
              </w:rPr>
              <w:t>120</w:t>
            </w:r>
          </w:p>
        </w:tc>
        <w:tc>
          <w:tcPr>
            <w:tcW w:w="8080" w:type="dxa"/>
          </w:tcPr>
          <w:p w:rsidR="00BC38E9" w:rsidRPr="001D200B" w:rsidRDefault="00BC38E9" w:rsidP="001407B3">
            <w:pPr>
              <w:spacing w:before="0" w:after="0" w:line="240" w:lineRule="auto"/>
              <w:rPr>
                <w:rFonts w:cstheme="minorHAnsi"/>
                <w:sz w:val="22"/>
                <w:szCs w:val="22"/>
              </w:rPr>
            </w:pPr>
            <w:r w:rsidRPr="001D200B">
              <w:rPr>
                <w:rFonts w:cstheme="minorHAnsi"/>
                <w:sz w:val="22"/>
                <w:szCs w:val="22"/>
              </w:rPr>
              <w:t>Obszary przewidziane pod zabudowę mieszkaniowo – usługową o charakterze miejskim</w:t>
            </w:r>
          </w:p>
        </w:tc>
        <w:tc>
          <w:tcPr>
            <w:tcW w:w="1701"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0,29</w:t>
            </w:r>
          </w:p>
        </w:tc>
        <w:tc>
          <w:tcPr>
            <w:tcW w:w="1417" w:type="dxa"/>
            <w:vAlign w:val="bottom"/>
          </w:tcPr>
          <w:p w:rsidR="00BC38E9" w:rsidRPr="001D200B" w:rsidRDefault="00BC38E9" w:rsidP="00BC38E9">
            <w:pPr>
              <w:jc w:val="center"/>
              <w:rPr>
                <w:rFonts w:cstheme="minorHAnsi"/>
                <w:sz w:val="22"/>
                <w:szCs w:val="22"/>
              </w:rPr>
            </w:pPr>
            <w:r w:rsidRPr="001D200B">
              <w:rPr>
                <w:rFonts w:cstheme="minorHAnsi"/>
                <w:sz w:val="22"/>
                <w:szCs w:val="22"/>
              </w:rPr>
              <w:t>204</w:t>
            </w:r>
          </w:p>
        </w:tc>
      </w:tr>
      <w:tr w:rsidR="00BC38E9" w:rsidRPr="001D200B" w:rsidTr="00BC38E9">
        <w:trPr>
          <w:trHeight w:val="399"/>
        </w:trPr>
        <w:tc>
          <w:tcPr>
            <w:tcW w:w="1419" w:type="dxa"/>
            <w:shd w:val="clear" w:color="auto" w:fill="FF6699"/>
            <w:vAlign w:val="center"/>
          </w:tcPr>
          <w:p w:rsidR="00BC38E9" w:rsidRPr="001D200B" w:rsidRDefault="00BC38E9" w:rsidP="000205DF">
            <w:pPr>
              <w:spacing w:line="240" w:lineRule="auto"/>
              <w:jc w:val="center"/>
              <w:rPr>
                <w:rFonts w:cstheme="minorHAnsi"/>
                <w:b/>
                <w:sz w:val="22"/>
                <w:szCs w:val="22"/>
              </w:rPr>
            </w:pPr>
            <w:r w:rsidRPr="001D200B">
              <w:rPr>
                <w:rFonts w:cstheme="minorHAnsi"/>
                <w:b/>
                <w:sz w:val="22"/>
                <w:szCs w:val="22"/>
              </w:rPr>
              <w:t>3</w:t>
            </w:r>
          </w:p>
        </w:tc>
        <w:tc>
          <w:tcPr>
            <w:tcW w:w="992" w:type="dxa"/>
            <w:vAlign w:val="center"/>
          </w:tcPr>
          <w:p w:rsidR="00BC38E9" w:rsidRPr="001D200B" w:rsidRDefault="00BC38E9" w:rsidP="003556EE">
            <w:pPr>
              <w:spacing w:line="240" w:lineRule="auto"/>
              <w:jc w:val="center"/>
              <w:rPr>
                <w:rFonts w:cstheme="minorHAnsi"/>
                <w:sz w:val="22"/>
                <w:szCs w:val="22"/>
              </w:rPr>
            </w:pPr>
            <w:r w:rsidRPr="001D200B">
              <w:rPr>
                <w:rFonts w:cstheme="minorHAnsi"/>
                <w:sz w:val="22"/>
                <w:szCs w:val="22"/>
              </w:rPr>
              <w:t>2,3</w:t>
            </w:r>
          </w:p>
        </w:tc>
        <w:tc>
          <w:tcPr>
            <w:tcW w:w="1134" w:type="dxa"/>
            <w:vAlign w:val="bottom"/>
          </w:tcPr>
          <w:p w:rsidR="00BC38E9" w:rsidRPr="001D200B" w:rsidRDefault="00BC38E9">
            <w:pPr>
              <w:jc w:val="center"/>
              <w:rPr>
                <w:rFonts w:ascii="Calibri" w:hAnsi="Calibri" w:cs="Calibri"/>
                <w:sz w:val="22"/>
                <w:szCs w:val="22"/>
              </w:rPr>
            </w:pPr>
            <w:r w:rsidRPr="001D200B">
              <w:rPr>
                <w:rFonts w:ascii="Calibri" w:hAnsi="Calibri" w:cstheme="minorHAnsi"/>
                <w:sz w:val="22"/>
                <w:szCs w:val="22"/>
              </w:rPr>
              <w:t>18</w:t>
            </w:r>
          </w:p>
        </w:tc>
        <w:tc>
          <w:tcPr>
            <w:tcW w:w="8080" w:type="dxa"/>
          </w:tcPr>
          <w:p w:rsidR="00BC38E9" w:rsidRPr="001D200B" w:rsidRDefault="00BC38E9" w:rsidP="001407B3">
            <w:pPr>
              <w:spacing w:before="0" w:after="0" w:line="240" w:lineRule="auto"/>
              <w:rPr>
                <w:rFonts w:cstheme="minorHAnsi"/>
                <w:sz w:val="22"/>
                <w:szCs w:val="22"/>
              </w:rPr>
            </w:pPr>
            <w:r w:rsidRPr="001D200B">
              <w:rPr>
                <w:rFonts w:cstheme="minorHAnsi"/>
                <w:sz w:val="22"/>
                <w:szCs w:val="22"/>
              </w:rPr>
              <w:t>Obszary przewidziane pod zabudowę mieszkaniowo – usługową o charakterze miejskim</w:t>
            </w:r>
          </w:p>
        </w:tc>
        <w:tc>
          <w:tcPr>
            <w:tcW w:w="1701"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0,11</w:t>
            </w:r>
          </w:p>
        </w:tc>
        <w:tc>
          <w:tcPr>
            <w:tcW w:w="1417" w:type="dxa"/>
            <w:vAlign w:val="bottom"/>
          </w:tcPr>
          <w:p w:rsidR="00BC38E9" w:rsidRPr="001D200B" w:rsidRDefault="00BC38E9" w:rsidP="00BC38E9">
            <w:pPr>
              <w:jc w:val="center"/>
              <w:rPr>
                <w:rFonts w:cstheme="minorHAnsi"/>
                <w:sz w:val="22"/>
                <w:szCs w:val="22"/>
              </w:rPr>
            </w:pPr>
            <w:r w:rsidRPr="001D200B">
              <w:rPr>
                <w:rFonts w:cstheme="minorHAnsi"/>
                <w:sz w:val="22"/>
                <w:szCs w:val="22"/>
              </w:rPr>
              <w:t>30</w:t>
            </w:r>
          </w:p>
        </w:tc>
      </w:tr>
      <w:tr w:rsidR="00BC38E9" w:rsidRPr="001D200B" w:rsidTr="00BC38E9">
        <w:trPr>
          <w:trHeight w:val="399"/>
        </w:trPr>
        <w:tc>
          <w:tcPr>
            <w:tcW w:w="1419" w:type="dxa"/>
            <w:shd w:val="clear" w:color="auto" w:fill="FF6699"/>
            <w:vAlign w:val="center"/>
          </w:tcPr>
          <w:p w:rsidR="00BC38E9" w:rsidRPr="001D200B" w:rsidRDefault="00BC38E9" w:rsidP="000205DF">
            <w:pPr>
              <w:spacing w:line="240" w:lineRule="auto"/>
              <w:jc w:val="center"/>
              <w:rPr>
                <w:rFonts w:cstheme="minorHAnsi"/>
                <w:b/>
                <w:sz w:val="22"/>
                <w:szCs w:val="22"/>
              </w:rPr>
            </w:pPr>
            <w:r w:rsidRPr="001D200B">
              <w:rPr>
                <w:rFonts w:cstheme="minorHAnsi"/>
                <w:b/>
                <w:sz w:val="22"/>
                <w:szCs w:val="22"/>
              </w:rPr>
              <w:t>4</w:t>
            </w:r>
          </w:p>
        </w:tc>
        <w:tc>
          <w:tcPr>
            <w:tcW w:w="992" w:type="dxa"/>
            <w:vAlign w:val="center"/>
          </w:tcPr>
          <w:p w:rsidR="00BC38E9" w:rsidRPr="001D200B" w:rsidRDefault="00BC38E9" w:rsidP="003556EE">
            <w:pPr>
              <w:spacing w:line="240" w:lineRule="auto"/>
              <w:jc w:val="center"/>
              <w:rPr>
                <w:rFonts w:cstheme="minorHAnsi"/>
                <w:sz w:val="22"/>
                <w:szCs w:val="22"/>
              </w:rPr>
            </w:pPr>
            <w:r w:rsidRPr="001D200B">
              <w:rPr>
                <w:rFonts w:cstheme="minorHAnsi"/>
                <w:sz w:val="22"/>
                <w:szCs w:val="22"/>
              </w:rPr>
              <w:t>2,4</w:t>
            </w:r>
          </w:p>
        </w:tc>
        <w:tc>
          <w:tcPr>
            <w:tcW w:w="1134" w:type="dxa"/>
            <w:vAlign w:val="bottom"/>
          </w:tcPr>
          <w:p w:rsidR="00BC38E9" w:rsidRPr="001D200B" w:rsidRDefault="00BC38E9">
            <w:pPr>
              <w:jc w:val="center"/>
              <w:rPr>
                <w:rFonts w:ascii="Calibri" w:hAnsi="Calibri" w:cs="Calibri"/>
                <w:sz w:val="22"/>
                <w:szCs w:val="22"/>
              </w:rPr>
            </w:pPr>
            <w:r w:rsidRPr="001D200B">
              <w:rPr>
                <w:rFonts w:ascii="Calibri" w:hAnsi="Calibri" w:cstheme="minorHAnsi"/>
                <w:sz w:val="22"/>
                <w:szCs w:val="22"/>
              </w:rPr>
              <w:t>19</w:t>
            </w:r>
          </w:p>
        </w:tc>
        <w:tc>
          <w:tcPr>
            <w:tcW w:w="8080" w:type="dxa"/>
            <w:vAlign w:val="center"/>
          </w:tcPr>
          <w:p w:rsidR="00BC38E9" w:rsidRPr="001D200B" w:rsidRDefault="00BC38E9" w:rsidP="001407B3">
            <w:pPr>
              <w:spacing w:before="0" w:after="0" w:line="240" w:lineRule="auto"/>
              <w:rPr>
                <w:rFonts w:cstheme="minorHAnsi"/>
                <w:sz w:val="22"/>
                <w:szCs w:val="22"/>
              </w:rPr>
            </w:pPr>
            <w:r w:rsidRPr="001D200B">
              <w:rPr>
                <w:rFonts w:cstheme="minorHAnsi"/>
                <w:sz w:val="22"/>
                <w:szCs w:val="22"/>
              </w:rPr>
              <w:t>Obszary przewidziane pod zabudowę mieszkaniowo – usługową o charakterze miejskim</w:t>
            </w:r>
          </w:p>
        </w:tc>
        <w:tc>
          <w:tcPr>
            <w:tcW w:w="1701"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0,11</w:t>
            </w:r>
          </w:p>
        </w:tc>
        <w:tc>
          <w:tcPr>
            <w:tcW w:w="1417" w:type="dxa"/>
            <w:vAlign w:val="bottom"/>
          </w:tcPr>
          <w:p w:rsidR="00BC38E9" w:rsidRPr="001D200B" w:rsidRDefault="00BC38E9" w:rsidP="00BC38E9">
            <w:pPr>
              <w:jc w:val="center"/>
              <w:rPr>
                <w:rFonts w:cstheme="minorHAnsi"/>
                <w:sz w:val="22"/>
                <w:szCs w:val="22"/>
              </w:rPr>
            </w:pPr>
            <w:r w:rsidRPr="001D200B">
              <w:rPr>
                <w:rFonts w:cstheme="minorHAnsi"/>
                <w:sz w:val="22"/>
                <w:szCs w:val="22"/>
              </w:rPr>
              <w:t>32</w:t>
            </w:r>
          </w:p>
        </w:tc>
      </w:tr>
      <w:tr w:rsidR="00BC38E9" w:rsidRPr="001D200B" w:rsidTr="00BC38E9">
        <w:trPr>
          <w:trHeight w:val="399"/>
        </w:trPr>
        <w:tc>
          <w:tcPr>
            <w:tcW w:w="1419" w:type="dxa"/>
            <w:shd w:val="clear" w:color="auto" w:fill="FF6699"/>
            <w:vAlign w:val="center"/>
          </w:tcPr>
          <w:p w:rsidR="00BC38E9" w:rsidRPr="001D200B" w:rsidRDefault="00BC38E9" w:rsidP="000205DF">
            <w:pPr>
              <w:spacing w:line="240" w:lineRule="auto"/>
              <w:jc w:val="center"/>
              <w:rPr>
                <w:rFonts w:cstheme="minorHAnsi"/>
                <w:b/>
                <w:sz w:val="22"/>
                <w:szCs w:val="22"/>
              </w:rPr>
            </w:pPr>
            <w:r w:rsidRPr="001D200B">
              <w:rPr>
                <w:rFonts w:cstheme="minorHAnsi"/>
                <w:b/>
                <w:sz w:val="22"/>
                <w:szCs w:val="22"/>
              </w:rPr>
              <w:t>5</w:t>
            </w:r>
          </w:p>
        </w:tc>
        <w:tc>
          <w:tcPr>
            <w:tcW w:w="992" w:type="dxa"/>
            <w:vAlign w:val="center"/>
          </w:tcPr>
          <w:p w:rsidR="00BC38E9" w:rsidRPr="001D200B" w:rsidRDefault="00BC38E9" w:rsidP="003556EE">
            <w:pPr>
              <w:spacing w:line="240" w:lineRule="auto"/>
              <w:jc w:val="center"/>
              <w:rPr>
                <w:rFonts w:cstheme="minorHAnsi"/>
                <w:sz w:val="22"/>
                <w:szCs w:val="22"/>
              </w:rPr>
            </w:pPr>
            <w:r w:rsidRPr="001D200B">
              <w:rPr>
                <w:rFonts w:cstheme="minorHAnsi"/>
                <w:sz w:val="22"/>
                <w:szCs w:val="22"/>
              </w:rPr>
              <w:t>0,5</w:t>
            </w:r>
          </w:p>
        </w:tc>
        <w:tc>
          <w:tcPr>
            <w:tcW w:w="1134" w:type="dxa"/>
            <w:vAlign w:val="bottom"/>
          </w:tcPr>
          <w:p w:rsidR="00BC38E9" w:rsidRPr="001D200B" w:rsidRDefault="00BC38E9">
            <w:pPr>
              <w:jc w:val="center"/>
              <w:rPr>
                <w:rFonts w:ascii="Calibri" w:hAnsi="Calibri" w:cs="Calibri"/>
                <w:sz w:val="22"/>
                <w:szCs w:val="22"/>
              </w:rPr>
            </w:pPr>
            <w:r w:rsidRPr="001D200B">
              <w:rPr>
                <w:rFonts w:ascii="Calibri" w:hAnsi="Calibri" w:cstheme="minorHAnsi"/>
                <w:sz w:val="22"/>
                <w:szCs w:val="22"/>
              </w:rPr>
              <w:t>4</w:t>
            </w:r>
          </w:p>
        </w:tc>
        <w:tc>
          <w:tcPr>
            <w:tcW w:w="8080" w:type="dxa"/>
            <w:vAlign w:val="center"/>
          </w:tcPr>
          <w:p w:rsidR="00BC38E9" w:rsidRPr="001D200B" w:rsidRDefault="00BC38E9" w:rsidP="001407B3">
            <w:pPr>
              <w:spacing w:before="0" w:after="0" w:line="240" w:lineRule="auto"/>
              <w:rPr>
                <w:rFonts w:cstheme="minorHAnsi"/>
                <w:sz w:val="22"/>
                <w:szCs w:val="22"/>
              </w:rPr>
            </w:pPr>
            <w:r w:rsidRPr="001D200B">
              <w:rPr>
                <w:rFonts w:cstheme="minorHAnsi"/>
                <w:sz w:val="22"/>
                <w:szCs w:val="22"/>
              </w:rPr>
              <w:t>Obszary przewidziane pod zabudowę mieszkaniowo – usługową o charakterze miejskim</w:t>
            </w:r>
          </w:p>
        </w:tc>
        <w:tc>
          <w:tcPr>
            <w:tcW w:w="1701"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0,04</w:t>
            </w:r>
          </w:p>
        </w:tc>
        <w:tc>
          <w:tcPr>
            <w:tcW w:w="1417" w:type="dxa"/>
            <w:vAlign w:val="bottom"/>
          </w:tcPr>
          <w:p w:rsidR="00BC38E9" w:rsidRPr="001D200B" w:rsidRDefault="00BC38E9" w:rsidP="00BC38E9">
            <w:pPr>
              <w:jc w:val="center"/>
              <w:rPr>
                <w:rFonts w:cstheme="minorHAnsi"/>
                <w:sz w:val="22"/>
                <w:szCs w:val="22"/>
              </w:rPr>
            </w:pPr>
            <w:r w:rsidRPr="001D200B">
              <w:rPr>
                <w:rFonts w:cstheme="minorHAnsi"/>
                <w:sz w:val="22"/>
                <w:szCs w:val="22"/>
              </w:rPr>
              <w:t>6</w:t>
            </w:r>
          </w:p>
        </w:tc>
      </w:tr>
      <w:tr w:rsidR="00BC38E9" w:rsidRPr="001D200B" w:rsidTr="00BC38E9">
        <w:trPr>
          <w:trHeight w:val="399"/>
        </w:trPr>
        <w:tc>
          <w:tcPr>
            <w:tcW w:w="1419" w:type="dxa"/>
            <w:shd w:val="clear" w:color="auto" w:fill="FF6699"/>
            <w:vAlign w:val="center"/>
          </w:tcPr>
          <w:p w:rsidR="00BC38E9" w:rsidRPr="001D200B" w:rsidRDefault="00BC38E9" w:rsidP="000205DF">
            <w:pPr>
              <w:spacing w:line="240" w:lineRule="auto"/>
              <w:jc w:val="center"/>
              <w:rPr>
                <w:rFonts w:cstheme="minorHAnsi"/>
                <w:b/>
                <w:sz w:val="22"/>
                <w:szCs w:val="22"/>
              </w:rPr>
            </w:pPr>
            <w:r w:rsidRPr="001D200B">
              <w:rPr>
                <w:rFonts w:cstheme="minorHAnsi"/>
                <w:b/>
                <w:sz w:val="22"/>
                <w:szCs w:val="22"/>
              </w:rPr>
              <w:t>6</w:t>
            </w:r>
          </w:p>
        </w:tc>
        <w:tc>
          <w:tcPr>
            <w:tcW w:w="992" w:type="dxa"/>
            <w:vAlign w:val="center"/>
          </w:tcPr>
          <w:p w:rsidR="00BC38E9" w:rsidRPr="001D200B" w:rsidRDefault="00BC38E9" w:rsidP="003556EE">
            <w:pPr>
              <w:spacing w:line="240" w:lineRule="auto"/>
              <w:jc w:val="center"/>
              <w:rPr>
                <w:rFonts w:cstheme="minorHAnsi"/>
                <w:sz w:val="22"/>
                <w:szCs w:val="22"/>
              </w:rPr>
            </w:pPr>
            <w:r w:rsidRPr="001D200B">
              <w:rPr>
                <w:rFonts w:cstheme="minorHAnsi"/>
                <w:sz w:val="22"/>
                <w:szCs w:val="22"/>
              </w:rPr>
              <w:t>1,0</w:t>
            </w:r>
          </w:p>
        </w:tc>
        <w:tc>
          <w:tcPr>
            <w:tcW w:w="1134" w:type="dxa"/>
            <w:vAlign w:val="bottom"/>
          </w:tcPr>
          <w:p w:rsidR="00BC38E9" w:rsidRPr="001D200B" w:rsidRDefault="00BC38E9">
            <w:pPr>
              <w:jc w:val="center"/>
              <w:rPr>
                <w:rFonts w:ascii="Calibri" w:hAnsi="Calibri" w:cs="Calibri"/>
                <w:sz w:val="22"/>
                <w:szCs w:val="22"/>
              </w:rPr>
            </w:pPr>
            <w:r w:rsidRPr="001D200B">
              <w:rPr>
                <w:rFonts w:ascii="Calibri" w:hAnsi="Calibri" w:cstheme="minorHAnsi"/>
                <w:sz w:val="22"/>
                <w:szCs w:val="22"/>
              </w:rPr>
              <w:t>8</w:t>
            </w:r>
          </w:p>
        </w:tc>
        <w:tc>
          <w:tcPr>
            <w:tcW w:w="8080" w:type="dxa"/>
            <w:vAlign w:val="center"/>
          </w:tcPr>
          <w:p w:rsidR="00BC38E9" w:rsidRPr="001D200B" w:rsidRDefault="00BC38E9" w:rsidP="001407B3">
            <w:pPr>
              <w:spacing w:before="0" w:after="0" w:line="240" w:lineRule="auto"/>
              <w:rPr>
                <w:rFonts w:cstheme="minorHAnsi"/>
                <w:sz w:val="22"/>
                <w:szCs w:val="22"/>
              </w:rPr>
            </w:pPr>
            <w:r w:rsidRPr="001D200B">
              <w:rPr>
                <w:rFonts w:cstheme="minorHAnsi"/>
                <w:sz w:val="22"/>
                <w:szCs w:val="22"/>
              </w:rPr>
              <w:t>Obszary przewidziane pod zabudowę mieszkaniową jednorodzinną z usługami</w:t>
            </w:r>
          </w:p>
        </w:tc>
        <w:tc>
          <w:tcPr>
            <w:tcW w:w="1701"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0,07</w:t>
            </w:r>
          </w:p>
        </w:tc>
        <w:tc>
          <w:tcPr>
            <w:tcW w:w="1417" w:type="dxa"/>
            <w:vAlign w:val="bottom"/>
          </w:tcPr>
          <w:p w:rsidR="00BC38E9" w:rsidRPr="001D200B" w:rsidRDefault="00BC38E9" w:rsidP="00BC38E9">
            <w:pPr>
              <w:jc w:val="center"/>
              <w:rPr>
                <w:rFonts w:cstheme="minorHAnsi"/>
                <w:sz w:val="22"/>
                <w:szCs w:val="22"/>
              </w:rPr>
            </w:pPr>
            <w:r w:rsidRPr="001D200B">
              <w:rPr>
                <w:rFonts w:cstheme="minorHAnsi"/>
                <w:sz w:val="22"/>
                <w:szCs w:val="22"/>
              </w:rPr>
              <w:t>13</w:t>
            </w:r>
          </w:p>
        </w:tc>
      </w:tr>
      <w:tr w:rsidR="00BC38E9" w:rsidRPr="001D200B" w:rsidTr="00BC38E9">
        <w:trPr>
          <w:trHeight w:val="399"/>
        </w:trPr>
        <w:tc>
          <w:tcPr>
            <w:tcW w:w="1419" w:type="dxa"/>
            <w:shd w:val="clear" w:color="auto" w:fill="FF6699"/>
            <w:vAlign w:val="center"/>
          </w:tcPr>
          <w:p w:rsidR="00BC38E9" w:rsidRPr="001D200B" w:rsidRDefault="00BC38E9" w:rsidP="000205DF">
            <w:pPr>
              <w:spacing w:line="240" w:lineRule="auto"/>
              <w:jc w:val="center"/>
              <w:rPr>
                <w:rFonts w:cstheme="minorHAnsi"/>
                <w:b/>
                <w:sz w:val="22"/>
                <w:szCs w:val="22"/>
              </w:rPr>
            </w:pPr>
            <w:r w:rsidRPr="001D200B">
              <w:rPr>
                <w:rFonts w:cstheme="minorHAnsi"/>
                <w:b/>
                <w:sz w:val="22"/>
                <w:szCs w:val="22"/>
              </w:rPr>
              <w:t>7</w:t>
            </w:r>
          </w:p>
        </w:tc>
        <w:tc>
          <w:tcPr>
            <w:tcW w:w="992" w:type="dxa"/>
            <w:vAlign w:val="center"/>
          </w:tcPr>
          <w:p w:rsidR="00BC38E9" w:rsidRPr="001D200B" w:rsidRDefault="00BC38E9" w:rsidP="003556EE">
            <w:pPr>
              <w:spacing w:line="240" w:lineRule="auto"/>
              <w:jc w:val="center"/>
              <w:rPr>
                <w:rFonts w:cstheme="minorHAnsi"/>
                <w:sz w:val="22"/>
                <w:szCs w:val="22"/>
              </w:rPr>
            </w:pPr>
            <w:r w:rsidRPr="001D200B">
              <w:rPr>
                <w:rFonts w:cstheme="minorHAnsi"/>
                <w:sz w:val="22"/>
                <w:szCs w:val="22"/>
              </w:rPr>
              <w:t>1,7</w:t>
            </w:r>
          </w:p>
        </w:tc>
        <w:tc>
          <w:tcPr>
            <w:tcW w:w="1134" w:type="dxa"/>
            <w:vAlign w:val="bottom"/>
          </w:tcPr>
          <w:p w:rsidR="00BC38E9" w:rsidRPr="001D200B" w:rsidRDefault="00BC38E9">
            <w:pPr>
              <w:jc w:val="center"/>
              <w:rPr>
                <w:rFonts w:ascii="Calibri" w:hAnsi="Calibri" w:cs="Calibri"/>
                <w:sz w:val="22"/>
                <w:szCs w:val="22"/>
              </w:rPr>
            </w:pPr>
            <w:r w:rsidRPr="001D200B">
              <w:rPr>
                <w:rFonts w:ascii="Calibri" w:hAnsi="Calibri" w:cstheme="minorHAnsi"/>
                <w:sz w:val="22"/>
                <w:szCs w:val="22"/>
              </w:rPr>
              <w:t>14</w:t>
            </w:r>
          </w:p>
        </w:tc>
        <w:tc>
          <w:tcPr>
            <w:tcW w:w="8080" w:type="dxa"/>
            <w:vAlign w:val="center"/>
          </w:tcPr>
          <w:p w:rsidR="00BC38E9" w:rsidRPr="001D200B" w:rsidRDefault="00BC38E9" w:rsidP="001407B3">
            <w:pPr>
              <w:spacing w:before="0" w:after="0" w:line="240" w:lineRule="auto"/>
              <w:rPr>
                <w:rFonts w:cstheme="minorHAnsi"/>
                <w:sz w:val="22"/>
                <w:szCs w:val="22"/>
              </w:rPr>
            </w:pPr>
            <w:r w:rsidRPr="001D200B">
              <w:rPr>
                <w:rFonts w:cstheme="minorHAnsi"/>
                <w:sz w:val="22"/>
                <w:szCs w:val="22"/>
              </w:rPr>
              <w:t>Obszary przewidziane pod zabudowę mieszkaniową jednorodzinną z usługami</w:t>
            </w:r>
          </w:p>
        </w:tc>
        <w:tc>
          <w:tcPr>
            <w:tcW w:w="1701"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0,09</w:t>
            </w:r>
          </w:p>
        </w:tc>
        <w:tc>
          <w:tcPr>
            <w:tcW w:w="1417" w:type="dxa"/>
            <w:vAlign w:val="bottom"/>
          </w:tcPr>
          <w:p w:rsidR="00BC38E9" w:rsidRPr="001D200B" w:rsidRDefault="00BC38E9" w:rsidP="00BC38E9">
            <w:pPr>
              <w:jc w:val="center"/>
              <w:rPr>
                <w:rFonts w:cstheme="minorHAnsi"/>
                <w:sz w:val="22"/>
                <w:szCs w:val="22"/>
              </w:rPr>
            </w:pPr>
            <w:r w:rsidRPr="001D200B">
              <w:rPr>
                <w:rFonts w:cstheme="minorHAnsi"/>
                <w:sz w:val="22"/>
                <w:szCs w:val="22"/>
              </w:rPr>
              <w:t>23</w:t>
            </w:r>
          </w:p>
        </w:tc>
      </w:tr>
      <w:tr w:rsidR="00BC38E9" w:rsidRPr="001D200B" w:rsidTr="00BC38E9">
        <w:trPr>
          <w:trHeight w:val="399"/>
        </w:trPr>
        <w:tc>
          <w:tcPr>
            <w:tcW w:w="1419" w:type="dxa"/>
            <w:shd w:val="clear" w:color="auto" w:fill="FF6699"/>
            <w:vAlign w:val="center"/>
          </w:tcPr>
          <w:p w:rsidR="00BC38E9" w:rsidRPr="001D200B" w:rsidRDefault="00BC38E9" w:rsidP="000205DF">
            <w:pPr>
              <w:spacing w:line="240" w:lineRule="auto"/>
              <w:jc w:val="center"/>
              <w:rPr>
                <w:rFonts w:cstheme="minorHAnsi"/>
                <w:b/>
                <w:sz w:val="22"/>
                <w:szCs w:val="22"/>
              </w:rPr>
            </w:pPr>
            <w:r w:rsidRPr="001D200B">
              <w:rPr>
                <w:rFonts w:cstheme="minorHAnsi"/>
                <w:b/>
                <w:sz w:val="22"/>
                <w:szCs w:val="22"/>
              </w:rPr>
              <w:t>8</w:t>
            </w:r>
          </w:p>
        </w:tc>
        <w:tc>
          <w:tcPr>
            <w:tcW w:w="992" w:type="dxa"/>
            <w:vAlign w:val="center"/>
          </w:tcPr>
          <w:p w:rsidR="00BC38E9" w:rsidRPr="001D200B" w:rsidRDefault="00BC38E9" w:rsidP="003556EE">
            <w:pPr>
              <w:spacing w:line="240" w:lineRule="auto"/>
              <w:jc w:val="center"/>
              <w:rPr>
                <w:rFonts w:cstheme="minorHAnsi"/>
                <w:sz w:val="22"/>
                <w:szCs w:val="22"/>
              </w:rPr>
            </w:pPr>
            <w:r w:rsidRPr="001D200B">
              <w:rPr>
                <w:rFonts w:cstheme="minorHAnsi"/>
                <w:sz w:val="22"/>
                <w:szCs w:val="22"/>
              </w:rPr>
              <w:t>0,9</w:t>
            </w:r>
          </w:p>
        </w:tc>
        <w:tc>
          <w:tcPr>
            <w:tcW w:w="1134" w:type="dxa"/>
            <w:vAlign w:val="bottom"/>
          </w:tcPr>
          <w:p w:rsidR="00BC38E9" w:rsidRPr="001D200B" w:rsidRDefault="00BC38E9">
            <w:pPr>
              <w:jc w:val="center"/>
              <w:rPr>
                <w:rFonts w:ascii="Calibri" w:hAnsi="Calibri" w:cs="Calibri"/>
                <w:sz w:val="22"/>
                <w:szCs w:val="22"/>
              </w:rPr>
            </w:pPr>
            <w:r w:rsidRPr="001D200B">
              <w:rPr>
                <w:rFonts w:ascii="Calibri" w:hAnsi="Calibri" w:cstheme="minorHAnsi"/>
                <w:sz w:val="22"/>
                <w:szCs w:val="22"/>
              </w:rPr>
              <w:t>7</w:t>
            </w:r>
          </w:p>
        </w:tc>
        <w:tc>
          <w:tcPr>
            <w:tcW w:w="8080" w:type="dxa"/>
            <w:vAlign w:val="center"/>
          </w:tcPr>
          <w:p w:rsidR="00BC38E9" w:rsidRPr="001D200B" w:rsidRDefault="00BC38E9" w:rsidP="001407B3">
            <w:pPr>
              <w:spacing w:before="0" w:after="0" w:line="240" w:lineRule="auto"/>
              <w:rPr>
                <w:rFonts w:cstheme="minorHAnsi"/>
                <w:sz w:val="22"/>
                <w:szCs w:val="22"/>
              </w:rPr>
            </w:pPr>
            <w:r w:rsidRPr="001D200B">
              <w:rPr>
                <w:rFonts w:cstheme="minorHAnsi"/>
                <w:sz w:val="22"/>
                <w:szCs w:val="22"/>
              </w:rPr>
              <w:t>Obszary przewidziane pod zabudowę mieszkaniowo – usługową o charakterze miejskim</w:t>
            </w:r>
          </w:p>
        </w:tc>
        <w:tc>
          <w:tcPr>
            <w:tcW w:w="1701"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0,06</w:t>
            </w:r>
          </w:p>
        </w:tc>
        <w:tc>
          <w:tcPr>
            <w:tcW w:w="1417" w:type="dxa"/>
            <w:vAlign w:val="bottom"/>
          </w:tcPr>
          <w:p w:rsidR="00BC38E9" w:rsidRPr="001D200B" w:rsidRDefault="00BC38E9" w:rsidP="00BC38E9">
            <w:pPr>
              <w:jc w:val="center"/>
              <w:rPr>
                <w:rFonts w:cstheme="minorHAnsi"/>
                <w:sz w:val="22"/>
                <w:szCs w:val="22"/>
              </w:rPr>
            </w:pPr>
            <w:r w:rsidRPr="001D200B">
              <w:rPr>
                <w:rFonts w:cstheme="minorHAnsi"/>
                <w:sz w:val="22"/>
                <w:szCs w:val="22"/>
              </w:rPr>
              <w:t>11</w:t>
            </w:r>
          </w:p>
        </w:tc>
      </w:tr>
      <w:tr w:rsidR="00BC38E9" w:rsidRPr="001D200B" w:rsidTr="00BC38E9">
        <w:trPr>
          <w:trHeight w:val="399"/>
        </w:trPr>
        <w:tc>
          <w:tcPr>
            <w:tcW w:w="1419" w:type="dxa"/>
            <w:shd w:val="clear" w:color="auto" w:fill="FF6699"/>
            <w:vAlign w:val="center"/>
          </w:tcPr>
          <w:p w:rsidR="00BC38E9" w:rsidRPr="001D200B" w:rsidRDefault="00BC38E9" w:rsidP="000205DF">
            <w:pPr>
              <w:spacing w:line="240" w:lineRule="auto"/>
              <w:jc w:val="center"/>
              <w:rPr>
                <w:rFonts w:cstheme="minorHAnsi"/>
                <w:b/>
                <w:sz w:val="22"/>
                <w:szCs w:val="22"/>
              </w:rPr>
            </w:pPr>
            <w:r w:rsidRPr="001D200B">
              <w:rPr>
                <w:rFonts w:cstheme="minorHAnsi"/>
                <w:b/>
                <w:sz w:val="22"/>
                <w:szCs w:val="22"/>
              </w:rPr>
              <w:t>9</w:t>
            </w:r>
          </w:p>
        </w:tc>
        <w:tc>
          <w:tcPr>
            <w:tcW w:w="992" w:type="dxa"/>
          </w:tcPr>
          <w:p w:rsidR="00BC38E9" w:rsidRPr="001D200B" w:rsidRDefault="00BC38E9" w:rsidP="003556EE">
            <w:pPr>
              <w:spacing w:line="240" w:lineRule="auto"/>
              <w:jc w:val="center"/>
              <w:rPr>
                <w:rFonts w:cstheme="minorHAnsi"/>
                <w:sz w:val="22"/>
                <w:szCs w:val="22"/>
              </w:rPr>
            </w:pPr>
            <w:r w:rsidRPr="001D200B">
              <w:rPr>
                <w:rFonts w:cstheme="minorHAnsi"/>
                <w:sz w:val="22"/>
                <w:szCs w:val="22"/>
              </w:rPr>
              <w:t>0,5</w:t>
            </w:r>
          </w:p>
        </w:tc>
        <w:tc>
          <w:tcPr>
            <w:tcW w:w="1134" w:type="dxa"/>
            <w:vAlign w:val="bottom"/>
          </w:tcPr>
          <w:p w:rsidR="00BC38E9" w:rsidRPr="001D200B" w:rsidRDefault="00BC38E9">
            <w:pPr>
              <w:jc w:val="center"/>
              <w:rPr>
                <w:rFonts w:ascii="Calibri" w:hAnsi="Calibri" w:cs="Calibri"/>
                <w:sz w:val="22"/>
                <w:szCs w:val="22"/>
              </w:rPr>
            </w:pPr>
            <w:r w:rsidRPr="001D200B">
              <w:rPr>
                <w:rFonts w:ascii="Calibri" w:hAnsi="Calibri" w:cstheme="minorHAnsi"/>
                <w:sz w:val="22"/>
                <w:szCs w:val="22"/>
              </w:rPr>
              <w:t>4</w:t>
            </w:r>
          </w:p>
        </w:tc>
        <w:tc>
          <w:tcPr>
            <w:tcW w:w="8080" w:type="dxa"/>
            <w:vAlign w:val="center"/>
          </w:tcPr>
          <w:p w:rsidR="00BC38E9" w:rsidRPr="001D200B" w:rsidRDefault="00BC38E9" w:rsidP="001407B3">
            <w:pPr>
              <w:spacing w:before="0" w:after="0" w:line="240" w:lineRule="auto"/>
              <w:rPr>
                <w:rFonts w:cstheme="minorHAnsi"/>
                <w:sz w:val="22"/>
                <w:szCs w:val="22"/>
              </w:rPr>
            </w:pPr>
            <w:r w:rsidRPr="001D200B">
              <w:rPr>
                <w:rFonts w:cstheme="minorHAnsi"/>
                <w:sz w:val="22"/>
                <w:szCs w:val="22"/>
              </w:rPr>
              <w:t>Obszary przewidziane pod zabudowę mieszkaniowo – usługową o charakterze miejskim</w:t>
            </w:r>
          </w:p>
        </w:tc>
        <w:tc>
          <w:tcPr>
            <w:tcW w:w="1701"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0,05</w:t>
            </w:r>
          </w:p>
        </w:tc>
        <w:tc>
          <w:tcPr>
            <w:tcW w:w="1417" w:type="dxa"/>
            <w:vAlign w:val="bottom"/>
          </w:tcPr>
          <w:p w:rsidR="00BC38E9" w:rsidRPr="001D200B" w:rsidRDefault="00BC38E9" w:rsidP="00BC38E9">
            <w:pPr>
              <w:jc w:val="center"/>
              <w:rPr>
                <w:rFonts w:cstheme="minorHAnsi"/>
                <w:sz w:val="22"/>
                <w:szCs w:val="22"/>
              </w:rPr>
            </w:pPr>
            <w:r w:rsidRPr="001D200B">
              <w:rPr>
                <w:rFonts w:cstheme="minorHAnsi"/>
                <w:sz w:val="22"/>
                <w:szCs w:val="22"/>
              </w:rPr>
              <w:t>6</w:t>
            </w:r>
          </w:p>
        </w:tc>
      </w:tr>
      <w:tr w:rsidR="00BC38E9" w:rsidRPr="001D200B" w:rsidTr="00BC38E9">
        <w:trPr>
          <w:trHeight w:val="399"/>
        </w:trPr>
        <w:tc>
          <w:tcPr>
            <w:tcW w:w="1419" w:type="dxa"/>
            <w:shd w:val="clear" w:color="auto" w:fill="FF6699"/>
            <w:vAlign w:val="center"/>
          </w:tcPr>
          <w:p w:rsidR="00BC38E9" w:rsidRPr="001D200B" w:rsidRDefault="00BC38E9" w:rsidP="000205DF">
            <w:pPr>
              <w:spacing w:line="240" w:lineRule="auto"/>
              <w:jc w:val="center"/>
              <w:rPr>
                <w:rFonts w:cstheme="minorHAnsi"/>
                <w:b/>
                <w:sz w:val="22"/>
                <w:szCs w:val="22"/>
              </w:rPr>
            </w:pPr>
            <w:r w:rsidRPr="001D200B">
              <w:rPr>
                <w:rFonts w:cstheme="minorHAnsi"/>
                <w:b/>
                <w:sz w:val="22"/>
                <w:szCs w:val="22"/>
              </w:rPr>
              <w:t>10</w:t>
            </w:r>
          </w:p>
        </w:tc>
        <w:tc>
          <w:tcPr>
            <w:tcW w:w="992" w:type="dxa"/>
            <w:vAlign w:val="center"/>
          </w:tcPr>
          <w:p w:rsidR="00BC38E9" w:rsidRPr="001D200B" w:rsidRDefault="00BC38E9" w:rsidP="00E123B4">
            <w:pPr>
              <w:spacing w:line="240" w:lineRule="auto"/>
              <w:jc w:val="center"/>
              <w:rPr>
                <w:rFonts w:cstheme="minorHAnsi"/>
                <w:sz w:val="22"/>
                <w:szCs w:val="22"/>
              </w:rPr>
            </w:pPr>
            <w:r w:rsidRPr="001D200B">
              <w:rPr>
                <w:rFonts w:cstheme="minorHAnsi"/>
                <w:sz w:val="22"/>
                <w:szCs w:val="22"/>
              </w:rPr>
              <w:t>0,3</w:t>
            </w:r>
          </w:p>
        </w:tc>
        <w:tc>
          <w:tcPr>
            <w:tcW w:w="1134" w:type="dxa"/>
            <w:vAlign w:val="center"/>
          </w:tcPr>
          <w:p w:rsidR="00BC38E9" w:rsidRPr="001D200B" w:rsidRDefault="00BC38E9" w:rsidP="00E123B4">
            <w:pPr>
              <w:spacing w:line="240" w:lineRule="auto"/>
              <w:jc w:val="center"/>
              <w:rPr>
                <w:rFonts w:cstheme="minorHAnsi"/>
                <w:sz w:val="22"/>
                <w:szCs w:val="22"/>
              </w:rPr>
            </w:pPr>
            <w:r w:rsidRPr="001D200B">
              <w:rPr>
                <w:rFonts w:cstheme="minorHAnsi"/>
                <w:sz w:val="22"/>
                <w:szCs w:val="22"/>
              </w:rPr>
              <w:t>63</w:t>
            </w:r>
          </w:p>
        </w:tc>
        <w:tc>
          <w:tcPr>
            <w:tcW w:w="8080" w:type="dxa"/>
            <w:vAlign w:val="center"/>
          </w:tcPr>
          <w:p w:rsidR="00BC38E9" w:rsidRPr="001D200B" w:rsidRDefault="00BC38E9" w:rsidP="001407B3">
            <w:pPr>
              <w:spacing w:before="0" w:after="0" w:line="240" w:lineRule="auto"/>
              <w:rPr>
                <w:rFonts w:cstheme="minorHAnsi"/>
                <w:sz w:val="22"/>
                <w:szCs w:val="22"/>
              </w:rPr>
            </w:pPr>
            <w:r w:rsidRPr="001D200B">
              <w:rPr>
                <w:rFonts w:cstheme="minorHAnsi"/>
                <w:sz w:val="22"/>
                <w:szCs w:val="22"/>
              </w:rPr>
              <w:t>Obszary przewidziane pod zabudowę mieszkaniowo – usługową o charakterze miejskim – miejsce lokalizacji budynków wielorodzinnych (2 budynki mieszkalne wielorodzinne mieszczące 28 +35 lokali mieszkalnych typu apartamenty)</w:t>
            </w:r>
          </w:p>
        </w:tc>
        <w:tc>
          <w:tcPr>
            <w:tcW w:w="1701" w:type="dxa"/>
            <w:gridSpan w:val="2"/>
            <w:vAlign w:val="bottom"/>
          </w:tcPr>
          <w:p w:rsidR="00BC38E9" w:rsidRPr="001D200B" w:rsidRDefault="00BC38E9" w:rsidP="00BC38E9">
            <w:pPr>
              <w:jc w:val="center"/>
              <w:rPr>
                <w:rFonts w:cstheme="minorHAnsi"/>
                <w:sz w:val="22"/>
                <w:szCs w:val="22"/>
              </w:rPr>
            </w:pPr>
            <w:r w:rsidRPr="001D200B">
              <w:rPr>
                <w:rFonts w:cstheme="minorHAnsi"/>
                <w:sz w:val="22"/>
                <w:szCs w:val="22"/>
              </w:rPr>
              <w:t>0,24</w:t>
            </w:r>
          </w:p>
        </w:tc>
        <w:tc>
          <w:tcPr>
            <w:tcW w:w="1417" w:type="dxa"/>
            <w:vAlign w:val="bottom"/>
          </w:tcPr>
          <w:p w:rsidR="00BC38E9" w:rsidRPr="001D200B" w:rsidRDefault="00BC38E9" w:rsidP="00BC38E9">
            <w:pPr>
              <w:jc w:val="center"/>
              <w:rPr>
                <w:rFonts w:cstheme="minorHAnsi"/>
                <w:sz w:val="22"/>
                <w:szCs w:val="22"/>
              </w:rPr>
            </w:pPr>
            <w:r w:rsidRPr="001D200B">
              <w:rPr>
                <w:rFonts w:cstheme="minorHAnsi"/>
                <w:sz w:val="22"/>
                <w:szCs w:val="22"/>
              </w:rPr>
              <w:t>107</w:t>
            </w:r>
          </w:p>
        </w:tc>
      </w:tr>
      <w:tr w:rsidR="00F47855" w:rsidRPr="001D200B" w:rsidTr="00916C39">
        <w:trPr>
          <w:trHeight w:val="399"/>
        </w:trPr>
        <w:tc>
          <w:tcPr>
            <w:tcW w:w="1419" w:type="dxa"/>
            <w:shd w:val="clear" w:color="auto" w:fill="CCC0D9" w:themeFill="accent4" w:themeFillTint="66"/>
            <w:vAlign w:val="center"/>
          </w:tcPr>
          <w:p w:rsidR="00F47855" w:rsidRPr="001D200B" w:rsidRDefault="00F47855" w:rsidP="003556EE">
            <w:pPr>
              <w:spacing w:line="240" w:lineRule="auto"/>
              <w:jc w:val="center"/>
              <w:rPr>
                <w:rFonts w:cstheme="minorHAnsi"/>
                <w:b/>
                <w:sz w:val="22"/>
                <w:szCs w:val="22"/>
              </w:rPr>
            </w:pPr>
            <w:r w:rsidRPr="001D200B">
              <w:rPr>
                <w:rFonts w:cstheme="minorHAnsi"/>
                <w:b/>
                <w:sz w:val="22"/>
                <w:szCs w:val="22"/>
              </w:rPr>
              <w:t>3</w:t>
            </w:r>
          </w:p>
        </w:tc>
        <w:tc>
          <w:tcPr>
            <w:tcW w:w="992" w:type="dxa"/>
          </w:tcPr>
          <w:p w:rsidR="00F47855" w:rsidRPr="001D200B" w:rsidRDefault="00F47855" w:rsidP="003556EE">
            <w:pPr>
              <w:spacing w:line="240" w:lineRule="auto"/>
              <w:jc w:val="center"/>
              <w:rPr>
                <w:rFonts w:cstheme="minorHAnsi"/>
                <w:sz w:val="22"/>
                <w:szCs w:val="22"/>
              </w:rPr>
            </w:pPr>
            <w:r w:rsidRPr="001D200B">
              <w:rPr>
                <w:rFonts w:cstheme="minorHAnsi"/>
                <w:sz w:val="22"/>
                <w:szCs w:val="22"/>
              </w:rPr>
              <w:t>21,5</w:t>
            </w:r>
          </w:p>
        </w:tc>
        <w:tc>
          <w:tcPr>
            <w:tcW w:w="1134" w:type="dxa"/>
            <w:vMerge w:val="restart"/>
            <w:vAlign w:val="center"/>
          </w:tcPr>
          <w:p w:rsidR="00F47855" w:rsidRPr="001D200B" w:rsidRDefault="00F47855" w:rsidP="003556EE">
            <w:pPr>
              <w:spacing w:line="240" w:lineRule="auto"/>
              <w:jc w:val="center"/>
              <w:rPr>
                <w:rFonts w:cstheme="minorHAnsi"/>
                <w:sz w:val="22"/>
                <w:szCs w:val="22"/>
              </w:rPr>
            </w:pPr>
          </w:p>
        </w:tc>
        <w:tc>
          <w:tcPr>
            <w:tcW w:w="8080" w:type="dxa"/>
            <w:vMerge w:val="restart"/>
            <w:vAlign w:val="center"/>
          </w:tcPr>
          <w:p w:rsidR="00F47855" w:rsidRPr="001D200B" w:rsidRDefault="00F47855" w:rsidP="00F47855">
            <w:pPr>
              <w:spacing w:before="0" w:after="0" w:line="240" w:lineRule="auto"/>
              <w:rPr>
                <w:rFonts w:cstheme="minorHAnsi"/>
                <w:sz w:val="22"/>
                <w:szCs w:val="22"/>
              </w:rPr>
            </w:pPr>
            <w:r w:rsidRPr="001D200B">
              <w:rPr>
                <w:rFonts w:cstheme="minorHAnsi"/>
                <w:sz w:val="22"/>
                <w:szCs w:val="22"/>
              </w:rPr>
              <w:t>Obszary przewidziane pod działalność gospodarczą, produkcyjną i usługową. Strefa przemysłowa: działalności gospodarczej w północnej części Połańca.</w:t>
            </w:r>
          </w:p>
        </w:tc>
        <w:tc>
          <w:tcPr>
            <w:tcW w:w="3118" w:type="dxa"/>
            <w:gridSpan w:val="3"/>
            <w:vMerge w:val="restart"/>
            <w:vAlign w:val="center"/>
          </w:tcPr>
          <w:p w:rsidR="00F47855" w:rsidRPr="001D200B" w:rsidRDefault="00F47855" w:rsidP="00F47855">
            <w:pPr>
              <w:pStyle w:val="Tekstpodstawowy2"/>
              <w:spacing w:line="240" w:lineRule="auto"/>
              <w:jc w:val="center"/>
              <w:rPr>
                <w:sz w:val="22"/>
                <w:szCs w:val="22"/>
              </w:rPr>
            </w:pPr>
            <w:r w:rsidRPr="001D200B">
              <w:rPr>
                <w:sz w:val="22"/>
                <w:szCs w:val="22"/>
              </w:rPr>
              <w:t>w zależności od rodzaju</w:t>
            </w:r>
          </w:p>
          <w:p w:rsidR="00F47855" w:rsidRPr="001D200B" w:rsidRDefault="00F47855" w:rsidP="00F47855">
            <w:pPr>
              <w:spacing w:line="240" w:lineRule="auto"/>
              <w:jc w:val="center"/>
              <w:rPr>
                <w:rFonts w:cstheme="minorHAnsi"/>
              </w:rPr>
            </w:pPr>
            <w:r w:rsidRPr="001D200B">
              <w:rPr>
                <w:sz w:val="22"/>
                <w:szCs w:val="22"/>
              </w:rPr>
              <w:t>działalności/zainwestowania</w:t>
            </w:r>
          </w:p>
        </w:tc>
      </w:tr>
      <w:tr w:rsidR="00F47855" w:rsidRPr="001D200B" w:rsidTr="00916C39">
        <w:trPr>
          <w:trHeight w:val="399"/>
        </w:trPr>
        <w:tc>
          <w:tcPr>
            <w:tcW w:w="1419" w:type="dxa"/>
            <w:shd w:val="clear" w:color="auto" w:fill="CCC0D9" w:themeFill="accent4" w:themeFillTint="66"/>
            <w:vAlign w:val="center"/>
          </w:tcPr>
          <w:p w:rsidR="00F47855" w:rsidRPr="001D200B" w:rsidRDefault="00F47855" w:rsidP="003556EE">
            <w:pPr>
              <w:spacing w:line="240" w:lineRule="auto"/>
              <w:jc w:val="center"/>
              <w:rPr>
                <w:rFonts w:cstheme="minorHAnsi"/>
                <w:b/>
                <w:sz w:val="22"/>
                <w:szCs w:val="22"/>
              </w:rPr>
            </w:pPr>
            <w:r w:rsidRPr="001D200B">
              <w:rPr>
                <w:rFonts w:cstheme="minorHAnsi"/>
                <w:b/>
                <w:sz w:val="22"/>
                <w:szCs w:val="22"/>
              </w:rPr>
              <w:t>4</w:t>
            </w:r>
          </w:p>
        </w:tc>
        <w:tc>
          <w:tcPr>
            <w:tcW w:w="992" w:type="dxa"/>
          </w:tcPr>
          <w:p w:rsidR="00F47855" w:rsidRPr="001D200B" w:rsidRDefault="00F47855" w:rsidP="003556EE">
            <w:pPr>
              <w:spacing w:line="240" w:lineRule="auto"/>
              <w:jc w:val="center"/>
              <w:rPr>
                <w:rFonts w:cstheme="minorHAnsi"/>
                <w:sz w:val="22"/>
                <w:szCs w:val="22"/>
              </w:rPr>
            </w:pPr>
            <w:r w:rsidRPr="001D200B">
              <w:rPr>
                <w:rFonts w:cstheme="minorHAnsi"/>
                <w:sz w:val="22"/>
                <w:szCs w:val="22"/>
              </w:rPr>
              <w:t>126,0</w:t>
            </w:r>
          </w:p>
        </w:tc>
        <w:tc>
          <w:tcPr>
            <w:tcW w:w="1134" w:type="dxa"/>
            <w:vMerge/>
            <w:vAlign w:val="center"/>
          </w:tcPr>
          <w:p w:rsidR="00F47855" w:rsidRPr="001D200B" w:rsidRDefault="00F47855" w:rsidP="003556EE">
            <w:pPr>
              <w:spacing w:line="240" w:lineRule="auto"/>
              <w:jc w:val="center"/>
              <w:rPr>
                <w:rFonts w:cstheme="minorHAnsi"/>
                <w:sz w:val="22"/>
                <w:szCs w:val="22"/>
              </w:rPr>
            </w:pPr>
          </w:p>
        </w:tc>
        <w:tc>
          <w:tcPr>
            <w:tcW w:w="8080" w:type="dxa"/>
            <w:vMerge/>
            <w:vAlign w:val="center"/>
          </w:tcPr>
          <w:p w:rsidR="00F47855" w:rsidRPr="001D200B" w:rsidRDefault="00F47855" w:rsidP="003556EE">
            <w:pPr>
              <w:spacing w:line="240" w:lineRule="auto"/>
              <w:jc w:val="center"/>
              <w:rPr>
                <w:rFonts w:cstheme="minorHAnsi"/>
                <w:sz w:val="22"/>
                <w:szCs w:val="22"/>
              </w:rPr>
            </w:pPr>
          </w:p>
        </w:tc>
        <w:tc>
          <w:tcPr>
            <w:tcW w:w="3118" w:type="dxa"/>
            <w:gridSpan w:val="3"/>
            <w:vMerge/>
            <w:vAlign w:val="center"/>
          </w:tcPr>
          <w:p w:rsidR="00F47855" w:rsidRPr="001D200B" w:rsidRDefault="00F47855" w:rsidP="003556EE">
            <w:pPr>
              <w:spacing w:line="240" w:lineRule="auto"/>
              <w:jc w:val="center"/>
              <w:rPr>
                <w:rFonts w:cstheme="minorHAnsi"/>
              </w:rPr>
            </w:pPr>
          </w:p>
        </w:tc>
      </w:tr>
      <w:tr w:rsidR="00F47855" w:rsidRPr="001D200B" w:rsidTr="00916C39">
        <w:trPr>
          <w:trHeight w:val="399"/>
        </w:trPr>
        <w:tc>
          <w:tcPr>
            <w:tcW w:w="1419" w:type="dxa"/>
            <w:shd w:val="clear" w:color="auto" w:fill="C2D69B" w:themeFill="accent3" w:themeFillTint="99"/>
            <w:vAlign w:val="center"/>
          </w:tcPr>
          <w:p w:rsidR="00F47855" w:rsidRPr="001D200B" w:rsidRDefault="00F47855" w:rsidP="003556EE">
            <w:pPr>
              <w:spacing w:line="240" w:lineRule="auto"/>
              <w:jc w:val="center"/>
              <w:rPr>
                <w:rFonts w:cstheme="minorHAnsi"/>
                <w:b/>
                <w:sz w:val="22"/>
                <w:szCs w:val="22"/>
              </w:rPr>
            </w:pPr>
            <w:r w:rsidRPr="001D200B">
              <w:rPr>
                <w:rFonts w:cstheme="minorHAnsi"/>
                <w:b/>
                <w:sz w:val="22"/>
                <w:szCs w:val="22"/>
              </w:rPr>
              <w:t>1</w:t>
            </w:r>
          </w:p>
        </w:tc>
        <w:tc>
          <w:tcPr>
            <w:tcW w:w="992" w:type="dxa"/>
          </w:tcPr>
          <w:p w:rsidR="00F47855" w:rsidRPr="001D200B" w:rsidRDefault="00F47855" w:rsidP="003556EE">
            <w:pPr>
              <w:spacing w:line="240" w:lineRule="auto"/>
              <w:jc w:val="center"/>
              <w:rPr>
                <w:rFonts w:cstheme="minorHAnsi"/>
                <w:sz w:val="22"/>
                <w:szCs w:val="22"/>
              </w:rPr>
            </w:pPr>
            <w:r w:rsidRPr="001D200B">
              <w:rPr>
                <w:rFonts w:cstheme="minorHAnsi"/>
                <w:sz w:val="22"/>
                <w:szCs w:val="22"/>
              </w:rPr>
              <w:t>12,0</w:t>
            </w:r>
          </w:p>
        </w:tc>
        <w:tc>
          <w:tcPr>
            <w:tcW w:w="1134" w:type="dxa"/>
            <w:vMerge/>
            <w:vAlign w:val="center"/>
          </w:tcPr>
          <w:p w:rsidR="00F47855" w:rsidRPr="001D200B" w:rsidRDefault="00F47855" w:rsidP="003556EE">
            <w:pPr>
              <w:spacing w:line="240" w:lineRule="auto"/>
              <w:jc w:val="center"/>
              <w:rPr>
                <w:rFonts w:cstheme="minorHAnsi"/>
                <w:sz w:val="22"/>
                <w:szCs w:val="22"/>
              </w:rPr>
            </w:pPr>
          </w:p>
        </w:tc>
        <w:tc>
          <w:tcPr>
            <w:tcW w:w="8080" w:type="dxa"/>
            <w:vAlign w:val="center"/>
          </w:tcPr>
          <w:p w:rsidR="00F47855" w:rsidRPr="001D200B" w:rsidRDefault="00F47855" w:rsidP="00F47855">
            <w:pPr>
              <w:spacing w:before="0" w:after="0" w:line="240" w:lineRule="auto"/>
              <w:rPr>
                <w:rFonts w:cstheme="minorHAnsi"/>
                <w:sz w:val="22"/>
                <w:szCs w:val="22"/>
              </w:rPr>
            </w:pPr>
            <w:r w:rsidRPr="001D200B">
              <w:rPr>
                <w:rFonts w:cstheme="minorHAnsi"/>
                <w:sz w:val="22"/>
                <w:szCs w:val="22"/>
              </w:rPr>
              <w:t>Obszar usług celu publicznego oraz usług komercyjnych.</w:t>
            </w:r>
          </w:p>
        </w:tc>
        <w:tc>
          <w:tcPr>
            <w:tcW w:w="3118" w:type="dxa"/>
            <w:gridSpan w:val="3"/>
            <w:vMerge/>
            <w:tcBorders>
              <w:bottom w:val="single" w:sz="4" w:space="0" w:color="auto"/>
            </w:tcBorders>
            <w:vAlign w:val="center"/>
          </w:tcPr>
          <w:p w:rsidR="00F47855" w:rsidRPr="001D200B" w:rsidRDefault="00F47855" w:rsidP="003556EE">
            <w:pPr>
              <w:spacing w:line="240" w:lineRule="auto"/>
              <w:jc w:val="center"/>
              <w:rPr>
                <w:rFonts w:cstheme="minorHAnsi"/>
              </w:rPr>
            </w:pPr>
          </w:p>
        </w:tc>
      </w:tr>
    </w:tbl>
    <w:p w:rsidR="004C57F5" w:rsidRPr="001D200B" w:rsidRDefault="004C57F5" w:rsidP="004806DA">
      <w:pPr>
        <w:pStyle w:val="podtabelk"/>
        <w:spacing w:after="0"/>
      </w:pPr>
      <w:r w:rsidRPr="001D200B">
        <w:t>* szacunkowa ilość budynków mieszkalnych (</w:t>
      </w:r>
      <w:r w:rsidR="001407B3" w:rsidRPr="001D200B">
        <w:t xml:space="preserve">lokali </w:t>
      </w:r>
      <w:r w:rsidRPr="001D200B">
        <w:t>)</w:t>
      </w:r>
    </w:p>
    <w:p w:rsidR="004C57F5" w:rsidRPr="001D200B" w:rsidRDefault="004C57F5" w:rsidP="004806DA">
      <w:pPr>
        <w:pStyle w:val="podtabelk"/>
        <w:spacing w:after="0"/>
      </w:pPr>
      <w:r w:rsidRPr="001D200B">
        <w:t>** moc określono szacunkowo celem zorientowania się, co do wielkości przyszłego rynku energii elektrycznej przy założonym współczynniku jednoczesności według normy P SEP-E-0002</w:t>
      </w:r>
    </w:p>
    <w:p w:rsidR="00CB1C2F" w:rsidRPr="001D200B" w:rsidRDefault="00CB1C2F" w:rsidP="00CB1C2F">
      <w:pPr>
        <w:rPr>
          <w:rFonts w:cstheme="minorHAnsi"/>
        </w:rPr>
      </w:pPr>
      <w:r w:rsidRPr="001D200B">
        <w:rPr>
          <w:rFonts w:cstheme="minorHAnsi"/>
        </w:rPr>
        <w:lastRenderedPageBreak/>
        <w:t>Obszary wskazane w powyższej tabeli pokazano na mapie stanowiącej załącznik do opracowania, są to zgodnie z dokumentem „</w:t>
      </w:r>
      <w:r w:rsidR="0035122A" w:rsidRPr="001D200B">
        <w:rPr>
          <w:rFonts w:cstheme="minorHAnsi"/>
        </w:rPr>
        <w:t>Studium uwarunkowań i kierunków zagospodarowania przestrzennego Gminy Połaniec (Uchwała Nr XXXI/199/2016 z dnia 27 października 2016r.),</w:t>
      </w:r>
      <w:r w:rsidRPr="001D200B">
        <w:rPr>
          <w:rFonts w:cstheme="minorHAnsi"/>
        </w:rPr>
        <w:t xml:space="preserve"> tereny </w:t>
      </w:r>
      <w:r w:rsidR="0005260C" w:rsidRPr="001D200B">
        <w:rPr>
          <w:rFonts w:cstheme="minorHAnsi"/>
        </w:rPr>
        <w:t xml:space="preserve">rozwojowe </w:t>
      </w:r>
      <w:r w:rsidRPr="001D200B">
        <w:rPr>
          <w:rFonts w:cstheme="minorHAnsi"/>
        </w:rPr>
        <w:t xml:space="preserve">przewidziane pod: </w:t>
      </w:r>
    </w:p>
    <w:tbl>
      <w:tblPr>
        <w:tblStyle w:val="Tabela-Siatka"/>
        <w:tblW w:w="0" w:type="auto"/>
        <w:jc w:val="center"/>
        <w:tblLook w:val="04A0"/>
      </w:tblPr>
      <w:tblGrid>
        <w:gridCol w:w="2843"/>
        <w:gridCol w:w="2844"/>
        <w:gridCol w:w="2843"/>
        <w:gridCol w:w="2844"/>
        <w:gridCol w:w="2844"/>
      </w:tblGrid>
      <w:tr w:rsidR="00CB1C2F" w:rsidRPr="001D200B" w:rsidTr="00E123B4">
        <w:trPr>
          <w:jc w:val="center"/>
        </w:trPr>
        <w:tc>
          <w:tcPr>
            <w:tcW w:w="2843" w:type="dxa"/>
            <w:tcBorders>
              <w:bottom w:val="nil"/>
            </w:tcBorders>
            <w:shd w:val="clear" w:color="auto" w:fill="CC9900"/>
            <w:vAlign w:val="center"/>
          </w:tcPr>
          <w:p w:rsidR="00CB1C2F" w:rsidRPr="001D200B" w:rsidRDefault="0035122A" w:rsidP="00E123B4">
            <w:pPr>
              <w:spacing w:before="0" w:after="0" w:line="240" w:lineRule="auto"/>
              <w:jc w:val="center"/>
              <w:rPr>
                <w:rFonts w:cstheme="minorHAnsi"/>
                <w:b/>
              </w:rPr>
            </w:pPr>
            <w:r w:rsidRPr="001D200B">
              <w:rPr>
                <w:rFonts w:cstheme="minorHAnsi"/>
                <w:b/>
              </w:rPr>
              <w:t>zabudowę zagrodową i mieszkaniową jednorodzinną z usługami</w:t>
            </w:r>
          </w:p>
        </w:tc>
        <w:tc>
          <w:tcPr>
            <w:tcW w:w="2844" w:type="dxa"/>
            <w:shd w:val="clear" w:color="auto" w:fill="CCC0D9" w:themeFill="accent4" w:themeFillTint="66"/>
            <w:vAlign w:val="center"/>
          </w:tcPr>
          <w:p w:rsidR="00CB1C2F" w:rsidRPr="001D200B" w:rsidRDefault="00CB1C2F" w:rsidP="00E123B4">
            <w:pPr>
              <w:spacing w:before="0" w:after="0" w:line="240" w:lineRule="auto"/>
              <w:jc w:val="center"/>
              <w:rPr>
                <w:rFonts w:cstheme="minorHAnsi"/>
                <w:b/>
              </w:rPr>
            </w:pPr>
            <w:r w:rsidRPr="001D200B">
              <w:rPr>
                <w:rFonts w:cstheme="minorHAnsi"/>
                <w:b/>
              </w:rPr>
              <w:t>działalność gospodarcz</w:t>
            </w:r>
            <w:r w:rsidR="00FB1C1F" w:rsidRPr="001D200B">
              <w:rPr>
                <w:rFonts w:cstheme="minorHAnsi"/>
                <w:b/>
              </w:rPr>
              <w:t xml:space="preserve">ą produkcyjną i usługową </w:t>
            </w:r>
          </w:p>
        </w:tc>
        <w:tc>
          <w:tcPr>
            <w:tcW w:w="2843" w:type="dxa"/>
            <w:shd w:val="clear" w:color="auto" w:fill="FF6699"/>
            <w:vAlign w:val="center"/>
          </w:tcPr>
          <w:p w:rsidR="00CB1C2F" w:rsidRPr="001D200B" w:rsidRDefault="00FB1C1F" w:rsidP="00E123B4">
            <w:pPr>
              <w:spacing w:before="0" w:after="0" w:line="240" w:lineRule="auto"/>
              <w:jc w:val="center"/>
              <w:rPr>
                <w:rFonts w:cstheme="minorHAnsi"/>
                <w:b/>
              </w:rPr>
            </w:pPr>
            <w:r w:rsidRPr="001D200B">
              <w:rPr>
                <w:rFonts w:cstheme="minorHAnsi"/>
                <w:b/>
              </w:rPr>
              <w:t>zabudowę mieszkaniowo-usługową typu miejskiego</w:t>
            </w:r>
          </w:p>
        </w:tc>
        <w:tc>
          <w:tcPr>
            <w:tcW w:w="2844" w:type="dxa"/>
            <w:shd w:val="clear" w:color="auto" w:fill="548DD4" w:themeFill="text2" w:themeFillTint="99"/>
            <w:vAlign w:val="center"/>
          </w:tcPr>
          <w:p w:rsidR="00CB1C2F" w:rsidRPr="001D200B" w:rsidRDefault="00FB1C1F" w:rsidP="00E123B4">
            <w:pPr>
              <w:spacing w:before="0" w:after="0" w:line="240" w:lineRule="auto"/>
              <w:jc w:val="center"/>
              <w:rPr>
                <w:rFonts w:cstheme="minorHAnsi"/>
                <w:b/>
              </w:rPr>
            </w:pPr>
            <w:r w:rsidRPr="001D200B">
              <w:rPr>
                <w:rFonts w:cstheme="minorHAnsi"/>
                <w:b/>
              </w:rPr>
              <w:t>zabudowę przemysłową w tym związaną z urządzeniami do wytwarzania energii z OZE</w:t>
            </w:r>
          </w:p>
        </w:tc>
        <w:tc>
          <w:tcPr>
            <w:tcW w:w="2844" w:type="dxa"/>
            <w:shd w:val="clear" w:color="auto" w:fill="C2D69B" w:themeFill="accent3" w:themeFillTint="99"/>
            <w:vAlign w:val="center"/>
          </w:tcPr>
          <w:p w:rsidR="00CB1C2F" w:rsidRPr="001D200B" w:rsidRDefault="00E123B4" w:rsidP="00E123B4">
            <w:pPr>
              <w:spacing w:before="0" w:after="0" w:line="240" w:lineRule="auto"/>
              <w:jc w:val="center"/>
              <w:rPr>
                <w:rFonts w:cstheme="minorHAnsi"/>
                <w:b/>
              </w:rPr>
            </w:pPr>
            <w:r w:rsidRPr="001D200B">
              <w:rPr>
                <w:rFonts w:cstheme="minorHAnsi"/>
                <w:b/>
              </w:rPr>
              <w:t>usługi celu publicznego oraz usługi komercyjne</w:t>
            </w:r>
          </w:p>
        </w:tc>
      </w:tr>
    </w:tbl>
    <w:p w:rsidR="004C57F5" w:rsidRPr="001D200B" w:rsidRDefault="004C57F5" w:rsidP="004C57F5">
      <w:pPr>
        <w:rPr>
          <w:rFonts w:cstheme="minorHAnsi"/>
          <w:highlight w:val="yellow"/>
        </w:rPr>
      </w:pPr>
    </w:p>
    <w:p w:rsidR="004C57F5" w:rsidRPr="001D200B" w:rsidRDefault="004C57F5" w:rsidP="004C57F5">
      <w:pPr>
        <w:rPr>
          <w:rFonts w:cstheme="minorHAnsi"/>
          <w:highlight w:val="yellow"/>
        </w:rPr>
        <w:sectPr w:rsidR="004C57F5" w:rsidRPr="001D200B" w:rsidSect="00A54FBF">
          <w:pgSz w:w="16838" w:h="11906" w:orient="landscape"/>
          <w:pgMar w:top="1418" w:right="1418" w:bottom="1418" w:left="1418" w:header="709" w:footer="709" w:gutter="0"/>
          <w:cols w:space="708"/>
          <w:docGrid w:linePitch="360"/>
        </w:sectPr>
      </w:pPr>
    </w:p>
    <w:p w:rsidR="004C57F5" w:rsidRPr="001D200B" w:rsidRDefault="004C57F5" w:rsidP="004C57F5">
      <w:pPr>
        <w:rPr>
          <w:rFonts w:cstheme="minorHAnsi"/>
        </w:rPr>
      </w:pPr>
      <w:r w:rsidRPr="001D200B">
        <w:rPr>
          <w:rFonts w:cstheme="minorHAnsi"/>
        </w:rPr>
        <w:lastRenderedPageBreak/>
        <w:t>Wskazane, szacunkowe zapotrzebowanie mocy obliczono przy założeniu zagospodarowania terenów pod budownictwo mieszkaniowe w całości (wyniki dotyczą całkowitych potrzeb energetycznych rozpatrywanego obszaru) i przy założonej chłonności terenu na poziomie maksymalnym, tj. biorąc pod uwagę powierzchnię działki budowlanej w</w:t>
      </w:r>
      <w:r w:rsidR="00025DF8" w:rsidRPr="001D200B">
        <w:rPr>
          <w:rFonts w:cstheme="minorHAnsi"/>
        </w:rPr>
        <w:t xml:space="preserve"> </w:t>
      </w:r>
      <w:r w:rsidRPr="001D200B">
        <w:rPr>
          <w:rFonts w:cstheme="minorHAnsi"/>
        </w:rPr>
        <w:t xml:space="preserve">zabudowie </w:t>
      </w:r>
      <w:r w:rsidR="00025DF8" w:rsidRPr="001D200B">
        <w:rPr>
          <w:rFonts w:cstheme="minorHAnsi"/>
        </w:rPr>
        <w:t xml:space="preserve">zagrodowej </w:t>
      </w:r>
      <w:r w:rsidR="00A15455" w:rsidRPr="001D200B">
        <w:rPr>
          <w:rFonts w:cstheme="minorHAnsi"/>
        </w:rPr>
        <w:t xml:space="preserve">i mieszkaniowej </w:t>
      </w:r>
      <w:r w:rsidRPr="001D200B">
        <w:rPr>
          <w:rFonts w:cstheme="minorHAnsi"/>
        </w:rPr>
        <w:t xml:space="preserve">na poziomie </w:t>
      </w:r>
      <w:r w:rsidR="00A15455" w:rsidRPr="001D200B">
        <w:rPr>
          <w:rFonts w:cstheme="minorHAnsi"/>
        </w:rPr>
        <w:t>15</w:t>
      </w:r>
      <w:r w:rsidR="00025DF8" w:rsidRPr="001D200B">
        <w:rPr>
          <w:rFonts w:cstheme="minorHAnsi"/>
        </w:rPr>
        <w:t>00</w:t>
      </w:r>
      <w:r w:rsidRPr="001D200B">
        <w:rPr>
          <w:rFonts w:cstheme="minorHAnsi"/>
        </w:rPr>
        <w:t>m</w:t>
      </w:r>
      <w:r w:rsidRPr="001D200B">
        <w:rPr>
          <w:rFonts w:cstheme="minorHAnsi"/>
          <w:vertAlign w:val="superscript"/>
        </w:rPr>
        <w:t>2</w:t>
      </w:r>
      <w:r w:rsidRPr="001D200B">
        <w:rPr>
          <w:rFonts w:cstheme="minorHAnsi"/>
        </w:rPr>
        <w:t xml:space="preserve"> </w:t>
      </w:r>
      <w:r w:rsidR="00025DF8" w:rsidRPr="001D200B">
        <w:rPr>
          <w:rFonts w:cstheme="minorHAnsi"/>
        </w:rPr>
        <w:t>i</w:t>
      </w:r>
      <w:r w:rsidR="00A15455" w:rsidRPr="001D200B">
        <w:rPr>
          <w:rFonts w:cstheme="minorHAnsi"/>
        </w:rPr>
        <w:t xml:space="preserve"> </w:t>
      </w:r>
      <w:r w:rsidR="00025DF8" w:rsidRPr="001D200B">
        <w:rPr>
          <w:rFonts w:cstheme="minorHAnsi"/>
        </w:rPr>
        <w:t>1</w:t>
      </w:r>
      <w:r w:rsidR="00A15455" w:rsidRPr="001D200B">
        <w:rPr>
          <w:rFonts w:cstheme="minorHAnsi"/>
        </w:rPr>
        <w:t>0</w:t>
      </w:r>
      <w:r w:rsidRPr="001D200B">
        <w:rPr>
          <w:rFonts w:cstheme="minorHAnsi"/>
        </w:rPr>
        <w:t>00m</w:t>
      </w:r>
      <w:r w:rsidRPr="001D200B">
        <w:rPr>
          <w:rFonts w:cstheme="minorHAnsi"/>
          <w:vertAlign w:val="superscript"/>
        </w:rPr>
        <w:t>2</w:t>
      </w:r>
      <w:r w:rsidRPr="001D200B">
        <w:rPr>
          <w:rFonts w:cstheme="minorHAnsi"/>
        </w:rPr>
        <w:t xml:space="preserve"> </w:t>
      </w:r>
      <w:r w:rsidR="00A15455" w:rsidRPr="001D200B">
        <w:rPr>
          <w:rFonts w:cstheme="minorHAnsi"/>
        </w:rPr>
        <w:t>w zabudowie mieszkaniowej jednorodzinnej typu miejskiego.</w:t>
      </w:r>
      <w:r w:rsidRPr="001D200B">
        <w:rPr>
          <w:rFonts w:cstheme="minorHAnsi"/>
        </w:rPr>
        <w:t xml:space="preserve"> </w:t>
      </w:r>
    </w:p>
    <w:p w:rsidR="004806DA" w:rsidRPr="001D200B" w:rsidRDefault="004806DA" w:rsidP="004806DA">
      <w:r w:rsidRPr="001D200B">
        <w:t xml:space="preserve">Perspektywa rozwoju rozdzielczej sieci średniego i niskiego napięcia, wiązać się będzie z tempem zagospodarowania poszczególnych obszarów, rodzajem i liczbą nowych odbiorców oraz lokalizacją inwestycji. </w:t>
      </w:r>
    </w:p>
    <w:p w:rsidR="004806DA" w:rsidRPr="001D200B" w:rsidRDefault="004806DA" w:rsidP="004806DA">
      <w:r w:rsidRPr="001D200B">
        <w:t xml:space="preserve">Indywidualne budownictwo mieszkaniowe rozwija się również na działkach rozproszonych, bądź poprzez dogęszczenie terenów już zainwestowanych (np. uzupełnienie istniejących fragmentów ciągów zabudowań przydrożnych). </w:t>
      </w:r>
    </w:p>
    <w:p w:rsidR="004806DA" w:rsidRPr="001D200B" w:rsidRDefault="004806DA" w:rsidP="004806DA">
      <w:r w:rsidRPr="001D200B">
        <w:t xml:space="preserve">Możliwość zasilania działek rozproszonych po stronie niskiego napięcia jest uzależniona od dostępności istniejącej infrastruktury elektroenergetycznej niskiego napięcia na danym obszarze. W przypadku, gdy plany przedsiębiorstwa energetycznego nie zapewnią zasilania działek rozproszonych, gmina powinna opracować plan zaopatrzenia w ciepło, energię elektryczną i paliwa gazowe dla tych obszarów, w których będą ustalone zasady finansowania sieci. </w:t>
      </w:r>
      <w:r w:rsidR="00C94083" w:rsidRPr="001D200B">
        <w:rPr>
          <w:rFonts w:ascii="Calibri" w:hAnsi="Calibri"/>
        </w:rPr>
        <w:t xml:space="preserve">W celu realizacji planu zaopatrzenia w ciepło, energię elektryczną i paliwa gazowe, gmina może zawierać umowy z przedsiębiorstwami energetycznymi (zgodnie z art. 20 ustawy </w:t>
      </w:r>
      <w:r w:rsidR="00C94083" w:rsidRPr="001D200B">
        <w:rPr>
          <w:rFonts w:ascii="Calibri" w:hAnsi="Calibri"/>
          <w:i/>
        </w:rPr>
        <w:t>prawo energetyczne</w:t>
      </w:r>
      <w:r w:rsidR="00C94083" w:rsidRPr="001D200B">
        <w:rPr>
          <w:rFonts w:ascii="Calibri" w:hAnsi="Calibri"/>
        </w:rPr>
        <w:t>)</w:t>
      </w:r>
      <w:r w:rsidR="00C94083" w:rsidRPr="001D200B">
        <w:t>.</w:t>
      </w:r>
    </w:p>
    <w:p w:rsidR="004806DA" w:rsidRPr="001D200B" w:rsidRDefault="004806DA" w:rsidP="004806DA">
      <w:r w:rsidRPr="001D200B">
        <w:t xml:space="preserve">Nie oszacowano wielkości zapotrzebowania mocy elektrycznej w zakresie działalności gospodarczej </w:t>
      </w:r>
      <w:r w:rsidR="00BF5C9E" w:rsidRPr="001D200B">
        <w:t xml:space="preserve">i usługowej </w:t>
      </w:r>
      <w:r w:rsidRPr="001D200B">
        <w:t>ze względu na brak obecnie możliwości określenia potencjalnego inwestora oraz struktury prowadzonej działalności.</w:t>
      </w:r>
    </w:p>
    <w:p w:rsidR="00E03373" w:rsidRPr="001D200B" w:rsidRDefault="00BF5C9E" w:rsidP="00E03373">
      <w:r w:rsidRPr="001D200B">
        <w:t>Orientacyjną l</w:t>
      </w:r>
      <w:r w:rsidR="00E03373" w:rsidRPr="001D200B">
        <w:t>okalizację terenów o potencjalnym zwiększonym zapotrzebowaniu na energię, tj. przewidzianych pod rozwój budownictwa mieszkaniowego oraz aktywność gospodarczą przedstawia załącznik graficzny do niniejszego dokumentu.</w:t>
      </w:r>
    </w:p>
    <w:p w:rsidR="004C57F5" w:rsidRPr="001D200B" w:rsidRDefault="004C57F5" w:rsidP="00370323">
      <w:pPr>
        <w:pStyle w:val="Nagwek2"/>
        <w:rPr>
          <w:rFonts w:cstheme="minorHAnsi"/>
        </w:rPr>
      </w:pPr>
      <w:bookmarkStart w:id="65" w:name="_Toc31972833"/>
      <w:r w:rsidRPr="001D200B">
        <w:rPr>
          <w:rFonts w:cstheme="minorHAnsi"/>
        </w:rPr>
        <w:t>5. Lokalne nadwyżki oraz zasoby paliw i energii</w:t>
      </w:r>
      <w:bookmarkEnd w:id="65"/>
    </w:p>
    <w:p w:rsidR="004C57F5" w:rsidRPr="001D200B" w:rsidRDefault="00E03373" w:rsidP="004C57F5">
      <w:pPr>
        <w:rPr>
          <w:rFonts w:cstheme="minorHAnsi"/>
          <w:highlight w:val="yellow"/>
        </w:rPr>
      </w:pPr>
      <w:r w:rsidRPr="001D200B">
        <w:t>Operator systemu dystrybucyjnego (PGE Dystrybucja S.A. Oddział Rzeszów) dysponuje rezerwą mocy na przedmiotowym obszarze, pozwalającą na przyłączenie nowych odbiorców.</w:t>
      </w:r>
    </w:p>
    <w:p w:rsidR="004C57F5" w:rsidRPr="001D200B" w:rsidRDefault="004C57F5" w:rsidP="004C57F5">
      <w:pPr>
        <w:rPr>
          <w:rFonts w:cstheme="minorHAnsi"/>
          <w:highlight w:val="yellow"/>
        </w:rPr>
      </w:pPr>
    </w:p>
    <w:p w:rsidR="00F47855" w:rsidRPr="001D200B" w:rsidRDefault="00F47855" w:rsidP="004C57F5">
      <w:pPr>
        <w:rPr>
          <w:rFonts w:cstheme="minorHAnsi"/>
          <w:highlight w:val="yellow"/>
        </w:rPr>
      </w:pPr>
    </w:p>
    <w:p w:rsidR="00F47855" w:rsidRPr="001D200B" w:rsidRDefault="00F47855" w:rsidP="004C57F5">
      <w:pPr>
        <w:rPr>
          <w:rFonts w:cstheme="minorHAnsi"/>
          <w:highlight w:val="yellow"/>
        </w:rPr>
        <w:sectPr w:rsidR="00F47855" w:rsidRPr="001D200B" w:rsidSect="0098674C">
          <w:pgSz w:w="11906" w:h="16838"/>
          <w:pgMar w:top="1418" w:right="1418" w:bottom="1418" w:left="1418" w:header="709" w:footer="709" w:gutter="0"/>
          <w:cols w:space="708"/>
          <w:docGrid w:linePitch="360"/>
        </w:sectPr>
      </w:pPr>
    </w:p>
    <w:p w:rsidR="00EA51EB" w:rsidRPr="001D200B" w:rsidRDefault="00EA51EB" w:rsidP="00EA51EB">
      <w:pPr>
        <w:pStyle w:val="Nagwek1"/>
        <w:rPr>
          <w:rFonts w:cstheme="minorHAnsi"/>
        </w:rPr>
      </w:pPr>
      <w:bookmarkStart w:id="66" w:name="_Toc31972834"/>
      <w:r w:rsidRPr="001D200B">
        <w:rPr>
          <w:rFonts w:cstheme="minorHAnsi"/>
        </w:rPr>
        <w:lastRenderedPageBreak/>
        <w:t>V. Zaopatrzenie w paliwa gazowe</w:t>
      </w:r>
      <w:bookmarkEnd w:id="66"/>
    </w:p>
    <w:p w:rsidR="00B35163" w:rsidRPr="001D200B" w:rsidRDefault="00B35163" w:rsidP="00B35163">
      <w:r w:rsidRPr="001D200B">
        <w:t xml:space="preserve">Na terenie gminy Połaniec operatorem systemu dystrybucyjnego sieci gazowych jest Polska Spółka Gazownictwa sp. z o.o., Oddział Zakład Gazowniczy w Kielcach, ul. </w:t>
      </w:r>
      <w:r w:rsidR="00B2272B" w:rsidRPr="001D200B">
        <w:t xml:space="preserve">Loefflera </w:t>
      </w:r>
      <w:r w:rsidRPr="001D200B">
        <w:t xml:space="preserve">2, </w:t>
      </w:r>
      <w:r w:rsidR="00B2272B" w:rsidRPr="001D200B">
        <w:t xml:space="preserve">25-550 Kielce. </w:t>
      </w:r>
      <w:r w:rsidRPr="001D200B">
        <w:t xml:space="preserve"> </w:t>
      </w:r>
    </w:p>
    <w:p w:rsidR="00B2272B" w:rsidRPr="001D200B" w:rsidRDefault="00B2272B" w:rsidP="00B2272B">
      <w:r w:rsidRPr="001D200B">
        <w:t>Ocenę stanu zasilania w gaz sieciowy odbiorców z terenu gminy Połaniec oraz perspektywy rozwoju sieci gazowej dokonano na podstawie informacji uzyskanych od przedsiębiorstw gazowniczych: Polska Spółka Gazownictwa sp. z o.o. Oddział Zakład Gazowniczy w Kielcach i PGNiG Obrót Detaliczny sp. z o.o. oraz na podstawie danych statystycznych GUS (</w:t>
      </w:r>
      <w:hyperlink r:id="rId50" w:history="1">
        <w:r w:rsidRPr="001D200B">
          <w:rPr>
            <w:rStyle w:val="Hipercze"/>
            <w:color w:val="auto"/>
            <w:u w:val="none"/>
          </w:rPr>
          <w:t>www.stat.gov.pl</w:t>
        </w:r>
      </w:hyperlink>
      <w:r w:rsidRPr="001D200B">
        <w:t>).</w:t>
      </w:r>
    </w:p>
    <w:p w:rsidR="00F70666" w:rsidRPr="001D200B" w:rsidRDefault="00F70666" w:rsidP="00F70666">
      <w:pPr>
        <w:pStyle w:val="Nagwek2"/>
        <w:rPr>
          <w:rFonts w:cstheme="minorHAnsi"/>
        </w:rPr>
      </w:pPr>
      <w:bookmarkStart w:id="67" w:name="_Toc31972835"/>
      <w:r w:rsidRPr="001D200B">
        <w:rPr>
          <w:rFonts w:cstheme="minorHAnsi"/>
        </w:rPr>
        <w:t>1. Charakterystyka stanu obecnego</w:t>
      </w:r>
      <w:bookmarkEnd w:id="67"/>
    </w:p>
    <w:p w:rsidR="008506D7" w:rsidRPr="001D200B" w:rsidRDefault="00245673" w:rsidP="00955A58">
      <w:pPr>
        <w:rPr>
          <w:rFonts w:cstheme="minorHAnsi"/>
        </w:rPr>
      </w:pPr>
      <w:r w:rsidRPr="001D200B">
        <w:rPr>
          <w:rFonts w:cstheme="minorHAnsi"/>
        </w:rPr>
        <w:t xml:space="preserve">Gaz ziemny doprowadzony jest na teren gminy z kierunku gminy Rytwiany gazociągiem średnioprężnym </w:t>
      </w:r>
      <w:r w:rsidR="00E86F5B" w:rsidRPr="001D200B">
        <w:rPr>
          <w:rFonts w:cstheme="minorHAnsi"/>
        </w:rPr>
        <w:t xml:space="preserve">relacji </w:t>
      </w:r>
      <w:r w:rsidRPr="001D200B">
        <w:rPr>
          <w:rFonts w:cstheme="minorHAnsi"/>
        </w:rPr>
        <w:t xml:space="preserve">Staszów – Połaniec. </w:t>
      </w:r>
      <w:r w:rsidR="0035123B" w:rsidRPr="001D200B">
        <w:rPr>
          <w:rFonts w:cstheme="minorHAnsi"/>
        </w:rPr>
        <w:t>Źródło</w:t>
      </w:r>
      <w:r w:rsidRPr="001D200B">
        <w:rPr>
          <w:rFonts w:cstheme="minorHAnsi"/>
        </w:rPr>
        <w:t xml:space="preserve"> </w:t>
      </w:r>
      <w:r w:rsidR="0035123B" w:rsidRPr="001D200B">
        <w:rPr>
          <w:rFonts w:cstheme="minorHAnsi"/>
        </w:rPr>
        <w:t>dostawy gazu stanowi stacja gazowa redukcyjno – pomiarowa I-go stopnia o przepustowości 3000nm</w:t>
      </w:r>
      <w:r w:rsidR="0035123B" w:rsidRPr="001D200B">
        <w:rPr>
          <w:rFonts w:cstheme="minorHAnsi"/>
          <w:vertAlign w:val="superscript"/>
        </w:rPr>
        <w:t>3</w:t>
      </w:r>
      <w:r w:rsidR="0035123B" w:rsidRPr="001D200B">
        <w:rPr>
          <w:rFonts w:cstheme="minorHAnsi"/>
        </w:rPr>
        <w:t>/h położona w</w:t>
      </w:r>
      <w:r w:rsidR="00E86F5B" w:rsidRPr="001D200B">
        <w:rPr>
          <w:rFonts w:cstheme="minorHAnsi"/>
        </w:rPr>
        <w:t xml:space="preserve"> </w:t>
      </w:r>
      <w:r w:rsidR="0035123B" w:rsidRPr="001D200B">
        <w:rPr>
          <w:rFonts w:cstheme="minorHAnsi"/>
        </w:rPr>
        <w:t>m. Staszów</w:t>
      </w:r>
      <w:r w:rsidR="00955A58" w:rsidRPr="001D200B">
        <w:rPr>
          <w:rFonts w:cstheme="minorHAnsi"/>
        </w:rPr>
        <w:t xml:space="preserve"> - stacja ta zasilana jest z gazociągu wysokoprężnego relacji Tarnów – Sandomierz. </w:t>
      </w:r>
    </w:p>
    <w:p w:rsidR="00C54739" w:rsidRPr="001D200B" w:rsidRDefault="00956A3D" w:rsidP="00F47855">
      <w:r w:rsidRPr="001D200B">
        <w:t>Łączna długość czynnych sieci gazowych średniego ciśnienia (sieć gazowa PSG sp. z o.o. Oddział Zakład Gazowniczy w Kielcach, stan na dzień 31.12.2018r.) na przedmiotowym obszarze wynosi 14,32 km. Sieć rozdzielcza jest słabo rozwinięta – na terenie gminy istnieje 87 szt. przyłączy gazowych.</w:t>
      </w:r>
      <w:r w:rsidR="00C54739" w:rsidRPr="001D200B">
        <w:t xml:space="preserve"> Schemat istniejącej sieci dystrybucyjnej średniego ciśnienia pokazano na mapie załączonej do opracowania. </w:t>
      </w:r>
    </w:p>
    <w:p w:rsidR="00956A3D" w:rsidRPr="001D200B" w:rsidRDefault="00C54739" w:rsidP="00C54739">
      <w:pPr>
        <w:pStyle w:val="Legenda"/>
        <w:rPr>
          <w:color w:val="auto"/>
        </w:rPr>
      </w:pPr>
      <w:bookmarkStart w:id="68" w:name="_Toc39476575"/>
      <w:r w:rsidRPr="001D200B">
        <w:rPr>
          <w:color w:val="auto"/>
        </w:rPr>
        <w:t xml:space="preserve">Tabela </w:t>
      </w:r>
      <w:r w:rsidR="005B7234" w:rsidRPr="001D200B">
        <w:rPr>
          <w:color w:val="auto"/>
        </w:rPr>
        <w:fldChar w:fldCharType="begin"/>
      </w:r>
      <w:r w:rsidR="005B7234" w:rsidRPr="001D200B">
        <w:rPr>
          <w:color w:val="auto"/>
        </w:rPr>
        <w:instrText xml:space="preserve"> SEQ Tabela \* ARABIC </w:instrText>
      </w:r>
      <w:r w:rsidR="005B7234" w:rsidRPr="001D200B">
        <w:rPr>
          <w:color w:val="auto"/>
        </w:rPr>
        <w:fldChar w:fldCharType="separate"/>
      </w:r>
      <w:r w:rsidR="00D2721B" w:rsidRPr="001D200B">
        <w:rPr>
          <w:noProof/>
          <w:color w:val="auto"/>
        </w:rPr>
        <w:t>23</w:t>
      </w:r>
      <w:r w:rsidR="005B7234" w:rsidRPr="001D200B">
        <w:rPr>
          <w:color w:val="auto"/>
        </w:rPr>
        <w:fldChar w:fldCharType="end"/>
      </w:r>
      <w:r w:rsidRPr="001D200B">
        <w:rPr>
          <w:color w:val="auto"/>
        </w:rPr>
        <w:t xml:space="preserve">. </w:t>
      </w:r>
      <w:r w:rsidR="00956A3D" w:rsidRPr="001D200B">
        <w:rPr>
          <w:color w:val="auto"/>
        </w:rPr>
        <w:t>Infrastruktura gazowa w gminie Połaniec (stan na koniec 2018r.)</w:t>
      </w:r>
      <w:bookmarkEnd w:id="68"/>
    </w:p>
    <w:tbl>
      <w:tblPr>
        <w:tblStyle w:val="Tabela-Siatka"/>
        <w:tblW w:w="0" w:type="auto"/>
        <w:tblLook w:val="04A0"/>
      </w:tblPr>
      <w:tblGrid>
        <w:gridCol w:w="2518"/>
        <w:gridCol w:w="6692"/>
      </w:tblGrid>
      <w:tr w:rsidR="00956A3D" w:rsidRPr="001D200B" w:rsidTr="008E7320">
        <w:tc>
          <w:tcPr>
            <w:tcW w:w="2518" w:type="dxa"/>
            <w:vAlign w:val="center"/>
          </w:tcPr>
          <w:p w:rsidR="00956A3D" w:rsidRPr="001D200B" w:rsidRDefault="00956A3D" w:rsidP="008E7320">
            <w:pPr>
              <w:spacing w:before="0" w:after="0"/>
              <w:jc w:val="center"/>
            </w:pPr>
            <w:r w:rsidRPr="001D200B">
              <w:t>Miasto Połaniec</w:t>
            </w:r>
          </w:p>
        </w:tc>
        <w:tc>
          <w:tcPr>
            <w:tcW w:w="6692" w:type="dxa"/>
          </w:tcPr>
          <w:p w:rsidR="00956A3D" w:rsidRPr="001D200B" w:rsidRDefault="00956A3D" w:rsidP="00F006D6">
            <w:pPr>
              <w:pStyle w:val="Akapitzlist"/>
            </w:pPr>
            <w:r w:rsidRPr="001D200B">
              <w:t>przyłącza gazowe – 2,67 km (80 szt., w tym 75 szt. przyłączy do budynków mieszkalnych)</w:t>
            </w:r>
          </w:p>
          <w:p w:rsidR="00956A3D" w:rsidRPr="001D200B" w:rsidRDefault="00956A3D" w:rsidP="00F006D6">
            <w:pPr>
              <w:pStyle w:val="Akapitzlist"/>
            </w:pPr>
            <w:r w:rsidRPr="001D200B">
              <w:t>gazociągi ś/c – 12,12 km</w:t>
            </w:r>
          </w:p>
        </w:tc>
      </w:tr>
      <w:tr w:rsidR="00956A3D" w:rsidRPr="001D200B" w:rsidTr="008E7320">
        <w:tc>
          <w:tcPr>
            <w:tcW w:w="2518" w:type="dxa"/>
            <w:vAlign w:val="center"/>
          </w:tcPr>
          <w:p w:rsidR="00956A3D" w:rsidRPr="001D200B" w:rsidRDefault="00956A3D" w:rsidP="00956A3D">
            <w:pPr>
              <w:spacing w:before="0" w:after="0"/>
              <w:jc w:val="center"/>
            </w:pPr>
            <w:r w:rsidRPr="001D200B">
              <w:t>Obszar wiejski Gminy Połaniec</w:t>
            </w:r>
          </w:p>
        </w:tc>
        <w:tc>
          <w:tcPr>
            <w:tcW w:w="6692" w:type="dxa"/>
          </w:tcPr>
          <w:p w:rsidR="00956A3D" w:rsidRPr="001D200B" w:rsidRDefault="00956A3D" w:rsidP="00F006D6">
            <w:pPr>
              <w:pStyle w:val="Akapitzlist"/>
            </w:pPr>
            <w:r w:rsidRPr="001D200B">
              <w:t>przyłącza gazowe – 0,3 km (7 szt., w tym 6 szt. przyłączy do budynków mieszkalnych)</w:t>
            </w:r>
          </w:p>
          <w:p w:rsidR="00956A3D" w:rsidRPr="001D200B" w:rsidRDefault="00956A3D" w:rsidP="00F006D6">
            <w:pPr>
              <w:pStyle w:val="Akapitzlist"/>
            </w:pPr>
            <w:r w:rsidRPr="001D200B">
              <w:t>gazociągi ś/c – 2,2 km</w:t>
            </w:r>
          </w:p>
          <w:p w:rsidR="00956A3D" w:rsidRPr="001D200B" w:rsidRDefault="00956A3D" w:rsidP="00F006D6">
            <w:pPr>
              <w:pStyle w:val="Akapitzlist"/>
            </w:pPr>
            <w:r w:rsidRPr="001D200B">
              <w:t xml:space="preserve">stacje gazowe  – 2 szt. </w:t>
            </w:r>
          </w:p>
        </w:tc>
      </w:tr>
      <w:tr w:rsidR="00956A3D" w:rsidRPr="001D200B" w:rsidTr="008E7320">
        <w:tc>
          <w:tcPr>
            <w:tcW w:w="2518" w:type="dxa"/>
            <w:shd w:val="clear" w:color="auto" w:fill="F2F2F2" w:themeFill="background1" w:themeFillShade="F2"/>
            <w:vAlign w:val="center"/>
          </w:tcPr>
          <w:p w:rsidR="00956A3D" w:rsidRPr="001D200B" w:rsidRDefault="00956A3D" w:rsidP="008E7320">
            <w:pPr>
              <w:spacing w:before="0" w:after="0"/>
              <w:jc w:val="center"/>
              <w:rPr>
                <w:b/>
              </w:rPr>
            </w:pPr>
            <w:r w:rsidRPr="001D200B">
              <w:rPr>
                <w:b/>
              </w:rPr>
              <w:t>Razem Gmina</w:t>
            </w:r>
          </w:p>
        </w:tc>
        <w:tc>
          <w:tcPr>
            <w:tcW w:w="6692" w:type="dxa"/>
            <w:shd w:val="clear" w:color="auto" w:fill="F2F2F2" w:themeFill="background1" w:themeFillShade="F2"/>
          </w:tcPr>
          <w:p w:rsidR="00956A3D" w:rsidRPr="001D200B" w:rsidRDefault="00956A3D" w:rsidP="00F006D6">
            <w:pPr>
              <w:pStyle w:val="Akapitzlist"/>
            </w:pPr>
            <w:r w:rsidRPr="001D200B">
              <w:t>sieć gazowa ś/c – 14,32 km</w:t>
            </w:r>
          </w:p>
          <w:p w:rsidR="00956A3D" w:rsidRPr="001D200B" w:rsidRDefault="00956A3D" w:rsidP="00F006D6">
            <w:pPr>
              <w:pStyle w:val="Akapitzlist"/>
            </w:pPr>
            <w:r w:rsidRPr="001D200B">
              <w:t>przyłącza gazowe – 87 szt. (2,97km)</w:t>
            </w:r>
          </w:p>
        </w:tc>
      </w:tr>
    </w:tbl>
    <w:p w:rsidR="00924CBC" w:rsidRPr="001D200B" w:rsidRDefault="00924CBC" w:rsidP="00924CBC">
      <w:pPr>
        <w:pStyle w:val="podtabelk"/>
      </w:pPr>
      <w:r w:rsidRPr="001D200B">
        <w:t>Źródło: Dane PSG sp. z o.o. Oddział Zakład Gazowniczy w Kielcach</w:t>
      </w:r>
    </w:p>
    <w:p w:rsidR="000B5EBB" w:rsidRPr="001D200B" w:rsidRDefault="000B5EBB" w:rsidP="000B5EBB">
      <w:pPr>
        <w:rPr>
          <w:rFonts w:cstheme="minorHAnsi"/>
        </w:rPr>
      </w:pPr>
      <w:r w:rsidRPr="001D200B">
        <w:rPr>
          <w:rFonts w:cstheme="minorHAnsi"/>
        </w:rPr>
        <w:lastRenderedPageBreak/>
        <w:t xml:space="preserve">Odbiorcami gazu są przede wszystkim gospodarstwa domowe - ludność korzystająca z sieci gazowej liczy </w:t>
      </w:r>
      <w:r w:rsidR="005B6474" w:rsidRPr="001D200B">
        <w:rPr>
          <w:rFonts w:cstheme="minorHAnsi"/>
        </w:rPr>
        <w:t xml:space="preserve">zaledwie </w:t>
      </w:r>
      <w:r w:rsidR="00C54739" w:rsidRPr="001D200B">
        <w:rPr>
          <w:rFonts w:cstheme="minorHAnsi"/>
        </w:rPr>
        <w:t>220</w:t>
      </w:r>
      <w:r w:rsidRPr="001D200B">
        <w:rPr>
          <w:rFonts w:cstheme="minorHAnsi"/>
        </w:rPr>
        <w:t xml:space="preserve"> osób, co daje wskaźnik zgazyfikowania terenu na poziomie </w:t>
      </w:r>
      <w:r w:rsidR="00C54739" w:rsidRPr="001D200B">
        <w:rPr>
          <w:rFonts w:cstheme="minorHAnsi"/>
        </w:rPr>
        <w:t>niespełna 2</w:t>
      </w:r>
      <w:r w:rsidRPr="001D200B">
        <w:rPr>
          <w:rFonts w:cstheme="minorHAnsi"/>
        </w:rPr>
        <w:t>%.</w:t>
      </w:r>
      <w:r w:rsidR="00C3788D" w:rsidRPr="001D200B">
        <w:rPr>
          <w:rFonts w:cstheme="minorHAnsi"/>
        </w:rPr>
        <w:t xml:space="preserve"> </w:t>
      </w:r>
    </w:p>
    <w:p w:rsidR="00C54739" w:rsidRPr="001D200B" w:rsidRDefault="00C54739" w:rsidP="00C54739">
      <w:pPr>
        <w:pStyle w:val="Legenda"/>
        <w:rPr>
          <w:rFonts w:cstheme="minorHAnsi"/>
          <w:color w:val="auto"/>
        </w:rPr>
      </w:pPr>
      <w:bookmarkStart w:id="69" w:name="_Toc39476576"/>
      <w:r w:rsidRPr="001D200B">
        <w:rPr>
          <w:color w:val="auto"/>
        </w:rPr>
        <w:t xml:space="preserve">Tabela </w:t>
      </w:r>
      <w:r w:rsidR="005B7234" w:rsidRPr="001D200B">
        <w:rPr>
          <w:color w:val="auto"/>
        </w:rPr>
        <w:fldChar w:fldCharType="begin"/>
      </w:r>
      <w:r w:rsidR="005B7234" w:rsidRPr="001D200B">
        <w:rPr>
          <w:color w:val="auto"/>
        </w:rPr>
        <w:instrText xml:space="preserve"> SEQ Tabela \* ARABIC </w:instrText>
      </w:r>
      <w:r w:rsidR="005B7234" w:rsidRPr="001D200B">
        <w:rPr>
          <w:color w:val="auto"/>
        </w:rPr>
        <w:fldChar w:fldCharType="separate"/>
      </w:r>
      <w:r w:rsidR="00D2721B" w:rsidRPr="001D200B">
        <w:rPr>
          <w:noProof/>
          <w:color w:val="auto"/>
        </w:rPr>
        <w:t>24</w:t>
      </w:r>
      <w:r w:rsidR="005B7234" w:rsidRPr="001D200B">
        <w:rPr>
          <w:color w:val="auto"/>
        </w:rPr>
        <w:fldChar w:fldCharType="end"/>
      </w:r>
      <w:r w:rsidRPr="001D200B">
        <w:rPr>
          <w:color w:val="auto"/>
        </w:rPr>
        <w:t>. Dane statystyczne obrazujące stopień wyposażenia terenu gminy w infrastrukturę gazową w 2018r.</w:t>
      </w:r>
      <w:bookmarkEnd w:id="69"/>
    </w:p>
    <w:tbl>
      <w:tblPr>
        <w:tblStyle w:val="Tabela-Siatka"/>
        <w:tblW w:w="9214" w:type="dxa"/>
        <w:tblInd w:w="108" w:type="dxa"/>
        <w:tblLayout w:type="fixed"/>
        <w:tblLook w:val="04A0"/>
      </w:tblPr>
      <w:tblGrid>
        <w:gridCol w:w="4678"/>
        <w:gridCol w:w="1512"/>
        <w:gridCol w:w="1512"/>
        <w:gridCol w:w="1512"/>
      </w:tblGrid>
      <w:tr w:rsidR="00C54739" w:rsidRPr="001D200B" w:rsidTr="008E7320">
        <w:tc>
          <w:tcPr>
            <w:tcW w:w="4678" w:type="dxa"/>
            <w:shd w:val="clear" w:color="auto" w:fill="F2F2F2" w:themeFill="background1" w:themeFillShade="F2"/>
            <w:vAlign w:val="center"/>
          </w:tcPr>
          <w:p w:rsidR="00C54739" w:rsidRPr="001D200B" w:rsidRDefault="00C54739" w:rsidP="008E7320">
            <w:pPr>
              <w:spacing w:before="0" w:after="0" w:line="240" w:lineRule="auto"/>
              <w:rPr>
                <w:b/>
              </w:rPr>
            </w:pPr>
            <w:r w:rsidRPr="001D200B">
              <w:rPr>
                <w:b/>
              </w:rPr>
              <w:t>Wyszczególnienie</w:t>
            </w:r>
          </w:p>
        </w:tc>
        <w:tc>
          <w:tcPr>
            <w:tcW w:w="1512" w:type="dxa"/>
            <w:shd w:val="clear" w:color="auto" w:fill="F2F2F2" w:themeFill="background1" w:themeFillShade="F2"/>
            <w:vAlign w:val="center"/>
          </w:tcPr>
          <w:p w:rsidR="00C54739" w:rsidRPr="001D200B" w:rsidRDefault="00C54739" w:rsidP="008E7320">
            <w:pPr>
              <w:spacing w:before="0" w:after="0" w:line="240" w:lineRule="auto"/>
              <w:jc w:val="center"/>
              <w:rPr>
                <w:b/>
              </w:rPr>
            </w:pPr>
            <w:r w:rsidRPr="001D200B">
              <w:rPr>
                <w:b/>
              </w:rPr>
              <w:t>Ogółem gmina</w:t>
            </w:r>
          </w:p>
        </w:tc>
        <w:tc>
          <w:tcPr>
            <w:tcW w:w="1512" w:type="dxa"/>
            <w:shd w:val="clear" w:color="auto" w:fill="F2F2F2" w:themeFill="background1" w:themeFillShade="F2"/>
            <w:vAlign w:val="center"/>
          </w:tcPr>
          <w:p w:rsidR="00C54739" w:rsidRPr="001D200B" w:rsidRDefault="00C54739" w:rsidP="008E7320">
            <w:pPr>
              <w:spacing w:before="0" w:after="0" w:line="240" w:lineRule="auto"/>
              <w:jc w:val="center"/>
              <w:rPr>
                <w:b/>
              </w:rPr>
            </w:pPr>
            <w:r w:rsidRPr="001D200B">
              <w:rPr>
                <w:b/>
              </w:rPr>
              <w:t>Miasto</w:t>
            </w:r>
          </w:p>
        </w:tc>
        <w:tc>
          <w:tcPr>
            <w:tcW w:w="1512" w:type="dxa"/>
            <w:shd w:val="clear" w:color="auto" w:fill="F2F2F2" w:themeFill="background1" w:themeFillShade="F2"/>
            <w:vAlign w:val="center"/>
          </w:tcPr>
          <w:p w:rsidR="00C54739" w:rsidRPr="001D200B" w:rsidRDefault="00C54739" w:rsidP="008E7320">
            <w:pPr>
              <w:spacing w:before="0" w:after="0" w:line="240" w:lineRule="auto"/>
              <w:jc w:val="center"/>
              <w:rPr>
                <w:b/>
              </w:rPr>
            </w:pPr>
            <w:r w:rsidRPr="001D200B">
              <w:rPr>
                <w:b/>
              </w:rPr>
              <w:t>Obszary wiejskie</w:t>
            </w:r>
          </w:p>
        </w:tc>
      </w:tr>
      <w:tr w:rsidR="00C54739" w:rsidRPr="007D4DB6" w:rsidTr="008E7320">
        <w:tc>
          <w:tcPr>
            <w:tcW w:w="4678" w:type="dxa"/>
          </w:tcPr>
          <w:p w:rsidR="00C54739" w:rsidRPr="007D4DB6" w:rsidRDefault="00C54739" w:rsidP="008E7320">
            <w:pPr>
              <w:spacing w:before="0" w:after="0" w:line="240" w:lineRule="auto"/>
              <w:rPr>
                <w:sz w:val="22"/>
                <w:szCs w:val="22"/>
              </w:rPr>
            </w:pPr>
            <w:r w:rsidRPr="007D4DB6">
              <w:rPr>
                <w:sz w:val="22"/>
                <w:szCs w:val="22"/>
              </w:rPr>
              <w:t>Ludność korzystająca z sieci gazowej</w:t>
            </w:r>
          </w:p>
        </w:tc>
        <w:tc>
          <w:tcPr>
            <w:tcW w:w="1512" w:type="dxa"/>
            <w:vAlign w:val="center"/>
          </w:tcPr>
          <w:p w:rsidR="00C54739" w:rsidRPr="007D4DB6" w:rsidRDefault="00417ACA" w:rsidP="008E7320">
            <w:pPr>
              <w:spacing w:before="0" w:after="0" w:line="240" w:lineRule="auto"/>
              <w:jc w:val="center"/>
              <w:rPr>
                <w:sz w:val="22"/>
                <w:szCs w:val="22"/>
              </w:rPr>
            </w:pPr>
            <w:r w:rsidRPr="007D4DB6">
              <w:rPr>
                <w:sz w:val="22"/>
                <w:szCs w:val="22"/>
              </w:rPr>
              <w:t>220</w:t>
            </w:r>
          </w:p>
        </w:tc>
        <w:tc>
          <w:tcPr>
            <w:tcW w:w="1512" w:type="dxa"/>
            <w:vAlign w:val="center"/>
          </w:tcPr>
          <w:p w:rsidR="00C54739" w:rsidRPr="007D4DB6" w:rsidRDefault="00417ACA" w:rsidP="008E7320">
            <w:pPr>
              <w:spacing w:before="0" w:after="0" w:line="240" w:lineRule="auto"/>
              <w:jc w:val="center"/>
              <w:rPr>
                <w:sz w:val="22"/>
                <w:szCs w:val="22"/>
              </w:rPr>
            </w:pPr>
            <w:r w:rsidRPr="007D4DB6">
              <w:rPr>
                <w:sz w:val="22"/>
                <w:szCs w:val="22"/>
              </w:rPr>
              <w:t>195</w:t>
            </w:r>
          </w:p>
        </w:tc>
        <w:tc>
          <w:tcPr>
            <w:tcW w:w="1512" w:type="dxa"/>
            <w:vAlign w:val="center"/>
          </w:tcPr>
          <w:p w:rsidR="00C54739" w:rsidRPr="007D4DB6" w:rsidRDefault="00417ACA" w:rsidP="008E7320">
            <w:pPr>
              <w:spacing w:before="0" w:after="0" w:line="240" w:lineRule="auto"/>
              <w:jc w:val="center"/>
              <w:rPr>
                <w:sz w:val="22"/>
                <w:szCs w:val="22"/>
              </w:rPr>
            </w:pPr>
            <w:r w:rsidRPr="007D4DB6">
              <w:rPr>
                <w:sz w:val="22"/>
                <w:szCs w:val="22"/>
              </w:rPr>
              <w:t>25</w:t>
            </w:r>
          </w:p>
        </w:tc>
      </w:tr>
      <w:tr w:rsidR="00C54739" w:rsidRPr="007D4DB6" w:rsidTr="008E7320">
        <w:tc>
          <w:tcPr>
            <w:tcW w:w="4678" w:type="dxa"/>
          </w:tcPr>
          <w:p w:rsidR="00C54739" w:rsidRPr="007D4DB6" w:rsidRDefault="00C54739" w:rsidP="008E7320">
            <w:pPr>
              <w:spacing w:before="0" w:after="0" w:line="240" w:lineRule="auto"/>
              <w:rPr>
                <w:b/>
                <w:sz w:val="22"/>
                <w:szCs w:val="22"/>
              </w:rPr>
            </w:pPr>
            <w:r w:rsidRPr="007D4DB6">
              <w:rPr>
                <w:sz w:val="22"/>
                <w:szCs w:val="22"/>
              </w:rPr>
              <w:t>Korzystający z instalacji w stosunku do ogółu ludności (%)</w:t>
            </w:r>
          </w:p>
        </w:tc>
        <w:tc>
          <w:tcPr>
            <w:tcW w:w="1512" w:type="dxa"/>
            <w:vAlign w:val="center"/>
          </w:tcPr>
          <w:p w:rsidR="00C54739" w:rsidRPr="007D4DB6" w:rsidRDefault="00417ACA" w:rsidP="008E7320">
            <w:pPr>
              <w:spacing w:before="0" w:after="0" w:line="240" w:lineRule="auto"/>
              <w:jc w:val="center"/>
              <w:rPr>
                <w:sz w:val="22"/>
                <w:szCs w:val="22"/>
              </w:rPr>
            </w:pPr>
            <w:r w:rsidRPr="007D4DB6">
              <w:rPr>
                <w:sz w:val="22"/>
                <w:szCs w:val="22"/>
              </w:rPr>
              <w:t>1,9</w:t>
            </w:r>
          </w:p>
        </w:tc>
        <w:tc>
          <w:tcPr>
            <w:tcW w:w="1512" w:type="dxa"/>
            <w:vAlign w:val="center"/>
          </w:tcPr>
          <w:p w:rsidR="00C54739" w:rsidRPr="007D4DB6" w:rsidRDefault="00417ACA" w:rsidP="008E7320">
            <w:pPr>
              <w:spacing w:before="0" w:after="0" w:line="240" w:lineRule="auto"/>
              <w:jc w:val="center"/>
              <w:rPr>
                <w:sz w:val="22"/>
                <w:szCs w:val="22"/>
              </w:rPr>
            </w:pPr>
            <w:r w:rsidRPr="007D4DB6">
              <w:rPr>
                <w:sz w:val="22"/>
                <w:szCs w:val="22"/>
              </w:rPr>
              <w:t>2,4</w:t>
            </w:r>
          </w:p>
        </w:tc>
        <w:tc>
          <w:tcPr>
            <w:tcW w:w="1512" w:type="dxa"/>
            <w:vAlign w:val="center"/>
          </w:tcPr>
          <w:p w:rsidR="00C54739" w:rsidRPr="007D4DB6" w:rsidRDefault="00417ACA" w:rsidP="008E7320">
            <w:pPr>
              <w:spacing w:before="0" w:after="0" w:line="240" w:lineRule="auto"/>
              <w:jc w:val="center"/>
              <w:rPr>
                <w:sz w:val="22"/>
                <w:szCs w:val="22"/>
              </w:rPr>
            </w:pPr>
            <w:r w:rsidRPr="007D4DB6">
              <w:rPr>
                <w:sz w:val="22"/>
                <w:szCs w:val="22"/>
              </w:rPr>
              <w:t>0,7</w:t>
            </w:r>
          </w:p>
        </w:tc>
      </w:tr>
      <w:tr w:rsidR="00C54739" w:rsidRPr="007D4DB6" w:rsidTr="008E7320">
        <w:tc>
          <w:tcPr>
            <w:tcW w:w="4678" w:type="dxa"/>
          </w:tcPr>
          <w:p w:rsidR="00C54739" w:rsidRPr="007D4DB6" w:rsidRDefault="00C54739" w:rsidP="008E7320">
            <w:pPr>
              <w:spacing w:before="0" w:after="0" w:line="240" w:lineRule="auto"/>
              <w:rPr>
                <w:sz w:val="22"/>
                <w:szCs w:val="22"/>
              </w:rPr>
            </w:pPr>
            <w:r w:rsidRPr="007D4DB6">
              <w:rPr>
                <w:sz w:val="22"/>
                <w:szCs w:val="22"/>
              </w:rPr>
              <w:t>Wskaźnik uzbrojenia terenu - sieć rozdzielcza przypadająca na 100 km</w:t>
            </w:r>
            <w:r w:rsidRPr="007D4DB6">
              <w:rPr>
                <w:sz w:val="22"/>
                <w:szCs w:val="22"/>
                <w:vertAlign w:val="superscript"/>
              </w:rPr>
              <w:t xml:space="preserve">2 </w:t>
            </w:r>
            <w:r w:rsidRPr="007D4DB6">
              <w:rPr>
                <w:sz w:val="22"/>
                <w:szCs w:val="22"/>
              </w:rPr>
              <w:t>terenu (w km)</w:t>
            </w:r>
          </w:p>
        </w:tc>
        <w:tc>
          <w:tcPr>
            <w:tcW w:w="1512" w:type="dxa"/>
            <w:vAlign w:val="center"/>
          </w:tcPr>
          <w:p w:rsidR="00C54739" w:rsidRPr="007D4DB6" w:rsidRDefault="00417ACA" w:rsidP="008E7320">
            <w:pPr>
              <w:spacing w:before="0" w:after="0" w:line="240" w:lineRule="auto"/>
              <w:jc w:val="center"/>
              <w:rPr>
                <w:sz w:val="22"/>
                <w:szCs w:val="22"/>
              </w:rPr>
            </w:pPr>
            <w:r w:rsidRPr="007D4DB6">
              <w:rPr>
                <w:sz w:val="22"/>
                <w:szCs w:val="22"/>
              </w:rPr>
              <w:t>3,9</w:t>
            </w:r>
          </w:p>
        </w:tc>
        <w:tc>
          <w:tcPr>
            <w:tcW w:w="1512" w:type="dxa"/>
            <w:vAlign w:val="center"/>
          </w:tcPr>
          <w:p w:rsidR="00C54739" w:rsidRPr="007D4DB6" w:rsidRDefault="00417ACA" w:rsidP="008E7320">
            <w:pPr>
              <w:spacing w:before="0" w:after="0" w:line="240" w:lineRule="auto"/>
              <w:jc w:val="center"/>
              <w:rPr>
                <w:sz w:val="22"/>
                <w:szCs w:val="22"/>
              </w:rPr>
            </w:pPr>
            <w:r w:rsidRPr="007D4DB6">
              <w:rPr>
                <w:sz w:val="22"/>
                <w:szCs w:val="22"/>
              </w:rPr>
              <w:t>69,6</w:t>
            </w:r>
          </w:p>
        </w:tc>
        <w:tc>
          <w:tcPr>
            <w:tcW w:w="1512" w:type="dxa"/>
            <w:vAlign w:val="center"/>
          </w:tcPr>
          <w:p w:rsidR="00C54739" w:rsidRPr="007D4DB6" w:rsidRDefault="00417ACA" w:rsidP="008E7320">
            <w:pPr>
              <w:spacing w:before="0" w:after="0" w:line="240" w:lineRule="auto"/>
              <w:jc w:val="center"/>
              <w:rPr>
                <w:sz w:val="22"/>
                <w:szCs w:val="22"/>
              </w:rPr>
            </w:pPr>
            <w:r w:rsidRPr="007D4DB6">
              <w:rPr>
                <w:sz w:val="22"/>
                <w:szCs w:val="22"/>
              </w:rPr>
              <w:t>3,9</w:t>
            </w:r>
          </w:p>
        </w:tc>
      </w:tr>
    </w:tbl>
    <w:p w:rsidR="00417ACA" w:rsidRPr="001D200B" w:rsidRDefault="00417ACA" w:rsidP="00417ACA">
      <w:pPr>
        <w:pStyle w:val="podtabelk"/>
      </w:pPr>
      <w:r w:rsidRPr="001D200B">
        <w:t xml:space="preserve"> Źródło: GUS: </w:t>
      </w:r>
      <w:hyperlink r:id="rId51" w:history="1">
        <w:r w:rsidRPr="001D200B">
          <w:rPr>
            <w:rStyle w:val="Hipercze"/>
            <w:rFonts w:asciiTheme="minorHAnsi" w:hAnsiTheme="minorHAnsi" w:cstheme="minorHAnsi"/>
            <w:color w:val="auto"/>
            <w:u w:val="none"/>
          </w:rPr>
          <w:t>www.stat.gov.pl</w:t>
        </w:r>
      </w:hyperlink>
    </w:p>
    <w:p w:rsidR="005D7D87" w:rsidRPr="001D200B" w:rsidRDefault="005D7D87" w:rsidP="000B5EBB">
      <w:r w:rsidRPr="001D200B">
        <w:t xml:space="preserve">Budowa infrastruktury gazu sieciowego na ternie gminy Połaniec rozpoczęła się w 2004 roku. </w:t>
      </w:r>
      <w:r w:rsidR="0080252D" w:rsidRPr="001D200B">
        <w:t xml:space="preserve">Postęp w zakresie stopnia wyposażenia w infrastrukturę gazową jest niewielki. </w:t>
      </w:r>
    </w:p>
    <w:p w:rsidR="00C54739" w:rsidRPr="001D200B" w:rsidRDefault="0080252D" w:rsidP="0080252D">
      <w:pPr>
        <w:pStyle w:val="Legenda"/>
        <w:rPr>
          <w:rFonts w:cstheme="minorHAnsi"/>
          <w:color w:val="auto"/>
        </w:rPr>
      </w:pPr>
      <w:bookmarkStart w:id="70" w:name="_Toc39476577"/>
      <w:r w:rsidRPr="001D200B">
        <w:rPr>
          <w:color w:val="auto"/>
        </w:rPr>
        <w:t xml:space="preserve">Tabela </w:t>
      </w:r>
      <w:r w:rsidR="005B7234" w:rsidRPr="001D200B">
        <w:rPr>
          <w:color w:val="auto"/>
        </w:rPr>
        <w:fldChar w:fldCharType="begin"/>
      </w:r>
      <w:r w:rsidR="005B7234" w:rsidRPr="001D200B">
        <w:rPr>
          <w:color w:val="auto"/>
        </w:rPr>
        <w:instrText xml:space="preserve"> SEQ Tabela \* ARABIC </w:instrText>
      </w:r>
      <w:r w:rsidR="005B7234" w:rsidRPr="001D200B">
        <w:rPr>
          <w:color w:val="auto"/>
        </w:rPr>
        <w:fldChar w:fldCharType="separate"/>
      </w:r>
      <w:r w:rsidR="00D2721B" w:rsidRPr="001D200B">
        <w:rPr>
          <w:noProof/>
          <w:color w:val="auto"/>
        </w:rPr>
        <w:t>25</w:t>
      </w:r>
      <w:r w:rsidR="005B7234" w:rsidRPr="001D200B">
        <w:rPr>
          <w:color w:val="auto"/>
        </w:rPr>
        <w:fldChar w:fldCharType="end"/>
      </w:r>
      <w:r w:rsidRPr="001D200B">
        <w:rPr>
          <w:color w:val="auto"/>
        </w:rPr>
        <w:t xml:space="preserve">. </w:t>
      </w:r>
      <w:r w:rsidRPr="001D200B">
        <w:rPr>
          <w:rFonts w:cstheme="minorHAnsi"/>
          <w:color w:val="auto"/>
        </w:rPr>
        <w:t>Stan infrastruktury gazowej gminy Połaniec na przestrzeni lat 2010-2018</w:t>
      </w:r>
      <w:bookmarkEnd w:id="70"/>
    </w:p>
    <w:tbl>
      <w:tblPr>
        <w:tblW w:w="102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851"/>
        <w:gridCol w:w="850"/>
        <w:gridCol w:w="851"/>
        <w:gridCol w:w="850"/>
        <w:gridCol w:w="851"/>
        <w:gridCol w:w="850"/>
        <w:gridCol w:w="850"/>
        <w:gridCol w:w="850"/>
        <w:gridCol w:w="850"/>
      </w:tblGrid>
      <w:tr w:rsidR="0080252D" w:rsidRPr="001D200B" w:rsidTr="00FC15AB">
        <w:tc>
          <w:tcPr>
            <w:tcW w:w="2552" w:type="dxa"/>
            <w:shd w:val="clear" w:color="auto" w:fill="F2F2F2" w:themeFill="background1" w:themeFillShade="F2"/>
          </w:tcPr>
          <w:p w:rsidR="0080252D" w:rsidRPr="001D200B" w:rsidRDefault="0080252D" w:rsidP="00FC15AB">
            <w:pPr>
              <w:spacing w:before="0" w:after="0" w:line="240" w:lineRule="auto"/>
              <w:jc w:val="center"/>
              <w:rPr>
                <w:b/>
                <w:sz w:val="22"/>
                <w:szCs w:val="22"/>
              </w:rPr>
            </w:pPr>
            <w:r w:rsidRPr="001D200B">
              <w:rPr>
                <w:b/>
                <w:sz w:val="22"/>
                <w:szCs w:val="22"/>
              </w:rPr>
              <w:t>Wyszczególnienie</w:t>
            </w:r>
          </w:p>
        </w:tc>
        <w:tc>
          <w:tcPr>
            <w:tcW w:w="851" w:type="dxa"/>
            <w:shd w:val="clear" w:color="auto" w:fill="F2F2F2" w:themeFill="background1" w:themeFillShade="F2"/>
          </w:tcPr>
          <w:p w:rsidR="0080252D" w:rsidRPr="001D200B" w:rsidRDefault="0080252D" w:rsidP="00FC15AB">
            <w:pPr>
              <w:spacing w:before="0" w:after="0" w:line="240" w:lineRule="auto"/>
              <w:jc w:val="center"/>
              <w:rPr>
                <w:b/>
                <w:sz w:val="22"/>
                <w:szCs w:val="22"/>
              </w:rPr>
            </w:pPr>
            <w:r w:rsidRPr="001D200B">
              <w:rPr>
                <w:b/>
                <w:sz w:val="22"/>
                <w:szCs w:val="22"/>
              </w:rPr>
              <w:t>2010</w:t>
            </w:r>
          </w:p>
        </w:tc>
        <w:tc>
          <w:tcPr>
            <w:tcW w:w="850" w:type="dxa"/>
            <w:shd w:val="clear" w:color="auto" w:fill="F2F2F2" w:themeFill="background1" w:themeFillShade="F2"/>
          </w:tcPr>
          <w:p w:rsidR="0080252D" w:rsidRPr="001D200B" w:rsidRDefault="0080252D" w:rsidP="00FC15AB">
            <w:pPr>
              <w:spacing w:before="0" w:after="0" w:line="240" w:lineRule="auto"/>
              <w:jc w:val="center"/>
              <w:rPr>
                <w:b/>
                <w:sz w:val="22"/>
                <w:szCs w:val="22"/>
              </w:rPr>
            </w:pPr>
            <w:r w:rsidRPr="001D200B">
              <w:rPr>
                <w:b/>
                <w:sz w:val="22"/>
                <w:szCs w:val="22"/>
              </w:rPr>
              <w:t>2011</w:t>
            </w:r>
          </w:p>
        </w:tc>
        <w:tc>
          <w:tcPr>
            <w:tcW w:w="851" w:type="dxa"/>
            <w:shd w:val="clear" w:color="auto" w:fill="F2F2F2" w:themeFill="background1" w:themeFillShade="F2"/>
          </w:tcPr>
          <w:p w:rsidR="0080252D" w:rsidRPr="001D200B" w:rsidRDefault="0080252D" w:rsidP="00FC15AB">
            <w:pPr>
              <w:spacing w:before="0" w:after="0" w:line="240" w:lineRule="auto"/>
              <w:jc w:val="center"/>
              <w:rPr>
                <w:b/>
                <w:sz w:val="22"/>
                <w:szCs w:val="22"/>
              </w:rPr>
            </w:pPr>
            <w:r w:rsidRPr="001D200B">
              <w:rPr>
                <w:b/>
                <w:sz w:val="22"/>
                <w:szCs w:val="22"/>
              </w:rPr>
              <w:t>2012</w:t>
            </w:r>
          </w:p>
        </w:tc>
        <w:tc>
          <w:tcPr>
            <w:tcW w:w="850" w:type="dxa"/>
            <w:shd w:val="clear" w:color="auto" w:fill="F2F2F2" w:themeFill="background1" w:themeFillShade="F2"/>
          </w:tcPr>
          <w:p w:rsidR="0080252D" w:rsidRPr="001D200B" w:rsidRDefault="0080252D" w:rsidP="00FC15AB">
            <w:pPr>
              <w:spacing w:before="0" w:after="0" w:line="240" w:lineRule="auto"/>
              <w:jc w:val="center"/>
              <w:rPr>
                <w:b/>
                <w:sz w:val="22"/>
                <w:szCs w:val="22"/>
              </w:rPr>
            </w:pPr>
            <w:r w:rsidRPr="001D200B">
              <w:rPr>
                <w:b/>
                <w:sz w:val="22"/>
                <w:szCs w:val="22"/>
              </w:rPr>
              <w:t>2013</w:t>
            </w:r>
          </w:p>
        </w:tc>
        <w:tc>
          <w:tcPr>
            <w:tcW w:w="851" w:type="dxa"/>
            <w:shd w:val="clear" w:color="auto" w:fill="F2F2F2" w:themeFill="background1" w:themeFillShade="F2"/>
          </w:tcPr>
          <w:p w:rsidR="0080252D" w:rsidRPr="001D200B" w:rsidRDefault="0080252D" w:rsidP="00FC15AB">
            <w:pPr>
              <w:spacing w:before="0" w:after="0" w:line="240" w:lineRule="auto"/>
              <w:jc w:val="center"/>
              <w:rPr>
                <w:b/>
                <w:sz w:val="22"/>
                <w:szCs w:val="22"/>
              </w:rPr>
            </w:pPr>
            <w:r w:rsidRPr="001D200B">
              <w:rPr>
                <w:b/>
                <w:sz w:val="22"/>
                <w:szCs w:val="22"/>
              </w:rPr>
              <w:t>2014</w:t>
            </w:r>
          </w:p>
        </w:tc>
        <w:tc>
          <w:tcPr>
            <w:tcW w:w="850" w:type="dxa"/>
            <w:shd w:val="clear" w:color="auto" w:fill="F2F2F2" w:themeFill="background1" w:themeFillShade="F2"/>
          </w:tcPr>
          <w:p w:rsidR="0080252D" w:rsidRPr="001D200B" w:rsidRDefault="0080252D" w:rsidP="00FC15AB">
            <w:pPr>
              <w:spacing w:before="0" w:after="0" w:line="240" w:lineRule="auto"/>
              <w:jc w:val="center"/>
              <w:rPr>
                <w:b/>
                <w:sz w:val="22"/>
                <w:szCs w:val="22"/>
              </w:rPr>
            </w:pPr>
            <w:r w:rsidRPr="001D200B">
              <w:rPr>
                <w:b/>
                <w:sz w:val="22"/>
                <w:szCs w:val="22"/>
              </w:rPr>
              <w:t>2015</w:t>
            </w:r>
          </w:p>
        </w:tc>
        <w:tc>
          <w:tcPr>
            <w:tcW w:w="850" w:type="dxa"/>
            <w:shd w:val="clear" w:color="auto" w:fill="F2F2F2" w:themeFill="background1" w:themeFillShade="F2"/>
          </w:tcPr>
          <w:p w:rsidR="0080252D" w:rsidRPr="001D200B" w:rsidRDefault="0080252D" w:rsidP="00FC15AB">
            <w:pPr>
              <w:spacing w:before="0" w:after="0" w:line="240" w:lineRule="auto"/>
              <w:jc w:val="center"/>
              <w:rPr>
                <w:b/>
                <w:sz w:val="22"/>
                <w:szCs w:val="22"/>
              </w:rPr>
            </w:pPr>
            <w:r w:rsidRPr="001D200B">
              <w:rPr>
                <w:b/>
                <w:sz w:val="22"/>
                <w:szCs w:val="22"/>
              </w:rPr>
              <w:t>2016</w:t>
            </w:r>
          </w:p>
        </w:tc>
        <w:tc>
          <w:tcPr>
            <w:tcW w:w="850" w:type="dxa"/>
            <w:shd w:val="clear" w:color="auto" w:fill="F2F2F2" w:themeFill="background1" w:themeFillShade="F2"/>
          </w:tcPr>
          <w:p w:rsidR="0080252D" w:rsidRPr="001D200B" w:rsidRDefault="0080252D" w:rsidP="00FC15AB">
            <w:pPr>
              <w:spacing w:before="0" w:after="0" w:line="240" w:lineRule="auto"/>
              <w:jc w:val="center"/>
              <w:rPr>
                <w:b/>
                <w:sz w:val="22"/>
                <w:szCs w:val="22"/>
              </w:rPr>
            </w:pPr>
            <w:r w:rsidRPr="001D200B">
              <w:rPr>
                <w:b/>
                <w:sz w:val="22"/>
                <w:szCs w:val="22"/>
              </w:rPr>
              <w:t>2017</w:t>
            </w:r>
          </w:p>
        </w:tc>
        <w:tc>
          <w:tcPr>
            <w:tcW w:w="850" w:type="dxa"/>
            <w:shd w:val="clear" w:color="auto" w:fill="F2F2F2" w:themeFill="background1" w:themeFillShade="F2"/>
          </w:tcPr>
          <w:p w:rsidR="0080252D" w:rsidRPr="001D200B" w:rsidRDefault="0080252D" w:rsidP="00FC15AB">
            <w:pPr>
              <w:spacing w:before="0" w:after="0" w:line="240" w:lineRule="auto"/>
              <w:jc w:val="center"/>
              <w:rPr>
                <w:b/>
                <w:sz w:val="22"/>
                <w:szCs w:val="22"/>
              </w:rPr>
            </w:pPr>
            <w:r w:rsidRPr="001D200B">
              <w:rPr>
                <w:b/>
                <w:sz w:val="22"/>
                <w:szCs w:val="22"/>
              </w:rPr>
              <w:t>2018</w:t>
            </w:r>
          </w:p>
        </w:tc>
      </w:tr>
      <w:tr w:rsidR="0080252D" w:rsidRPr="001D200B" w:rsidTr="00FC15AB">
        <w:tc>
          <w:tcPr>
            <w:tcW w:w="2552" w:type="dxa"/>
          </w:tcPr>
          <w:p w:rsidR="0080252D" w:rsidRPr="001D200B" w:rsidRDefault="0080252D" w:rsidP="00FC15AB">
            <w:pPr>
              <w:spacing w:before="0" w:after="0" w:line="240" w:lineRule="auto"/>
            </w:pPr>
            <w:r w:rsidRPr="001D200B">
              <w:t xml:space="preserve">Długość czynnej sieci gazowej ogółem (m) </w:t>
            </w:r>
          </w:p>
        </w:tc>
        <w:tc>
          <w:tcPr>
            <w:tcW w:w="851" w:type="dxa"/>
            <w:vAlign w:val="center"/>
          </w:tcPr>
          <w:p w:rsidR="0080252D" w:rsidRPr="001D200B" w:rsidRDefault="00F664B5" w:rsidP="00FC15AB">
            <w:pPr>
              <w:spacing w:before="0" w:after="0" w:line="240" w:lineRule="auto"/>
              <w:jc w:val="center"/>
              <w:rPr>
                <w:sz w:val="22"/>
                <w:szCs w:val="22"/>
              </w:rPr>
            </w:pPr>
            <w:r w:rsidRPr="001D200B">
              <w:rPr>
                <w:sz w:val="22"/>
                <w:szCs w:val="22"/>
              </w:rPr>
              <w:t>11652</w:t>
            </w:r>
          </w:p>
        </w:tc>
        <w:tc>
          <w:tcPr>
            <w:tcW w:w="850" w:type="dxa"/>
            <w:vAlign w:val="center"/>
          </w:tcPr>
          <w:p w:rsidR="0080252D" w:rsidRPr="001D200B" w:rsidRDefault="00F664B5" w:rsidP="00FC15AB">
            <w:pPr>
              <w:spacing w:before="0" w:after="0" w:line="240" w:lineRule="auto"/>
              <w:jc w:val="center"/>
              <w:rPr>
                <w:sz w:val="22"/>
                <w:szCs w:val="22"/>
              </w:rPr>
            </w:pPr>
            <w:r w:rsidRPr="001D200B">
              <w:rPr>
                <w:sz w:val="22"/>
                <w:szCs w:val="22"/>
              </w:rPr>
              <w:t>12131</w:t>
            </w:r>
          </w:p>
        </w:tc>
        <w:tc>
          <w:tcPr>
            <w:tcW w:w="851" w:type="dxa"/>
            <w:vAlign w:val="center"/>
          </w:tcPr>
          <w:p w:rsidR="0080252D" w:rsidRPr="001D200B" w:rsidRDefault="00FC15AB" w:rsidP="00FC15AB">
            <w:pPr>
              <w:spacing w:before="0" w:after="0" w:line="240" w:lineRule="auto"/>
              <w:jc w:val="center"/>
              <w:rPr>
                <w:sz w:val="22"/>
                <w:szCs w:val="22"/>
              </w:rPr>
            </w:pPr>
            <w:r w:rsidRPr="001D200B">
              <w:rPr>
                <w:sz w:val="22"/>
                <w:szCs w:val="22"/>
              </w:rPr>
              <w:t>12312</w:t>
            </w:r>
          </w:p>
        </w:tc>
        <w:tc>
          <w:tcPr>
            <w:tcW w:w="850" w:type="dxa"/>
            <w:vAlign w:val="center"/>
          </w:tcPr>
          <w:p w:rsidR="0080252D" w:rsidRPr="001D200B" w:rsidRDefault="00FC15AB" w:rsidP="00FC15AB">
            <w:pPr>
              <w:spacing w:before="0" w:after="0" w:line="240" w:lineRule="auto"/>
              <w:jc w:val="center"/>
              <w:rPr>
                <w:sz w:val="22"/>
                <w:szCs w:val="22"/>
              </w:rPr>
            </w:pPr>
            <w:r w:rsidRPr="001D200B">
              <w:rPr>
                <w:sz w:val="22"/>
                <w:szCs w:val="22"/>
              </w:rPr>
              <w:t>12575</w:t>
            </w:r>
          </w:p>
        </w:tc>
        <w:tc>
          <w:tcPr>
            <w:tcW w:w="851" w:type="dxa"/>
            <w:vAlign w:val="center"/>
          </w:tcPr>
          <w:p w:rsidR="0080252D" w:rsidRPr="001D200B" w:rsidRDefault="00FC15AB" w:rsidP="00FC15AB">
            <w:pPr>
              <w:spacing w:before="0" w:after="0" w:line="240" w:lineRule="auto"/>
              <w:jc w:val="center"/>
              <w:rPr>
                <w:sz w:val="22"/>
                <w:szCs w:val="22"/>
              </w:rPr>
            </w:pPr>
            <w:r w:rsidRPr="001D200B">
              <w:rPr>
                <w:sz w:val="22"/>
                <w:szCs w:val="22"/>
              </w:rPr>
              <w:t>12615</w:t>
            </w:r>
          </w:p>
        </w:tc>
        <w:tc>
          <w:tcPr>
            <w:tcW w:w="850" w:type="dxa"/>
            <w:vAlign w:val="center"/>
          </w:tcPr>
          <w:p w:rsidR="0080252D" w:rsidRPr="001D200B" w:rsidRDefault="00FC15AB" w:rsidP="00FC15AB">
            <w:pPr>
              <w:spacing w:before="0" w:after="0" w:line="240" w:lineRule="auto"/>
              <w:jc w:val="center"/>
              <w:rPr>
                <w:sz w:val="22"/>
                <w:szCs w:val="22"/>
              </w:rPr>
            </w:pPr>
            <w:r w:rsidRPr="001D200B">
              <w:rPr>
                <w:sz w:val="22"/>
                <w:szCs w:val="22"/>
              </w:rPr>
              <w:t>13543</w:t>
            </w:r>
          </w:p>
        </w:tc>
        <w:tc>
          <w:tcPr>
            <w:tcW w:w="850" w:type="dxa"/>
            <w:vAlign w:val="center"/>
          </w:tcPr>
          <w:p w:rsidR="0080252D" w:rsidRPr="001D200B" w:rsidRDefault="00FC15AB" w:rsidP="00FC15AB">
            <w:pPr>
              <w:spacing w:before="0" w:after="0" w:line="240" w:lineRule="auto"/>
              <w:jc w:val="center"/>
              <w:rPr>
                <w:sz w:val="22"/>
                <w:szCs w:val="22"/>
              </w:rPr>
            </w:pPr>
            <w:r w:rsidRPr="001D200B">
              <w:rPr>
                <w:sz w:val="22"/>
                <w:szCs w:val="22"/>
              </w:rPr>
              <w:t>13828</w:t>
            </w:r>
          </w:p>
        </w:tc>
        <w:tc>
          <w:tcPr>
            <w:tcW w:w="850" w:type="dxa"/>
            <w:vAlign w:val="center"/>
          </w:tcPr>
          <w:p w:rsidR="0080252D" w:rsidRPr="001D200B" w:rsidRDefault="00FC15AB" w:rsidP="00FC15AB">
            <w:pPr>
              <w:spacing w:before="0" w:after="0" w:line="240" w:lineRule="auto"/>
              <w:jc w:val="center"/>
              <w:rPr>
                <w:sz w:val="22"/>
                <w:szCs w:val="22"/>
              </w:rPr>
            </w:pPr>
            <w:r w:rsidRPr="001D200B">
              <w:rPr>
                <w:sz w:val="22"/>
                <w:szCs w:val="22"/>
              </w:rPr>
              <w:t>14019</w:t>
            </w:r>
          </w:p>
        </w:tc>
        <w:tc>
          <w:tcPr>
            <w:tcW w:w="850" w:type="dxa"/>
            <w:vAlign w:val="center"/>
          </w:tcPr>
          <w:p w:rsidR="0080252D" w:rsidRPr="001D200B" w:rsidRDefault="00FC15AB" w:rsidP="00FC15AB">
            <w:pPr>
              <w:spacing w:before="0" w:after="0" w:line="240" w:lineRule="auto"/>
              <w:jc w:val="center"/>
              <w:rPr>
                <w:sz w:val="22"/>
                <w:szCs w:val="22"/>
              </w:rPr>
            </w:pPr>
            <w:r w:rsidRPr="001D200B">
              <w:rPr>
                <w:sz w:val="22"/>
                <w:szCs w:val="22"/>
              </w:rPr>
              <w:t>14341</w:t>
            </w:r>
          </w:p>
        </w:tc>
      </w:tr>
      <w:tr w:rsidR="00FC15AB" w:rsidRPr="001D200B" w:rsidTr="00FC15AB">
        <w:trPr>
          <w:trHeight w:val="355"/>
        </w:trPr>
        <w:tc>
          <w:tcPr>
            <w:tcW w:w="2552" w:type="dxa"/>
          </w:tcPr>
          <w:p w:rsidR="00FC15AB" w:rsidRPr="001D200B" w:rsidRDefault="00FC15AB" w:rsidP="00FC15AB">
            <w:pPr>
              <w:spacing w:before="0" w:after="0" w:line="240" w:lineRule="auto"/>
            </w:pPr>
            <w:r w:rsidRPr="001D200B">
              <w:t xml:space="preserve">Długość czynnej sieci gazowej rozdzielczej (m) </w:t>
            </w:r>
          </w:p>
        </w:tc>
        <w:tc>
          <w:tcPr>
            <w:tcW w:w="851" w:type="dxa"/>
            <w:vAlign w:val="center"/>
          </w:tcPr>
          <w:p w:rsidR="00FC15AB" w:rsidRPr="001D200B" w:rsidRDefault="00FC15AB" w:rsidP="00FC15AB">
            <w:pPr>
              <w:spacing w:before="0" w:after="0" w:line="240" w:lineRule="auto"/>
              <w:jc w:val="center"/>
              <w:rPr>
                <w:sz w:val="22"/>
                <w:szCs w:val="22"/>
              </w:rPr>
            </w:pPr>
            <w:r w:rsidRPr="001D200B">
              <w:rPr>
                <w:sz w:val="22"/>
                <w:szCs w:val="22"/>
              </w:rPr>
              <w:t>11652</w:t>
            </w:r>
          </w:p>
        </w:tc>
        <w:tc>
          <w:tcPr>
            <w:tcW w:w="850" w:type="dxa"/>
            <w:vAlign w:val="center"/>
          </w:tcPr>
          <w:p w:rsidR="00FC15AB" w:rsidRPr="001D200B" w:rsidRDefault="00FC15AB" w:rsidP="00FC15AB">
            <w:pPr>
              <w:spacing w:before="0" w:after="0" w:line="240" w:lineRule="auto"/>
              <w:jc w:val="center"/>
              <w:rPr>
                <w:sz w:val="22"/>
                <w:szCs w:val="22"/>
              </w:rPr>
            </w:pPr>
            <w:r w:rsidRPr="001D200B">
              <w:rPr>
                <w:sz w:val="22"/>
                <w:szCs w:val="22"/>
              </w:rPr>
              <w:t>12131</w:t>
            </w:r>
          </w:p>
        </w:tc>
        <w:tc>
          <w:tcPr>
            <w:tcW w:w="851" w:type="dxa"/>
            <w:vAlign w:val="center"/>
          </w:tcPr>
          <w:p w:rsidR="00FC15AB" w:rsidRPr="001D200B" w:rsidRDefault="00FC15AB" w:rsidP="00FC15AB">
            <w:pPr>
              <w:spacing w:before="0" w:after="0" w:line="240" w:lineRule="auto"/>
              <w:jc w:val="center"/>
              <w:rPr>
                <w:sz w:val="22"/>
                <w:szCs w:val="22"/>
              </w:rPr>
            </w:pPr>
            <w:r w:rsidRPr="001D200B">
              <w:rPr>
                <w:sz w:val="22"/>
                <w:szCs w:val="22"/>
              </w:rPr>
              <w:t>12312</w:t>
            </w:r>
          </w:p>
        </w:tc>
        <w:tc>
          <w:tcPr>
            <w:tcW w:w="850" w:type="dxa"/>
            <w:vAlign w:val="center"/>
          </w:tcPr>
          <w:p w:rsidR="00FC15AB" w:rsidRPr="001D200B" w:rsidRDefault="00FC15AB" w:rsidP="00FC15AB">
            <w:pPr>
              <w:spacing w:before="0" w:after="0" w:line="240" w:lineRule="auto"/>
              <w:jc w:val="center"/>
              <w:rPr>
                <w:sz w:val="22"/>
                <w:szCs w:val="22"/>
              </w:rPr>
            </w:pPr>
            <w:r w:rsidRPr="001D200B">
              <w:rPr>
                <w:sz w:val="22"/>
                <w:szCs w:val="22"/>
              </w:rPr>
              <w:t>12575</w:t>
            </w:r>
          </w:p>
        </w:tc>
        <w:tc>
          <w:tcPr>
            <w:tcW w:w="851" w:type="dxa"/>
            <w:vAlign w:val="center"/>
          </w:tcPr>
          <w:p w:rsidR="00FC15AB" w:rsidRPr="001D200B" w:rsidRDefault="00FC15AB" w:rsidP="00FC15AB">
            <w:pPr>
              <w:spacing w:before="0" w:after="0" w:line="240" w:lineRule="auto"/>
              <w:jc w:val="center"/>
              <w:rPr>
                <w:sz w:val="22"/>
                <w:szCs w:val="22"/>
              </w:rPr>
            </w:pPr>
            <w:r w:rsidRPr="001D200B">
              <w:rPr>
                <w:sz w:val="22"/>
                <w:szCs w:val="22"/>
              </w:rPr>
              <w:t>12615</w:t>
            </w:r>
          </w:p>
        </w:tc>
        <w:tc>
          <w:tcPr>
            <w:tcW w:w="850" w:type="dxa"/>
            <w:vAlign w:val="center"/>
          </w:tcPr>
          <w:p w:rsidR="00FC15AB" w:rsidRPr="001D200B" w:rsidRDefault="00FC15AB" w:rsidP="00FC15AB">
            <w:pPr>
              <w:spacing w:before="0" w:after="0" w:line="240" w:lineRule="auto"/>
              <w:jc w:val="center"/>
              <w:rPr>
                <w:sz w:val="22"/>
                <w:szCs w:val="22"/>
              </w:rPr>
            </w:pPr>
            <w:r w:rsidRPr="001D200B">
              <w:rPr>
                <w:sz w:val="22"/>
                <w:szCs w:val="22"/>
              </w:rPr>
              <w:t>13543</w:t>
            </w:r>
          </w:p>
        </w:tc>
        <w:tc>
          <w:tcPr>
            <w:tcW w:w="850" w:type="dxa"/>
            <w:vAlign w:val="center"/>
          </w:tcPr>
          <w:p w:rsidR="00FC15AB" w:rsidRPr="001D200B" w:rsidRDefault="00FC15AB" w:rsidP="00FC15AB">
            <w:pPr>
              <w:spacing w:before="0" w:after="0" w:line="240" w:lineRule="auto"/>
              <w:jc w:val="center"/>
              <w:rPr>
                <w:sz w:val="22"/>
                <w:szCs w:val="22"/>
              </w:rPr>
            </w:pPr>
            <w:r w:rsidRPr="001D200B">
              <w:rPr>
                <w:sz w:val="22"/>
                <w:szCs w:val="22"/>
              </w:rPr>
              <w:t>13828</w:t>
            </w:r>
          </w:p>
        </w:tc>
        <w:tc>
          <w:tcPr>
            <w:tcW w:w="850" w:type="dxa"/>
            <w:vAlign w:val="center"/>
          </w:tcPr>
          <w:p w:rsidR="00FC15AB" w:rsidRPr="001D200B" w:rsidRDefault="00FC15AB" w:rsidP="00FC15AB">
            <w:pPr>
              <w:spacing w:before="0" w:after="0" w:line="240" w:lineRule="auto"/>
              <w:jc w:val="center"/>
              <w:rPr>
                <w:sz w:val="22"/>
                <w:szCs w:val="22"/>
              </w:rPr>
            </w:pPr>
            <w:r w:rsidRPr="001D200B">
              <w:rPr>
                <w:sz w:val="22"/>
                <w:szCs w:val="22"/>
              </w:rPr>
              <w:t>14019</w:t>
            </w:r>
          </w:p>
        </w:tc>
        <w:tc>
          <w:tcPr>
            <w:tcW w:w="850" w:type="dxa"/>
            <w:vAlign w:val="center"/>
          </w:tcPr>
          <w:p w:rsidR="00FC15AB" w:rsidRPr="001D200B" w:rsidRDefault="00FC15AB" w:rsidP="00FC15AB">
            <w:pPr>
              <w:spacing w:before="0" w:after="0" w:line="240" w:lineRule="auto"/>
              <w:jc w:val="center"/>
              <w:rPr>
                <w:sz w:val="22"/>
                <w:szCs w:val="22"/>
              </w:rPr>
            </w:pPr>
            <w:r w:rsidRPr="001D200B">
              <w:rPr>
                <w:sz w:val="22"/>
                <w:szCs w:val="22"/>
              </w:rPr>
              <w:t>14341</w:t>
            </w:r>
          </w:p>
        </w:tc>
      </w:tr>
      <w:tr w:rsidR="0080252D" w:rsidRPr="001D200B" w:rsidTr="00FC15AB">
        <w:tc>
          <w:tcPr>
            <w:tcW w:w="2552" w:type="dxa"/>
          </w:tcPr>
          <w:p w:rsidR="0080252D" w:rsidRPr="001D200B" w:rsidRDefault="0080252D" w:rsidP="00FC15AB">
            <w:pPr>
              <w:spacing w:before="0" w:after="0" w:line="240" w:lineRule="auto"/>
            </w:pPr>
            <w:r w:rsidRPr="001D200B">
              <w:t>Czynne przyłącza do budynków mieszkalnych i niemieszkalnych (szt.)</w:t>
            </w:r>
          </w:p>
        </w:tc>
        <w:tc>
          <w:tcPr>
            <w:tcW w:w="851" w:type="dxa"/>
            <w:vAlign w:val="center"/>
          </w:tcPr>
          <w:p w:rsidR="0080252D" w:rsidRPr="001D200B" w:rsidRDefault="00FC15AB" w:rsidP="00FC15AB">
            <w:pPr>
              <w:spacing w:before="0" w:after="0" w:line="240" w:lineRule="auto"/>
              <w:jc w:val="center"/>
              <w:rPr>
                <w:sz w:val="22"/>
                <w:szCs w:val="22"/>
              </w:rPr>
            </w:pPr>
            <w:r w:rsidRPr="001D200B">
              <w:rPr>
                <w:sz w:val="22"/>
                <w:szCs w:val="22"/>
              </w:rPr>
              <w:t>21</w:t>
            </w:r>
          </w:p>
        </w:tc>
        <w:tc>
          <w:tcPr>
            <w:tcW w:w="850" w:type="dxa"/>
            <w:vAlign w:val="center"/>
          </w:tcPr>
          <w:p w:rsidR="0080252D" w:rsidRPr="001D200B" w:rsidRDefault="00FC15AB" w:rsidP="00FC15AB">
            <w:pPr>
              <w:spacing w:before="0" w:after="0" w:line="240" w:lineRule="auto"/>
              <w:jc w:val="center"/>
              <w:rPr>
                <w:sz w:val="22"/>
                <w:szCs w:val="22"/>
              </w:rPr>
            </w:pPr>
            <w:r w:rsidRPr="001D200B">
              <w:rPr>
                <w:sz w:val="22"/>
                <w:szCs w:val="22"/>
              </w:rPr>
              <w:t>27</w:t>
            </w:r>
          </w:p>
        </w:tc>
        <w:tc>
          <w:tcPr>
            <w:tcW w:w="851" w:type="dxa"/>
            <w:vAlign w:val="center"/>
          </w:tcPr>
          <w:p w:rsidR="0080252D" w:rsidRPr="001D200B" w:rsidRDefault="00FC15AB" w:rsidP="00FC15AB">
            <w:pPr>
              <w:spacing w:before="0" w:after="0" w:line="240" w:lineRule="auto"/>
              <w:jc w:val="center"/>
              <w:rPr>
                <w:sz w:val="22"/>
                <w:szCs w:val="22"/>
              </w:rPr>
            </w:pPr>
            <w:r w:rsidRPr="001D200B">
              <w:rPr>
                <w:sz w:val="22"/>
                <w:szCs w:val="22"/>
              </w:rPr>
              <w:t>29</w:t>
            </w:r>
          </w:p>
        </w:tc>
        <w:tc>
          <w:tcPr>
            <w:tcW w:w="850" w:type="dxa"/>
            <w:vAlign w:val="center"/>
          </w:tcPr>
          <w:p w:rsidR="0080252D" w:rsidRPr="001D200B" w:rsidRDefault="00FC15AB" w:rsidP="00FC15AB">
            <w:pPr>
              <w:spacing w:before="0" w:after="0" w:line="240" w:lineRule="auto"/>
              <w:jc w:val="center"/>
              <w:rPr>
                <w:sz w:val="22"/>
                <w:szCs w:val="22"/>
              </w:rPr>
            </w:pPr>
            <w:r w:rsidRPr="001D200B">
              <w:rPr>
                <w:sz w:val="22"/>
                <w:szCs w:val="22"/>
              </w:rPr>
              <w:t>36</w:t>
            </w:r>
          </w:p>
        </w:tc>
        <w:tc>
          <w:tcPr>
            <w:tcW w:w="851" w:type="dxa"/>
            <w:vAlign w:val="center"/>
          </w:tcPr>
          <w:p w:rsidR="0080252D" w:rsidRPr="001D200B" w:rsidRDefault="00FC15AB" w:rsidP="00FC15AB">
            <w:pPr>
              <w:spacing w:before="0" w:after="0" w:line="240" w:lineRule="auto"/>
              <w:jc w:val="center"/>
              <w:rPr>
                <w:sz w:val="22"/>
                <w:szCs w:val="22"/>
              </w:rPr>
            </w:pPr>
            <w:r w:rsidRPr="001D200B">
              <w:rPr>
                <w:sz w:val="22"/>
                <w:szCs w:val="22"/>
              </w:rPr>
              <w:t>43</w:t>
            </w:r>
          </w:p>
        </w:tc>
        <w:tc>
          <w:tcPr>
            <w:tcW w:w="850" w:type="dxa"/>
            <w:vAlign w:val="center"/>
          </w:tcPr>
          <w:p w:rsidR="0080252D" w:rsidRPr="001D200B" w:rsidRDefault="00FC15AB" w:rsidP="00FC15AB">
            <w:pPr>
              <w:spacing w:before="0" w:after="0" w:line="240" w:lineRule="auto"/>
              <w:jc w:val="center"/>
              <w:rPr>
                <w:sz w:val="22"/>
                <w:szCs w:val="22"/>
              </w:rPr>
            </w:pPr>
            <w:r w:rsidRPr="001D200B">
              <w:rPr>
                <w:sz w:val="22"/>
                <w:szCs w:val="22"/>
              </w:rPr>
              <w:t>65</w:t>
            </w:r>
          </w:p>
        </w:tc>
        <w:tc>
          <w:tcPr>
            <w:tcW w:w="850" w:type="dxa"/>
            <w:vAlign w:val="center"/>
          </w:tcPr>
          <w:p w:rsidR="0080252D" w:rsidRPr="001D200B" w:rsidRDefault="00FC15AB" w:rsidP="00FC15AB">
            <w:pPr>
              <w:spacing w:before="0" w:after="0" w:line="240" w:lineRule="auto"/>
              <w:jc w:val="center"/>
              <w:rPr>
                <w:sz w:val="22"/>
                <w:szCs w:val="22"/>
              </w:rPr>
            </w:pPr>
            <w:r w:rsidRPr="001D200B">
              <w:rPr>
                <w:sz w:val="22"/>
                <w:szCs w:val="22"/>
              </w:rPr>
              <w:t>76</w:t>
            </w:r>
          </w:p>
        </w:tc>
        <w:tc>
          <w:tcPr>
            <w:tcW w:w="850" w:type="dxa"/>
            <w:vAlign w:val="center"/>
          </w:tcPr>
          <w:p w:rsidR="0080252D" w:rsidRPr="001D200B" w:rsidRDefault="00FC15AB" w:rsidP="00FC15AB">
            <w:pPr>
              <w:spacing w:before="0" w:after="0" w:line="240" w:lineRule="auto"/>
              <w:jc w:val="center"/>
              <w:rPr>
                <w:sz w:val="22"/>
                <w:szCs w:val="22"/>
              </w:rPr>
            </w:pPr>
            <w:r w:rsidRPr="001D200B">
              <w:rPr>
                <w:sz w:val="22"/>
                <w:szCs w:val="22"/>
              </w:rPr>
              <w:t>82</w:t>
            </w:r>
          </w:p>
        </w:tc>
        <w:tc>
          <w:tcPr>
            <w:tcW w:w="850" w:type="dxa"/>
            <w:vAlign w:val="center"/>
          </w:tcPr>
          <w:p w:rsidR="0080252D" w:rsidRPr="001D200B" w:rsidRDefault="00FC15AB" w:rsidP="00FC15AB">
            <w:pPr>
              <w:spacing w:before="0" w:after="0" w:line="240" w:lineRule="auto"/>
              <w:jc w:val="center"/>
              <w:rPr>
                <w:sz w:val="22"/>
                <w:szCs w:val="22"/>
              </w:rPr>
            </w:pPr>
            <w:r w:rsidRPr="001D200B">
              <w:rPr>
                <w:sz w:val="22"/>
                <w:szCs w:val="22"/>
              </w:rPr>
              <w:t>87</w:t>
            </w:r>
          </w:p>
        </w:tc>
      </w:tr>
      <w:tr w:rsidR="0080252D" w:rsidRPr="001D200B" w:rsidTr="00FC15AB">
        <w:tc>
          <w:tcPr>
            <w:tcW w:w="2552" w:type="dxa"/>
          </w:tcPr>
          <w:p w:rsidR="0080252D" w:rsidRPr="001D200B" w:rsidRDefault="0080252D" w:rsidP="00FC15AB">
            <w:pPr>
              <w:spacing w:before="0" w:after="0" w:line="240" w:lineRule="auto"/>
              <w:rPr>
                <w:rFonts w:cstheme="minorHAnsi"/>
              </w:rPr>
            </w:pPr>
            <w:r w:rsidRPr="001D200B">
              <w:t>Czynne przyłącza do budynków mieszkalnych (szt.)</w:t>
            </w:r>
          </w:p>
        </w:tc>
        <w:tc>
          <w:tcPr>
            <w:tcW w:w="3402" w:type="dxa"/>
            <w:gridSpan w:val="4"/>
            <w:shd w:val="clear" w:color="auto" w:fill="D9D9D9" w:themeFill="background1" w:themeFillShade="D9"/>
            <w:vAlign w:val="center"/>
          </w:tcPr>
          <w:p w:rsidR="0080252D" w:rsidRPr="001D200B" w:rsidRDefault="0080252D" w:rsidP="00FC15AB">
            <w:pPr>
              <w:spacing w:before="0" w:after="0" w:line="240" w:lineRule="auto"/>
              <w:jc w:val="center"/>
              <w:rPr>
                <w:sz w:val="22"/>
                <w:szCs w:val="22"/>
              </w:rPr>
            </w:pPr>
          </w:p>
        </w:tc>
        <w:tc>
          <w:tcPr>
            <w:tcW w:w="851" w:type="dxa"/>
            <w:vAlign w:val="center"/>
          </w:tcPr>
          <w:p w:rsidR="0080252D" w:rsidRPr="001D200B" w:rsidRDefault="00FC15AB" w:rsidP="00FC15AB">
            <w:pPr>
              <w:spacing w:before="0" w:after="0" w:line="240" w:lineRule="auto"/>
              <w:jc w:val="center"/>
              <w:rPr>
                <w:sz w:val="22"/>
                <w:szCs w:val="22"/>
              </w:rPr>
            </w:pPr>
            <w:r w:rsidRPr="001D200B">
              <w:rPr>
                <w:sz w:val="22"/>
                <w:szCs w:val="22"/>
              </w:rPr>
              <w:t>33</w:t>
            </w:r>
          </w:p>
        </w:tc>
        <w:tc>
          <w:tcPr>
            <w:tcW w:w="850" w:type="dxa"/>
            <w:vAlign w:val="center"/>
          </w:tcPr>
          <w:p w:rsidR="0080252D" w:rsidRPr="001D200B" w:rsidRDefault="00FC15AB" w:rsidP="00FC15AB">
            <w:pPr>
              <w:spacing w:before="0" w:after="0" w:line="240" w:lineRule="auto"/>
              <w:jc w:val="center"/>
              <w:rPr>
                <w:sz w:val="22"/>
                <w:szCs w:val="22"/>
              </w:rPr>
            </w:pPr>
            <w:r w:rsidRPr="001D200B">
              <w:rPr>
                <w:sz w:val="22"/>
                <w:szCs w:val="22"/>
              </w:rPr>
              <w:t>54</w:t>
            </w:r>
          </w:p>
        </w:tc>
        <w:tc>
          <w:tcPr>
            <w:tcW w:w="850" w:type="dxa"/>
            <w:vAlign w:val="center"/>
          </w:tcPr>
          <w:p w:rsidR="0080252D" w:rsidRPr="001D200B" w:rsidRDefault="00FC15AB" w:rsidP="00FC15AB">
            <w:pPr>
              <w:spacing w:before="0" w:after="0" w:line="240" w:lineRule="auto"/>
              <w:jc w:val="center"/>
              <w:rPr>
                <w:sz w:val="22"/>
                <w:szCs w:val="22"/>
              </w:rPr>
            </w:pPr>
            <w:r w:rsidRPr="001D200B">
              <w:rPr>
                <w:sz w:val="22"/>
                <w:szCs w:val="22"/>
              </w:rPr>
              <w:t>69</w:t>
            </w:r>
          </w:p>
        </w:tc>
        <w:tc>
          <w:tcPr>
            <w:tcW w:w="850" w:type="dxa"/>
            <w:vAlign w:val="center"/>
          </w:tcPr>
          <w:p w:rsidR="0080252D" w:rsidRPr="001D200B" w:rsidRDefault="00FC15AB" w:rsidP="00FC15AB">
            <w:pPr>
              <w:spacing w:before="0" w:after="0" w:line="240" w:lineRule="auto"/>
              <w:jc w:val="center"/>
              <w:rPr>
                <w:sz w:val="22"/>
                <w:szCs w:val="22"/>
              </w:rPr>
            </w:pPr>
            <w:r w:rsidRPr="001D200B">
              <w:rPr>
                <w:sz w:val="22"/>
                <w:szCs w:val="22"/>
              </w:rPr>
              <w:t>76</w:t>
            </w:r>
          </w:p>
        </w:tc>
        <w:tc>
          <w:tcPr>
            <w:tcW w:w="850" w:type="dxa"/>
            <w:vAlign w:val="center"/>
          </w:tcPr>
          <w:p w:rsidR="0080252D" w:rsidRPr="001D200B" w:rsidRDefault="00FC15AB" w:rsidP="00FC15AB">
            <w:pPr>
              <w:spacing w:before="0" w:after="0" w:line="240" w:lineRule="auto"/>
              <w:jc w:val="center"/>
              <w:rPr>
                <w:sz w:val="22"/>
                <w:szCs w:val="22"/>
              </w:rPr>
            </w:pPr>
            <w:r w:rsidRPr="001D200B">
              <w:rPr>
                <w:sz w:val="22"/>
                <w:szCs w:val="22"/>
              </w:rPr>
              <w:t>81</w:t>
            </w:r>
          </w:p>
        </w:tc>
      </w:tr>
      <w:tr w:rsidR="0080252D" w:rsidRPr="001D200B" w:rsidTr="00FC15AB">
        <w:tc>
          <w:tcPr>
            <w:tcW w:w="2552" w:type="dxa"/>
          </w:tcPr>
          <w:p w:rsidR="0080252D" w:rsidRPr="001D200B" w:rsidRDefault="0080252D" w:rsidP="00FC15AB">
            <w:pPr>
              <w:spacing w:before="0" w:after="0" w:line="240" w:lineRule="auto"/>
            </w:pPr>
            <w:r w:rsidRPr="001D200B">
              <w:t>Ludność korzystająca z sieci gazowej (szt.)</w:t>
            </w:r>
          </w:p>
        </w:tc>
        <w:tc>
          <w:tcPr>
            <w:tcW w:w="851" w:type="dxa"/>
            <w:vAlign w:val="center"/>
          </w:tcPr>
          <w:p w:rsidR="0080252D" w:rsidRPr="001D200B" w:rsidRDefault="00FC15AB" w:rsidP="00FC15AB">
            <w:pPr>
              <w:spacing w:before="0" w:after="0" w:line="240" w:lineRule="auto"/>
              <w:jc w:val="center"/>
              <w:rPr>
                <w:sz w:val="22"/>
                <w:szCs w:val="22"/>
              </w:rPr>
            </w:pPr>
            <w:r w:rsidRPr="001D200B">
              <w:rPr>
                <w:sz w:val="22"/>
                <w:szCs w:val="22"/>
              </w:rPr>
              <w:t>51</w:t>
            </w:r>
          </w:p>
        </w:tc>
        <w:tc>
          <w:tcPr>
            <w:tcW w:w="850" w:type="dxa"/>
            <w:vAlign w:val="center"/>
          </w:tcPr>
          <w:p w:rsidR="0080252D" w:rsidRPr="001D200B" w:rsidRDefault="00FC15AB" w:rsidP="00FC15AB">
            <w:pPr>
              <w:spacing w:before="0" w:after="0" w:line="240" w:lineRule="auto"/>
              <w:jc w:val="center"/>
              <w:rPr>
                <w:sz w:val="22"/>
                <w:szCs w:val="22"/>
              </w:rPr>
            </w:pPr>
            <w:r w:rsidRPr="001D200B">
              <w:rPr>
                <w:sz w:val="22"/>
                <w:szCs w:val="22"/>
              </w:rPr>
              <w:t>66</w:t>
            </w:r>
          </w:p>
        </w:tc>
        <w:tc>
          <w:tcPr>
            <w:tcW w:w="851" w:type="dxa"/>
            <w:vAlign w:val="center"/>
          </w:tcPr>
          <w:p w:rsidR="0080252D" w:rsidRPr="001D200B" w:rsidRDefault="00FC15AB" w:rsidP="00FC15AB">
            <w:pPr>
              <w:spacing w:before="0" w:after="0" w:line="240" w:lineRule="auto"/>
              <w:jc w:val="center"/>
              <w:rPr>
                <w:sz w:val="22"/>
                <w:szCs w:val="22"/>
              </w:rPr>
            </w:pPr>
            <w:r w:rsidRPr="001D200B">
              <w:rPr>
                <w:sz w:val="22"/>
                <w:szCs w:val="22"/>
              </w:rPr>
              <w:t>71</w:t>
            </w:r>
          </w:p>
        </w:tc>
        <w:tc>
          <w:tcPr>
            <w:tcW w:w="850" w:type="dxa"/>
            <w:vAlign w:val="center"/>
          </w:tcPr>
          <w:p w:rsidR="0080252D" w:rsidRPr="001D200B" w:rsidRDefault="00FC15AB" w:rsidP="00FC15AB">
            <w:pPr>
              <w:spacing w:before="0" w:after="0" w:line="240" w:lineRule="auto"/>
              <w:jc w:val="center"/>
              <w:rPr>
                <w:sz w:val="22"/>
                <w:szCs w:val="22"/>
              </w:rPr>
            </w:pPr>
            <w:r w:rsidRPr="001D200B">
              <w:rPr>
                <w:sz w:val="22"/>
                <w:szCs w:val="22"/>
              </w:rPr>
              <w:t>92</w:t>
            </w:r>
          </w:p>
        </w:tc>
        <w:tc>
          <w:tcPr>
            <w:tcW w:w="851" w:type="dxa"/>
            <w:vAlign w:val="center"/>
          </w:tcPr>
          <w:p w:rsidR="0080252D" w:rsidRPr="001D200B" w:rsidRDefault="00FC15AB" w:rsidP="00FC15AB">
            <w:pPr>
              <w:spacing w:before="0" w:after="0" w:line="240" w:lineRule="auto"/>
              <w:jc w:val="center"/>
              <w:rPr>
                <w:sz w:val="22"/>
                <w:szCs w:val="22"/>
              </w:rPr>
            </w:pPr>
            <w:r w:rsidRPr="001D200B">
              <w:rPr>
                <w:sz w:val="22"/>
                <w:szCs w:val="22"/>
              </w:rPr>
              <w:t>105</w:t>
            </w:r>
          </w:p>
        </w:tc>
        <w:tc>
          <w:tcPr>
            <w:tcW w:w="850" w:type="dxa"/>
            <w:vAlign w:val="center"/>
          </w:tcPr>
          <w:p w:rsidR="0080252D" w:rsidRPr="001D200B" w:rsidRDefault="00FC15AB" w:rsidP="00FC15AB">
            <w:pPr>
              <w:spacing w:before="0" w:after="0" w:line="240" w:lineRule="auto"/>
              <w:jc w:val="center"/>
              <w:rPr>
                <w:sz w:val="22"/>
                <w:szCs w:val="22"/>
              </w:rPr>
            </w:pPr>
            <w:r w:rsidRPr="001D200B">
              <w:rPr>
                <w:sz w:val="22"/>
                <w:szCs w:val="22"/>
              </w:rPr>
              <w:t>158</w:t>
            </w:r>
          </w:p>
        </w:tc>
        <w:tc>
          <w:tcPr>
            <w:tcW w:w="850" w:type="dxa"/>
            <w:vAlign w:val="center"/>
          </w:tcPr>
          <w:p w:rsidR="0080252D" w:rsidRPr="001D200B" w:rsidRDefault="00FC15AB" w:rsidP="00FC15AB">
            <w:pPr>
              <w:spacing w:before="0" w:after="0" w:line="240" w:lineRule="auto"/>
              <w:jc w:val="center"/>
              <w:rPr>
                <w:sz w:val="22"/>
                <w:szCs w:val="22"/>
              </w:rPr>
            </w:pPr>
            <w:r w:rsidRPr="001D200B">
              <w:rPr>
                <w:sz w:val="22"/>
                <w:szCs w:val="22"/>
              </w:rPr>
              <w:t>189</w:t>
            </w:r>
          </w:p>
        </w:tc>
        <w:tc>
          <w:tcPr>
            <w:tcW w:w="850" w:type="dxa"/>
            <w:vAlign w:val="center"/>
          </w:tcPr>
          <w:p w:rsidR="0080252D" w:rsidRPr="001D200B" w:rsidRDefault="00FC15AB" w:rsidP="00FC15AB">
            <w:pPr>
              <w:spacing w:before="0" w:after="0" w:line="240" w:lineRule="auto"/>
              <w:jc w:val="center"/>
              <w:rPr>
                <w:sz w:val="22"/>
                <w:szCs w:val="22"/>
              </w:rPr>
            </w:pPr>
            <w:r w:rsidRPr="001D200B">
              <w:rPr>
                <w:sz w:val="22"/>
                <w:szCs w:val="22"/>
              </w:rPr>
              <w:t>211</w:t>
            </w:r>
          </w:p>
        </w:tc>
        <w:tc>
          <w:tcPr>
            <w:tcW w:w="850" w:type="dxa"/>
            <w:vAlign w:val="center"/>
          </w:tcPr>
          <w:p w:rsidR="0080252D" w:rsidRPr="001D200B" w:rsidRDefault="00FC15AB" w:rsidP="00FC15AB">
            <w:pPr>
              <w:spacing w:before="0" w:after="0" w:line="240" w:lineRule="auto"/>
              <w:jc w:val="center"/>
              <w:rPr>
                <w:sz w:val="22"/>
                <w:szCs w:val="22"/>
              </w:rPr>
            </w:pPr>
            <w:r w:rsidRPr="001D200B">
              <w:rPr>
                <w:sz w:val="22"/>
                <w:szCs w:val="22"/>
              </w:rPr>
              <w:t>220</w:t>
            </w:r>
          </w:p>
        </w:tc>
      </w:tr>
    </w:tbl>
    <w:p w:rsidR="0080252D" w:rsidRPr="001D200B" w:rsidRDefault="0080252D" w:rsidP="0080252D">
      <w:pPr>
        <w:pStyle w:val="podtabelk"/>
      </w:pPr>
      <w:r w:rsidRPr="001D200B">
        <w:t xml:space="preserve">Źródło: GUS: </w:t>
      </w:r>
      <w:hyperlink r:id="rId52" w:history="1">
        <w:r w:rsidRPr="001D200B">
          <w:rPr>
            <w:rStyle w:val="Hipercze"/>
            <w:rFonts w:asciiTheme="minorHAnsi" w:hAnsiTheme="minorHAnsi" w:cstheme="minorHAnsi"/>
            <w:color w:val="auto"/>
            <w:u w:val="none"/>
          </w:rPr>
          <w:t>www.stat.gov.pl</w:t>
        </w:r>
      </w:hyperlink>
    </w:p>
    <w:p w:rsidR="00417ACA" w:rsidRPr="001D200B" w:rsidRDefault="00417ACA" w:rsidP="00417ACA">
      <w:pPr>
        <w:shd w:val="clear" w:color="auto" w:fill="F2F2F2" w:themeFill="background1" w:themeFillShade="F2"/>
        <w:rPr>
          <w:b/>
          <w:i/>
        </w:rPr>
      </w:pPr>
      <w:r w:rsidRPr="001D200B">
        <w:rPr>
          <w:b/>
          <w:i/>
        </w:rPr>
        <w:t>Bilans zużycia gazu w podziale na poszczególne grupy odbiorców i cele konsumpcyjne</w:t>
      </w:r>
    </w:p>
    <w:p w:rsidR="007B0781" w:rsidRPr="001D200B" w:rsidRDefault="007B0781" w:rsidP="007B0781">
      <w:r w:rsidRPr="001D200B">
        <w:t xml:space="preserve">PSG sp. z o.o. Oddział Zakład Gazowniczy w Kielcach, doprowadza gaz ziemny łącznie do </w:t>
      </w:r>
      <w:r w:rsidR="00563C80" w:rsidRPr="001D200B">
        <w:t>99</w:t>
      </w:r>
      <w:r w:rsidRPr="001D200B">
        <w:t xml:space="preserve"> odbiorców zlokalizowanych na terenie gminy </w:t>
      </w:r>
      <w:r w:rsidR="00563C80" w:rsidRPr="001D200B">
        <w:t xml:space="preserve">Połaniec </w:t>
      </w:r>
      <w:r w:rsidRPr="001D200B">
        <w:t xml:space="preserve">(stan na koniec 2018r.). Najliczniejszą grupę odbiorców gazu ziemnego stanowią gospodarstwa domowe (ok. </w:t>
      </w:r>
      <w:r w:rsidR="00563C80" w:rsidRPr="001D200B">
        <w:t>78</w:t>
      </w:r>
      <w:r w:rsidRPr="001D200B">
        <w:t>% wszystkich użytkowników gazu ziemnego), którzy</w:t>
      </w:r>
      <w:r w:rsidR="00F46080" w:rsidRPr="001D200B">
        <w:t xml:space="preserve"> w 2018 roku </w:t>
      </w:r>
      <w:r w:rsidRPr="001D200B">
        <w:t>zuży</w:t>
      </w:r>
      <w:r w:rsidR="00F46080" w:rsidRPr="001D200B">
        <w:t>li</w:t>
      </w:r>
      <w:r w:rsidRPr="001D200B">
        <w:t xml:space="preserve"> około 7</w:t>
      </w:r>
      <w:r w:rsidR="00563C80" w:rsidRPr="001D200B">
        <w:t>2</w:t>
      </w:r>
      <w:r w:rsidRPr="001D200B">
        <w:t>% gazu dostarczanego na teren gminy.</w:t>
      </w:r>
      <w:r w:rsidR="00102972" w:rsidRPr="001D200B">
        <w:t xml:space="preserve"> Zużycie gazu przez użytkowników domowych systematycznie rośnie. </w:t>
      </w:r>
    </w:p>
    <w:p w:rsidR="00F46080" w:rsidRPr="001D200B" w:rsidRDefault="00F46080" w:rsidP="007B0781">
      <w:r w:rsidRPr="001D200B">
        <w:lastRenderedPageBreak/>
        <w:t>Znaczny spadek zużycia gazu</w:t>
      </w:r>
      <w:r w:rsidR="00391AFD" w:rsidRPr="001D200B">
        <w:t xml:space="preserve"> ziemnego</w:t>
      </w:r>
      <w:r w:rsidRPr="001D200B">
        <w:t xml:space="preserve"> na ternie gminy nastąpił w latach 2015-2016</w:t>
      </w:r>
      <w:r w:rsidR="00391AFD" w:rsidRPr="001D200B">
        <w:t xml:space="preserve"> – redukcja zapotrzebowania po stronie „dużego odbiorcy” z sektora „przemysł i budownictwo”. </w:t>
      </w:r>
    </w:p>
    <w:p w:rsidR="00FE2D0A" w:rsidRPr="001D200B" w:rsidRDefault="00563C80" w:rsidP="00563C80">
      <w:pPr>
        <w:pStyle w:val="Legenda"/>
        <w:rPr>
          <w:rFonts w:cstheme="minorHAnsi"/>
          <w:color w:val="auto"/>
          <w:highlight w:val="yellow"/>
        </w:rPr>
      </w:pPr>
      <w:bookmarkStart w:id="71" w:name="_Toc39476578"/>
      <w:r w:rsidRPr="001D200B">
        <w:rPr>
          <w:color w:val="auto"/>
        </w:rPr>
        <w:t xml:space="preserve">Tabela </w:t>
      </w:r>
      <w:r w:rsidR="005B7234" w:rsidRPr="001D200B">
        <w:rPr>
          <w:color w:val="auto"/>
        </w:rPr>
        <w:fldChar w:fldCharType="begin"/>
      </w:r>
      <w:r w:rsidR="005B7234" w:rsidRPr="001D200B">
        <w:rPr>
          <w:color w:val="auto"/>
        </w:rPr>
        <w:instrText xml:space="preserve"> SEQ Tabela \* ARABIC </w:instrText>
      </w:r>
      <w:r w:rsidR="005B7234" w:rsidRPr="001D200B">
        <w:rPr>
          <w:color w:val="auto"/>
        </w:rPr>
        <w:fldChar w:fldCharType="separate"/>
      </w:r>
      <w:r w:rsidR="00D2721B" w:rsidRPr="001D200B">
        <w:rPr>
          <w:noProof/>
          <w:color w:val="auto"/>
        </w:rPr>
        <w:t>26</w:t>
      </w:r>
      <w:r w:rsidR="005B7234" w:rsidRPr="001D200B">
        <w:rPr>
          <w:color w:val="auto"/>
        </w:rPr>
        <w:fldChar w:fldCharType="end"/>
      </w:r>
      <w:r w:rsidRPr="001D200B">
        <w:rPr>
          <w:color w:val="auto"/>
        </w:rPr>
        <w:t>. Zestawienie odbiorców gazu ziemnego w latach 2015 – 2018 z podziałem na podstawowe grupy użytkowników</w:t>
      </w:r>
      <w:bookmarkEnd w:id="71"/>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08"/>
        <w:gridCol w:w="1701"/>
        <w:gridCol w:w="1275"/>
        <w:gridCol w:w="1843"/>
        <w:gridCol w:w="1701"/>
        <w:gridCol w:w="1701"/>
      </w:tblGrid>
      <w:tr w:rsidR="00563C80" w:rsidRPr="00DC79E0" w:rsidTr="008E7320">
        <w:trPr>
          <w:trHeight w:hRule="exact" w:val="340"/>
        </w:trPr>
        <w:tc>
          <w:tcPr>
            <w:tcW w:w="9229" w:type="dxa"/>
            <w:gridSpan w:val="6"/>
            <w:shd w:val="clear" w:color="auto" w:fill="D9D9D9" w:themeFill="background1" w:themeFillShade="D9"/>
            <w:noWrap/>
            <w:vAlign w:val="bottom"/>
            <w:hideMark/>
          </w:tcPr>
          <w:p w:rsidR="00563C80" w:rsidRPr="00DC79E0" w:rsidRDefault="00563C80" w:rsidP="008E7320">
            <w:pPr>
              <w:spacing w:before="0" w:after="0" w:line="240" w:lineRule="auto"/>
              <w:jc w:val="center"/>
              <w:rPr>
                <w:rFonts w:cstheme="minorHAnsi"/>
                <w:b/>
                <w:sz w:val="22"/>
                <w:szCs w:val="22"/>
              </w:rPr>
            </w:pPr>
            <w:r w:rsidRPr="00DC79E0">
              <w:rPr>
                <w:rFonts w:cstheme="minorHAnsi"/>
                <w:b/>
                <w:sz w:val="22"/>
                <w:szCs w:val="22"/>
              </w:rPr>
              <w:t>UŻYTKOWNICY GAZU</w:t>
            </w:r>
          </w:p>
        </w:tc>
      </w:tr>
      <w:tr w:rsidR="00563C80" w:rsidRPr="00DC79E0" w:rsidTr="008E7320">
        <w:trPr>
          <w:trHeight w:val="570"/>
        </w:trPr>
        <w:tc>
          <w:tcPr>
            <w:tcW w:w="2709" w:type="dxa"/>
            <w:gridSpan w:val="2"/>
            <w:shd w:val="clear" w:color="auto" w:fill="F2F2F2" w:themeFill="background1" w:themeFillShade="F2"/>
            <w:noWrap/>
            <w:vAlign w:val="bottom"/>
            <w:hideMark/>
          </w:tcPr>
          <w:p w:rsidR="00563C80" w:rsidRPr="00DC79E0" w:rsidRDefault="00563C80" w:rsidP="008E7320">
            <w:pPr>
              <w:spacing w:before="0" w:after="0" w:line="240" w:lineRule="auto"/>
              <w:rPr>
                <w:rFonts w:cstheme="minorHAnsi"/>
                <w:sz w:val="22"/>
                <w:szCs w:val="22"/>
              </w:rPr>
            </w:pPr>
          </w:p>
        </w:tc>
        <w:tc>
          <w:tcPr>
            <w:tcW w:w="1275" w:type="dxa"/>
            <w:shd w:val="clear" w:color="auto" w:fill="F2F2F2" w:themeFill="background1" w:themeFillShade="F2"/>
            <w:noWrap/>
            <w:vAlign w:val="center"/>
            <w:hideMark/>
          </w:tcPr>
          <w:p w:rsidR="00563C80" w:rsidRPr="00DC79E0" w:rsidRDefault="00563C80" w:rsidP="008E7320">
            <w:pPr>
              <w:spacing w:before="0" w:after="0" w:line="240" w:lineRule="auto"/>
              <w:jc w:val="center"/>
              <w:rPr>
                <w:rFonts w:cstheme="minorHAnsi"/>
                <w:b/>
                <w:sz w:val="22"/>
                <w:szCs w:val="22"/>
              </w:rPr>
            </w:pPr>
            <w:r w:rsidRPr="00DC79E0">
              <w:rPr>
                <w:rFonts w:cstheme="minorHAnsi"/>
                <w:b/>
                <w:sz w:val="22"/>
                <w:szCs w:val="22"/>
              </w:rPr>
              <w:t>Ogółem</w:t>
            </w:r>
          </w:p>
        </w:tc>
        <w:tc>
          <w:tcPr>
            <w:tcW w:w="1843" w:type="dxa"/>
            <w:shd w:val="clear" w:color="auto" w:fill="F2F2F2" w:themeFill="background1" w:themeFillShade="F2"/>
            <w:vAlign w:val="center"/>
            <w:hideMark/>
          </w:tcPr>
          <w:p w:rsidR="00563C80" w:rsidRPr="00DC79E0" w:rsidRDefault="00563C80" w:rsidP="008E7320">
            <w:pPr>
              <w:spacing w:before="0" w:after="0" w:line="240" w:lineRule="auto"/>
              <w:jc w:val="center"/>
              <w:rPr>
                <w:rFonts w:cstheme="minorHAnsi"/>
                <w:sz w:val="22"/>
                <w:szCs w:val="22"/>
              </w:rPr>
            </w:pPr>
            <w:r w:rsidRPr="00DC79E0">
              <w:rPr>
                <w:rFonts w:cstheme="minorHAnsi"/>
                <w:sz w:val="22"/>
                <w:szCs w:val="22"/>
              </w:rPr>
              <w:t>Gospodarstwa domowe</w:t>
            </w:r>
          </w:p>
        </w:tc>
        <w:tc>
          <w:tcPr>
            <w:tcW w:w="1701" w:type="dxa"/>
            <w:shd w:val="clear" w:color="auto" w:fill="F2F2F2" w:themeFill="background1" w:themeFillShade="F2"/>
            <w:vAlign w:val="center"/>
            <w:hideMark/>
          </w:tcPr>
          <w:p w:rsidR="00563C80" w:rsidRPr="00DC79E0" w:rsidRDefault="00563C80" w:rsidP="008E7320">
            <w:pPr>
              <w:spacing w:before="0" w:after="0" w:line="240" w:lineRule="auto"/>
              <w:jc w:val="center"/>
              <w:rPr>
                <w:rFonts w:cstheme="minorHAnsi"/>
                <w:sz w:val="22"/>
                <w:szCs w:val="22"/>
              </w:rPr>
            </w:pPr>
            <w:r w:rsidRPr="00DC79E0">
              <w:rPr>
                <w:rFonts w:cstheme="minorHAnsi"/>
                <w:sz w:val="22"/>
                <w:szCs w:val="22"/>
              </w:rPr>
              <w:t>Przemysł i budownictwo</w:t>
            </w:r>
          </w:p>
        </w:tc>
        <w:tc>
          <w:tcPr>
            <w:tcW w:w="1701" w:type="dxa"/>
            <w:shd w:val="clear" w:color="auto" w:fill="F2F2F2" w:themeFill="background1" w:themeFillShade="F2"/>
            <w:vAlign w:val="center"/>
            <w:hideMark/>
          </w:tcPr>
          <w:p w:rsidR="00563C80" w:rsidRPr="00DC79E0" w:rsidRDefault="00563C80" w:rsidP="008E7320">
            <w:pPr>
              <w:spacing w:before="0" w:after="0" w:line="240" w:lineRule="auto"/>
              <w:jc w:val="center"/>
              <w:rPr>
                <w:rFonts w:cstheme="minorHAnsi"/>
                <w:sz w:val="22"/>
                <w:szCs w:val="22"/>
              </w:rPr>
            </w:pPr>
            <w:r w:rsidRPr="00DC79E0">
              <w:rPr>
                <w:rFonts w:cstheme="minorHAnsi"/>
                <w:sz w:val="22"/>
                <w:szCs w:val="22"/>
              </w:rPr>
              <w:t>Handel i usługi</w:t>
            </w:r>
          </w:p>
        </w:tc>
      </w:tr>
      <w:tr w:rsidR="00563C80" w:rsidRPr="00DC79E0" w:rsidTr="008E7320">
        <w:trPr>
          <w:trHeight w:val="285"/>
        </w:trPr>
        <w:tc>
          <w:tcPr>
            <w:tcW w:w="1008" w:type="dxa"/>
            <w:vMerge w:val="restart"/>
            <w:shd w:val="clear" w:color="auto" w:fill="auto"/>
            <w:noWrap/>
            <w:vAlign w:val="center"/>
            <w:hideMark/>
          </w:tcPr>
          <w:p w:rsidR="00563C80" w:rsidRPr="00DC79E0" w:rsidRDefault="00563C80" w:rsidP="008E7320">
            <w:pPr>
              <w:spacing w:before="0" w:after="0" w:line="240" w:lineRule="auto"/>
              <w:jc w:val="center"/>
              <w:rPr>
                <w:rFonts w:cstheme="minorHAnsi"/>
                <w:b/>
                <w:sz w:val="22"/>
                <w:szCs w:val="22"/>
              </w:rPr>
            </w:pPr>
            <w:r w:rsidRPr="00DC79E0">
              <w:rPr>
                <w:rFonts w:cstheme="minorHAnsi"/>
                <w:b/>
                <w:sz w:val="22"/>
                <w:szCs w:val="22"/>
              </w:rPr>
              <w:t>2015</w:t>
            </w:r>
          </w:p>
        </w:tc>
        <w:tc>
          <w:tcPr>
            <w:tcW w:w="1701" w:type="dxa"/>
            <w:shd w:val="clear" w:color="auto" w:fill="auto"/>
            <w:noWrap/>
            <w:vAlign w:val="bottom"/>
            <w:hideMark/>
          </w:tcPr>
          <w:p w:rsidR="00563C80" w:rsidRPr="00DC79E0" w:rsidRDefault="00563C80" w:rsidP="008E7320">
            <w:pPr>
              <w:spacing w:before="0" w:after="0" w:line="240" w:lineRule="auto"/>
              <w:rPr>
                <w:rFonts w:cstheme="minorHAnsi"/>
                <w:sz w:val="22"/>
                <w:szCs w:val="22"/>
              </w:rPr>
            </w:pPr>
            <w:r w:rsidRPr="00DC79E0">
              <w:rPr>
                <w:rFonts w:cstheme="minorHAnsi"/>
                <w:sz w:val="22"/>
                <w:szCs w:val="22"/>
              </w:rPr>
              <w:t>obszar wiejski</w:t>
            </w:r>
          </w:p>
        </w:tc>
        <w:tc>
          <w:tcPr>
            <w:tcW w:w="1275"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6</w:t>
            </w:r>
          </w:p>
        </w:tc>
        <w:tc>
          <w:tcPr>
            <w:tcW w:w="1843"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3</w:t>
            </w:r>
          </w:p>
        </w:tc>
        <w:tc>
          <w:tcPr>
            <w:tcW w:w="1701"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1</w:t>
            </w:r>
          </w:p>
        </w:tc>
        <w:tc>
          <w:tcPr>
            <w:tcW w:w="1701"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2</w:t>
            </w:r>
          </w:p>
        </w:tc>
      </w:tr>
      <w:tr w:rsidR="00563C80" w:rsidRPr="00DC79E0" w:rsidTr="008E7320">
        <w:trPr>
          <w:trHeight w:val="285"/>
        </w:trPr>
        <w:tc>
          <w:tcPr>
            <w:tcW w:w="1008" w:type="dxa"/>
            <w:vMerge/>
            <w:vAlign w:val="center"/>
            <w:hideMark/>
          </w:tcPr>
          <w:p w:rsidR="00563C80" w:rsidRPr="00DC79E0" w:rsidRDefault="00563C80" w:rsidP="008E7320">
            <w:pPr>
              <w:spacing w:before="0" w:after="0" w:line="240" w:lineRule="auto"/>
              <w:jc w:val="center"/>
              <w:rPr>
                <w:rFonts w:cstheme="minorHAnsi"/>
                <w:b/>
                <w:sz w:val="22"/>
                <w:szCs w:val="22"/>
              </w:rPr>
            </w:pPr>
          </w:p>
        </w:tc>
        <w:tc>
          <w:tcPr>
            <w:tcW w:w="1701" w:type="dxa"/>
            <w:shd w:val="clear" w:color="auto" w:fill="auto"/>
            <w:noWrap/>
            <w:vAlign w:val="bottom"/>
            <w:hideMark/>
          </w:tcPr>
          <w:p w:rsidR="00563C80" w:rsidRPr="00DC79E0" w:rsidRDefault="00563C80" w:rsidP="008E7320">
            <w:pPr>
              <w:spacing w:before="0" w:after="0" w:line="240" w:lineRule="auto"/>
              <w:rPr>
                <w:rFonts w:cstheme="minorHAnsi"/>
                <w:sz w:val="22"/>
                <w:szCs w:val="22"/>
              </w:rPr>
            </w:pPr>
            <w:r w:rsidRPr="00DC79E0">
              <w:rPr>
                <w:rFonts w:cstheme="minorHAnsi"/>
                <w:sz w:val="22"/>
                <w:szCs w:val="22"/>
              </w:rPr>
              <w:t>miasto</w:t>
            </w:r>
          </w:p>
        </w:tc>
        <w:tc>
          <w:tcPr>
            <w:tcW w:w="1275"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70</w:t>
            </w:r>
          </w:p>
        </w:tc>
        <w:tc>
          <w:tcPr>
            <w:tcW w:w="1843"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51</w:t>
            </w:r>
          </w:p>
        </w:tc>
        <w:tc>
          <w:tcPr>
            <w:tcW w:w="1701"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2</w:t>
            </w:r>
          </w:p>
        </w:tc>
        <w:tc>
          <w:tcPr>
            <w:tcW w:w="1701"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17</w:t>
            </w:r>
          </w:p>
        </w:tc>
      </w:tr>
      <w:tr w:rsidR="00563C80" w:rsidRPr="00DC79E0" w:rsidTr="008E7320">
        <w:trPr>
          <w:trHeight w:val="300"/>
        </w:trPr>
        <w:tc>
          <w:tcPr>
            <w:tcW w:w="1008" w:type="dxa"/>
            <w:vMerge/>
            <w:vAlign w:val="center"/>
            <w:hideMark/>
          </w:tcPr>
          <w:p w:rsidR="00563C80" w:rsidRPr="00DC79E0" w:rsidRDefault="00563C80" w:rsidP="008E7320">
            <w:pPr>
              <w:spacing w:before="0" w:after="0" w:line="240" w:lineRule="auto"/>
              <w:jc w:val="center"/>
              <w:rPr>
                <w:rFonts w:cstheme="minorHAnsi"/>
                <w:b/>
                <w:sz w:val="22"/>
                <w:szCs w:val="22"/>
              </w:rPr>
            </w:pPr>
          </w:p>
        </w:tc>
        <w:tc>
          <w:tcPr>
            <w:tcW w:w="1701" w:type="dxa"/>
            <w:shd w:val="clear" w:color="auto" w:fill="F2F2F2" w:themeFill="background1" w:themeFillShade="F2"/>
            <w:noWrap/>
            <w:vAlign w:val="bottom"/>
            <w:hideMark/>
          </w:tcPr>
          <w:p w:rsidR="00563C80" w:rsidRPr="00DC79E0" w:rsidRDefault="00563C80" w:rsidP="008E7320">
            <w:pPr>
              <w:spacing w:before="0" w:after="0" w:line="240" w:lineRule="auto"/>
              <w:rPr>
                <w:rFonts w:cstheme="minorHAnsi"/>
                <w:b/>
                <w:sz w:val="22"/>
                <w:szCs w:val="22"/>
              </w:rPr>
            </w:pPr>
            <w:r w:rsidRPr="00DC79E0">
              <w:rPr>
                <w:rFonts w:cstheme="minorHAnsi"/>
                <w:b/>
                <w:sz w:val="22"/>
                <w:szCs w:val="22"/>
              </w:rPr>
              <w:t>RAZEM</w:t>
            </w:r>
          </w:p>
        </w:tc>
        <w:tc>
          <w:tcPr>
            <w:tcW w:w="1275" w:type="dxa"/>
            <w:shd w:val="clear" w:color="auto" w:fill="F2F2F2" w:themeFill="background1" w:themeFillShade="F2"/>
            <w:noWrap/>
            <w:vAlign w:val="bottom"/>
            <w:hideMark/>
          </w:tcPr>
          <w:p w:rsidR="00563C80" w:rsidRPr="00DC79E0" w:rsidRDefault="00563C80" w:rsidP="00563C80">
            <w:pPr>
              <w:spacing w:before="0" w:after="0" w:line="240" w:lineRule="auto"/>
              <w:jc w:val="center"/>
              <w:rPr>
                <w:rFonts w:cstheme="minorHAnsi"/>
                <w:b/>
                <w:bCs/>
                <w:sz w:val="22"/>
                <w:szCs w:val="22"/>
              </w:rPr>
            </w:pPr>
            <w:r w:rsidRPr="00DC79E0">
              <w:rPr>
                <w:rFonts w:cstheme="minorHAnsi"/>
                <w:b/>
                <w:bCs/>
                <w:sz w:val="22"/>
                <w:szCs w:val="22"/>
              </w:rPr>
              <w:t>76</w:t>
            </w:r>
          </w:p>
        </w:tc>
        <w:tc>
          <w:tcPr>
            <w:tcW w:w="1843" w:type="dxa"/>
            <w:shd w:val="clear" w:color="auto" w:fill="F2F2F2" w:themeFill="background1" w:themeFillShade="F2"/>
            <w:noWrap/>
            <w:vAlign w:val="bottom"/>
            <w:hideMark/>
          </w:tcPr>
          <w:p w:rsidR="00563C80" w:rsidRPr="00DC79E0" w:rsidRDefault="00563C80" w:rsidP="00563C80">
            <w:pPr>
              <w:spacing w:before="0" w:after="0" w:line="240" w:lineRule="auto"/>
              <w:jc w:val="center"/>
              <w:rPr>
                <w:rFonts w:cstheme="minorHAnsi"/>
                <w:b/>
                <w:bCs/>
                <w:sz w:val="22"/>
                <w:szCs w:val="22"/>
              </w:rPr>
            </w:pPr>
            <w:r w:rsidRPr="00DC79E0">
              <w:rPr>
                <w:rFonts w:cstheme="minorHAnsi"/>
                <w:b/>
                <w:bCs/>
                <w:sz w:val="22"/>
                <w:szCs w:val="22"/>
              </w:rPr>
              <w:t>54</w:t>
            </w:r>
          </w:p>
        </w:tc>
        <w:tc>
          <w:tcPr>
            <w:tcW w:w="1701" w:type="dxa"/>
            <w:shd w:val="clear" w:color="auto" w:fill="F2F2F2" w:themeFill="background1" w:themeFillShade="F2"/>
            <w:noWrap/>
            <w:vAlign w:val="bottom"/>
            <w:hideMark/>
          </w:tcPr>
          <w:p w:rsidR="00563C80" w:rsidRPr="00DC79E0" w:rsidRDefault="00563C80" w:rsidP="00563C80">
            <w:pPr>
              <w:spacing w:before="0" w:after="0" w:line="240" w:lineRule="auto"/>
              <w:jc w:val="center"/>
              <w:rPr>
                <w:rFonts w:cstheme="minorHAnsi"/>
                <w:b/>
                <w:bCs/>
                <w:sz w:val="22"/>
                <w:szCs w:val="22"/>
              </w:rPr>
            </w:pPr>
            <w:r w:rsidRPr="00DC79E0">
              <w:rPr>
                <w:rFonts w:cstheme="minorHAnsi"/>
                <w:b/>
                <w:bCs/>
                <w:sz w:val="22"/>
                <w:szCs w:val="22"/>
              </w:rPr>
              <w:t>3</w:t>
            </w:r>
          </w:p>
        </w:tc>
        <w:tc>
          <w:tcPr>
            <w:tcW w:w="1701" w:type="dxa"/>
            <w:shd w:val="clear" w:color="auto" w:fill="F2F2F2" w:themeFill="background1" w:themeFillShade="F2"/>
            <w:noWrap/>
            <w:vAlign w:val="bottom"/>
            <w:hideMark/>
          </w:tcPr>
          <w:p w:rsidR="00563C80" w:rsidRPr="00DC79E0" w:rsidRDefault="00563C80" w:rsidP="00563C80">
            <w:pPr>
              <w:spacing w:before="0" w:after="0" w:line="240" w:lineRule="auto"/>
              <w:jc w:val="center"/>
              <w:rPr>
                <w:rFonts w:cstheme="minorHAnsi"/>
                <w:b/>
                <w:bCs/>
                <w:sz w:val="22"/>
                <w:szCs w:val="22"/>
              </w:rPr>
            </w:pPr>
            <w:r w:rsidRPr="00DC79E0">
              <w:rPr>
                <w:rFonts w:cstheme="minorHAnsi"/>
                <w:b/>
                <w:bCs/>
                <w:sz w:val="22"/>
                <w:szCs w:val="22"/>
              </w:rPr>
              <w:t>19</w:t>
            </w:r>
          </w:p>
        </w:tc>
      </w:tr>
      <w:tr w:rsidR="00563C80" w:rsidRPr="00DC79E0" w:rsidTr="008E7320">
        <w:trPr>
          <w:trHeight w:val="285"/>
        </w:trPr>
        <w:tc>
          <w:tcPr>
            <w:tcW w:w="1008" w:type="dxa"/>
            <w:vMerge w:val="restart"/>
            <w:shd w:val="clear" w:color="auto" w:fill="auto"/>
            <w:noWrap/>
            <w:vAlign w:val="center"/>
            <w:hideMark/>
          </w:tcPr>
          <w:p w:rsidR="00563C80" w:rsidRPr="00DC79E0" w:rsidRDefault="00563C80" w:rsidP="008E7320">
            <w:pPr>
              <w:spacing w:before="0" w:after="0" w:line="240" w:lineRule="auto"/>
              <w:jc w:val="center"/>
              <w:rPr>
                <w:rFonts w:cstheme="minorHAnsi"/>
                <w:b/>
                <w:sz w:val="22"/>
                <w:szCs w:val="22"/>
              </w:rPr>
            </w:pPr>
            <w:r w:rsidRPr="00DC79E0">
              <w:rPr>
                <w:rFonts w:cstheme="minorHAnsi"/>
                <w:b/>
                <w:sz w:val="22"/>
                <w:szCs w:val="22"/>
              </w:rPr>
              <w:t>2016</w:t>
            </w:r>
          </w:p>
        </w:tc>
        <w:tc>
          <w:tcPr>
            <w:tcW w:w="1701" w:type="dxa"/>
            <w:shd w:val="clear" w:color="auto" w:fill="auto"/>
            <w:noWrap/>
            <w:vAlign w:val="bottom"/>
            <w:hideMark/>
          </w:tcPr>
          <w:p w:rsidR="00563C80" w:rsidRPr="00DC79E0" w:rsidRDefault="00563C80" w:rsidP="008E7320">
            <w:pPr>
              <w:spacing w:before="0" w:after="0" w:line="240" w:lineRule="auto"/>
              <w:rPr>
                <w:rFonts w:cstheme="minorHAnsi"/>
                <w:sz w:val="22"/>
                <w:szCs w:val="22"/>
              </w:rPr>
            </w:pPr>
            <w:r w:rsidRPr="00DC79E0">
              <w:rPr>
                <w:rFonts w:cstheme="minorHAnsi"/>
                <w:sz w:val="22"/>
                <w:szCs w:val="22"/>
              </w:rPr>
              <w:t>obszar wiejski</w:t>
            </w:r>
          </w:p>
        </w:tc>
        <w:tc>
          <w:tcPr>
            <w:tcW w:w="1275"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5</w:t>
            </w:r>
          </w:p>
        </w:tc>
        <w:tc>
          <w:tcPr>
            <w:tcW w:w="1843"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4</w:t>
            </w:r>
          </w:p>
        </w:tc>
        <w:tc>
          <w:tcPr>
            <w:tcW w:w="1701"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0</w:t>
            </w:r>
          </w:p>
        </w:tc>
        <w:tc>
          <w:tcPr>
            <w:tcW w:w="1701"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1</w:t>
            </w:r>
          </w:p>
        </w:tc>
      </w:tr>
      <w:tr w:rsidR="00563C80" w:rsidRPr="00DC79E0" w:rsidTr="008E7320">
        <w:trPr>
          <w:trHeight w:val="285"/>
        </w:trPr>
        <w:tc>
          <w:tcPr>
            <w:tcW w:w="1008" w:type="dxa"/>
            <w:vMerge/>
            <w:vAlign w:val="center"/>
            <w:hideMark/>
          </w:tcPr>
          <w:p w:rsidR="00563C80" w:rsidRPr="00DC79E0" w:rsidRDefault="00563C80" w:rsidP="008E7320">
            <w:pPr>
              <w:spacing w:before="0" w:after="0" w:line="240" w:lineRule="auto"/>
              <w:jc w:val="center"/>
              <w:rPr>
                <w:rFonts w:cstheme="minorHAnsi"/>
                <w:b/>
                <w:sz w:val="22"/>
                <w:szCs w:val="22"/>
              </w:rPr>
            </w:pPr>
          </w:p>
        </w:tc>
        <w:tc>
          <w:tcPr>
            <w:tcW w:w="1701" w:type="dxa"/>
            <w:shd w:val="clear" w:color="auto" w:fill="auto"/>
            <w:noWrap/>
            <w:vAlign w:val="bottom"/>
            <w:hideMark/>
          </w:tcPr>
          <w:p w:rsidR="00563C80" w:rsidRPr="00DC79E0" w:rsidRDefault="00563C80" w:rsidP="008E7320">
            <w:pPr>
              <w:spacing w:before="0" w:after="0" w:line="240" w:lineRule="auto"/>
              <w:rPr>
                <w:rFonts w:cstheme="minorHAnsi"/>
                <w:sz w:val="22"/>
                <w:szCs w:val="22"/>
              </w:rPr>
            </w:pPr>
            <w:r w:rsidRPr="00DC79E0">
              <w:rPr>
                <w:rFonts w:cstheme="minorHAnsi"/>
                <w:sz w:val="22"/>
                <w:szCs w:val="22"/>
              </w:rPr>
              <w:t>miasto</w:t>
            </w:r>
          </w:p>
        </w:tc>
        <w:tc>
          <w:tcPr>
            <w:tcW w:w="1275"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80</w:t>
            </w:r>
          </w:p>
        </w:tc>
        <w:tc>
          <w:tcPr>
            <w:tcW w:w="1843"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61</w:t>
            </w:r>
          </w:p>
        </w:tc>
        <w:tc>
          <w:tcPr>
            <w:tcW w:w="1701"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2</w:t>
            </w:r>
          </w:p>
        </w:tc>
        <w:tc>
          <w:tcPr>
            <w:tcW w:w="1701"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17</w:t>
            </w:r>
          </w:p>
        </w:tc>
      </w:tr>
      <w:tr w:rsidR="00563C80" w:rsidRPr="00DC79E0" w:rsidTr="008E7320">
        <w:trPr>
          <w:trHeight w:val="300"/>
        </w:trPr>
        <w:tc>
          <w:tcPr>
            <w:tcW w:w="1008" w:type="dxa"/>
            <w:vMerge/>
            <w:vAlign w:val="center"/>
            <w:hideMark/>
          </w:tcPr>
          <w:p w:rsidR="00563C80" w:rsidRPr="00DC79E0" w:rsidRDefault="00563C80" w:rsidP="008E7320">
            <w:pPr>
              <w:spacing w:before="0" w:after="0" w:line="240" w:lineRule="auto"/>
              <w:jc w:val="center"/>
              <w:rPr>
                <w:rFonts w:cstheme="minorHAnsi"/>
                <w:b/>
                <w:sz w:val="22"/>
                <w:szCs w:val="22"/>
              </w:rPr>
            </w:pPr>
          </w:p>
        </w:tc>
        <w:tc>
          <w:tcPr>
            <w:tcW w:w="1701" w:type="dxa"/>
            <w:shd w:val="clear" w:color="auto" w:fill="F2F2F2" w:themeFill="background1" w:themeFillShade="F2"/>
            <w:noWrap/>
            <w:vAlign w:val="bottom"/>
            <w:hideMark/>
          </w:tcPr>
          <w:p w:rsidR="00563C80" w:rsidRPr="00DC79E0" w:rsidRDefault="00563C80" w:rsidP="008E7320">
            <w:pPr>
              <w:spacing w:before="0" w:after="0" w:line="240" w:lineRule="auto"/>
              <w:rPr>
                <w:rFonts w:cstheme="minorHAnsi"/>
                <w:b/>
                <w:sz w:val="22"/>
                <w:szCs w:val="22"/>
              </w:rPr>
            </w:pPr>
            <w:r w:rsidRPr="00DC79E0">
              <w:rPr>
                <w:rFonts w:cstheme="minorHAnsi"/>
                <w:b/>
                <w:sz w:val="22"/>
                <w:szCs w:val="22"/>
              </w:rPr>
              <w:t>RAZEM</w:t>
            </w:r>
          </w:p>
        </w:tc>
        <w:tc>
          <w:tcPr>
            <w:tcW w:w="1275" w:type="dxa"/>
            <w:shd w:val="clear" w:color="auto" w:fill="F2F2F2" w:themeFill="background1" w:themeFillShade="F2"/>
            <w:noWrap/>
            <w:vAlign w:val="bottom"/>
            <w:hideMark/>
          </w:tcPr>
          <w:p w:rsidR="00563C80" w:rsidRPr="00DC79E0" w:rsidRDefault="00563C80" w:rsidP="00563C80">
            <w:pPr>
              <w:spacing w:before="0" w:after="0" w:line="240" w:lineRule="auto"/>
              <w:jc w:val="center"/>
              <w:rPr>
                <w:rFonts w:cstheme="minorHAnsi"/>
                <w:b/>
                <w:bCs/>
                <w:sz w:val="22"/>
                <w:szCs w:val="22"/>
              </w:rPr>
            </w:pPr>
            <w:r w:rsidRPr="00DC79E0">
              <w:rPr>
                <w:rFonts w:cstheme="minorHAnsi"/>
                <w:b/>
                <w:bCs/>
                <w:sz w:val="22"/>
                <w:szCs w:val="22"/>
              </w:rPr>
              <w:t>85</w:t>
            </w:r>
          </w:p>
        </w:tc>
        <w:tc>
          <w:tcPr>
            <w:tcW w:w="1843" w:type="dxa"/>
            <w:shd w:val="clear" w:color="auto" w:fill="F2F2F2" w:themeFill="background1" w:themeFillShade="F2"/>
            <w:noWrap/>
            <w:vAlign w:val="bottom"/>
            <w:hideMark/>
          </w:tcPr>
          <w:p w:rsidR="00563C80" w:rsidRPr="00DC79E0" w:rsidRDefault="00563C80" w:rsidP="00563C80">
            <w:pPr>
              <w:spacing w:before="0" w:after="0" w:line="240" w:lineRule="auto"/>
              <w:jc w:val="center"/>
              <w:rPr>
                <w:rFonts w:cstheme="minorHAnsi"/>
                <w:b/>
                <w:bCs/>
                <w:sz w:val="22"/>
                <w:szCs w:val="22"/>
              </w:rPr>
            </w:pPr>
            <w:r w:rsidRPr="00DC79E0">
              <w:rPr>
                <w:rFonts w:cstheme="minorHAnsi"/>
                <w:b/>
                <w:bCs/>
                <w:sz w:val="22"/>
                <w:szCs w:val="22"/>
              </w:rPr>
              <w:t>65</w:t>
            </w:r>
          </w:p>
        </w:tc>
        <w:tc>
          <w:tcPr>
            <w:tcW w:w="1701" w:type="dxa"/>
            <w:shd w:val="clear" w:color="auto" w:fill="F2F2F2" w:themeFill="background1" w:themeFillShade="F2"/>
            <w:noWrap/>
            <w:vAlign w:val="bottom"/>
            <w:hideMark/>
          </w:tcPr>
          <w:p w:rsidR="00563C80" w:rsidRPr="00DC79E0" w:rsidRDefault="00563C80" w:rsidP="00563C80">
            <w:pPr>
              <w:spacing w:before="0" w:after="0" w:line="240" w:lineRule="auto"/>
              <w:jc w:val="center"/>
              <w:rPr>
                <w:rFonts w:cstheme="minorHAnsi"/>
                <w:b/>
                <w:bCs/>
                <w:sz w:val="22"/>
                <w:szCs w:val="22"/>
              </w:rPr>
            </w:pPr>
            <w:r w:rsidRPr="00DC79E0">
              <w:rPr>
                <w:rFonts w:cstheme="minorHAnsi"/>
                <w:b/>
                <w:bCs/>
                <w:sz w:val="22"/>
                <w:szCs w:val="22"/>
              </w:rPr>
              <w:t>2</w:t>
            </w:r>
          </w:p>
        </w:tc>
        <w:tc>
          <w:tcPr>
            <w:tcW w:w="1701" w:type="dxa"/>
            <w:shd w:val="clear" w:color="auto" w:fill="F2F2F2" w:themeFill="background1" w:themeFillShade="F2"/>
            <w:noWrap/>
            <w:vAlign w:val="bottom"/>
            <w:hideMark/>
          </w:tcPr>
          <w:p w:rsidR="00563C80" w:rsidRPr="00DC79E0" w:rsidRDefault="00563C80" w:rsidP="00563C80">
            <w:pPr>
              <w:spacing w:before="0" w:after="0" w:line="240" w:lineRule="auto"/>
              <w:jc w:val="center"/>
              <w:rPr>
                <w:rFonts w:cstheme="minorHAnsi"/>
                <w:b/>
                <w:bCs/>
                <w:sz w:val="22"/>
                <w:szCs w:val="22"/>
              </w:rPr>
            </w:pPr>
            <w:r w:rsidRPr="00DC79E0">
              <w:rPr>
                <w:rFonts w:cstheme="minorHAnsi"/>
                <w:b/>
                <w:bCs/>
                <w:sz w:val="22"/>
                <w:szCs w:val="22"/>
              </w:rPr>
              <w:t>18</w:t>
            </w:r>
          </w:p>
        </w:tc>
      </w:tr>
      <w:tr w:rsidR="00563C80" w:rsidRPr="00DC79E0" w:rsidTr="008E7320">
        <w:trPr>
          <w:trHeight w:val="285"/>
        </w:trPr>
        <w:tc>
          <w:tcPr>
            <w:tcW w:w="1008" w:type="dxa"/>
            <w:vMerge w:val="restart"/>
            <w:shd w:val="clear" w:color="auto" w:fill="auto"/>
            <w:noWrap/>
            <w:vAlign w:val="center"/>
            <w:hideMark/>
          </w:tcPr>
          <w:p w:rsidR="00563C80" w:rsidRPr="00DC79E0" w:rsidRDefault="00563C80" w:rsidP="008E7320">
            <w:pPr>
              <w:spacing w:before="0" w:after="0" w:line="240" w:lineRule="auto"/>
              <w:jc w:val="center"/>
              <w:rPr>
                <w:rFonts w:cstheme="minorHAnsi"/>
                <w:b/>
                <w:sz w:val="22"/>
                <w:szCs w:val="22"/>
              </w:rPr>
            </w:pPr>
            <w:r w:rsidRPr="00DC79E0">
              <w:rPr>
                <w:rFonts w:cstheme="minorHAnsi"/>
                <w:b/>
                <w:sz w:val="22"/>
                <w:szCs w:val="22"/>
              </w:rPr>
              <w:t>2017</w:t>
            </w:r>
          </w:p>
        </w:tc>
        <w:tc>
          <w:tcPr>
            <w:tcW w:w="1701" w:type="dxa"/>
            <w:shd w:val="clear" w:color="auto" w:fill="auto"/>
            <w:noWrap/>
            <w:vAlign w:val="bottom"/>
            <w:hideMark/>
          </w:tcPr>
          <w:p w:rsidR="00563C80" w:rsidRPr="00DC79E0" w:rsidRDefault="00563C80" w:rsidP="008E7320">
            <w:pPr>
              <w:spacing w:before="0" w:after="0" w:line="240" w:lineRule="auto"/>
              <w:rPr>
                <w:rFonts w:cstheme="minorHAnsi"/>
                <w:sz w:val="22"/>
                <w:szCs w:val="22"/>
              </w:rPr>
            </w:pPr>
            <w:r w:rsidRPr="00DC79E0">
              <w:rPr>
                <w:rFonts w:cstheme="minorHAnsi"/>
                <w:sz w:val="22"/>
                <w:szCs w:val="22"/>
              </w:rPr>
              <w:t>obszar wiejski</w:t>
            </w:r>
          </w:p>
        </w:tc>
        <w:tc>
          <w:tcPr>
            <w:tcW w:w="1275"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6</w:t>
            </w:r>
          </w:p>
        </w:tc>
        <w:tc>
          <w:tcPr>
            <w:tcW w:w="1843"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6</w:t>
            </w:r>
          </w:p>
        </w:tc>
        <w:tc>
          <w:tcPr>
            <w:tcW w:w="1701"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0</w:t>
            </w:r>
          </w:p>
        </w:tc>
        <w:tc>
          <w:tcPr>
            <w:tcW w:w="1701"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0</w:t>
            </w:r>
          </w:p>
        </w:tc>
      </w:tr>
      <w:tr w:rsidR="00563C80" w:rsidRPr="00DC79E0" w:rsidTr="008E7320">
        <w:trPr>
          <w:trHeight w:val="285"/>
        </w:trPr>
        <w:tc>
          <w:tcPr>
            <w:tcW w:w="1008" w:type="dxa"/>
            <w:vMerge/>
            <w:vAlign w:val="center"/>
            <w:hideMark/>
          </w:tcPr>
          <w:p w:rsidR="00563C80" w:rsidRPr="00DC79E0" w:rsidRDefault="00563C80" w:rsidP="008E7320">
            <w:pPr>
              <w:spacing w:before="0" w:after="0" w:line="240" w:lineRule="auto"/>
              <w:jc w:val="center"/>
              <w:rPr>
                <w:rFonts w:cstheme="minorHAnsi"/>
                <w:b/>
                <w:sz w:val="22"/>
                <w:szCs w:val="22"/>
              </w:rPr>
            </w:pPr>
          </w:p>
        </w:tc>
        <w:tc>
          <w:tcPr>
            <w:tcW w:w="1701" w:type="dxa"/>
            <w:shd w:val="clear" w:color="auto" w:fill="auto"/>
            <w:noWrap/>
            <w:vAlign w:val="bottom"/>
            <w:hideMark/>
          </w:tcPr>
          <w:p w:rsidR="00563C80" w:rsidRPr="00DC79E0" w:rsidRDefault="00563C80" w:rsidP="008E7320">
            <w:pPr>
              <w:spacing w:before="0" w:after="0" w:line="240" w:lineRule="auto"/>
              <w:rPr>
                <w:rFonts w:cstheme="minorHAnsi"/>
                <w:sz w:val="22"/>
                <w:szCs w:val="22"/>
              </w:rPr>
            </w:pPr>
            <w:r w:rsidRPr="00DC79E0">
              <w:rPr>
                <w:rFonts w:cstheme="minorHAnsi"/>
                <w:sz w:val="22"/>
                <w:szCs w:val="22"/>
              </w:rPr>
              <w:t>miasto</w:t>
            </w:r>
          </w:p>
        </w:tc>
        <w:tc>
          <w:tcPr>
            <w:tcW w:w="1275"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78</w:t>
            </w:r>
          </w:p>
        </w:tc>
        <w:tc>
          <w:tcPr>
            <w:tcW w:w="1843"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67</w:t>
            </w:r>
          </w:p>
        </w:tc>
        <w:tc>
          <w:tcPr>
            <w:tcW w:w="1701"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2</w:t>
            </w:r>
          </w:p>
        </w:tc>
        <w:tc>
          <w:tcPr>
            <w:tcW w:w="1701"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9</w:t>
            </w:r>
          </w:p>
        </w:tc>
      </w:tr>
      <w:tr w:rsidR="00563C80" w:rsidRPr="00DC79E0" w:rsidTr="008E7320">
        <w:trPr>
          <w:trHeight w:val="300"/>
        </w:trPr>
        <w:tc>
          <w:tcPr>
            <w:tcW w:w="1008" w:type="dxa"/>
            <w:vMerge/>
            <w:vAlign w:val="center"/>
            <w:hideMark/>
          </w:tcPr>
          <w:p w:rsidR="00563C80" w:rsidRPr="00DC79E0" w:rsidRDefault="00563C80" w:rsidP="008E7320">
            <w:pPr>
              <w:spacing w:before="0" w:after="0" w:line="240" w:lineRule="auto"/>
              <w:jc w:val="center"/>
              <w:rPr>
                <w:rFonts w:cstheme="minorHAnsi"/>
                <w:b/>
                <w:sz w:val="22"/>
                <w:szCs w:val="22"/>
              </w:rPr>
            </w:pPr>
          </w:p>
        </w:tc>
        <w:tc>
          <w:tcPr>
            <w:tcW w:w="1701" w:type="dxa"/>
            <w:shd w:val="clear" w:color="auto" w:fill="F2F2F2" w:themeFill="background1" w:themeFillShade="F2"/>
            <w:noWrap/>
            <w:vAlign w:val="bottom"/>
            <w:hideMark/>
          </w:tcPr>
          <w:p w:rsidR="00563C80" w:rsidRPr="00DC79E0" w:rsidRDefault="00563C80" w:rsidP="008E7320">
            <w:pPr>
              <w:spacing w:before="0" w:after="0" w:line="240" w:lineRule="auto"/>
              <w:rPr>
                <w:rFonts w:cstheme="minorHAnsi"/>
                <w:b/>
                <w:sz w:val="22"/>
                <w:szCs w:val="22"/>
              </w:rPr>
            </w:pPr>
            <w:r w:rsidRPr="00DC79E0">
              <w:rPr>
                <w:rFonts w:cstheme="minorHAnsi"/>
                <w:b/>
                <w:sz w:val="22"/>
                <w:szCs w:val="22"/>
              </w:rPr>
              <w:t>RAZEM</w:t>
            </w:r>
          </w:p>
        </w:tc>
        <w:tc>
          <w:tcPr>
            <w:tcW w:w="1275" w:type="dxa"/>
            <w:shd w:val="clear" w:color="auto" w:fill="F2F2F2" w:themeFill="background1" w:themeFillShade="F2"/>
            <w:noWrap/>
            <w:vAlign w:val="bottom"/>
            <w:hideMark/>
          </w:tcPr>
          <w:p w:rsidR="00563C80" w:rsidRPr="00DC79E0" w:rsidRDefault="00563C80" w:rsidP="00563C80">
            <w:pPr>
              <w:spacing w:before="0" w:after="0" w:line="240" w:lineRule="auto"/>
              <w:jc w:val="center"/>
              <w:rPr>
                <w:rFonts w:cstheme="minorHAnsi"/>
                <w:b/>
                <w:bCs/>
                <w:sz w:val="22"/>
                <w:szCs w:val="22"/>
              </w:rPr>
            </w:pPr>
            <w:r w:rsidRPr="00DC79E0">
              <w:rPr>
                <w:rFonts w:cstheme="minorHAnsi"/>
                <w:b/>
                <w:bCs/>
                <w:sz w:val="22"/>
                <w:szCs w:val="22"/>
              </w:rPr>
              <w:t>84</w:t>
            </w:r>
          </w:p>
        </w:tc>
        <w:tc>
          <w:tcPr>
            <w:tcW w:w="1843" w:type="dxa"/>
            <w:shd w:val="clear" w:color="auto" w:fill="F2F2F2" w:themeFill="background1" w:themeFillShade="F2"/>
            <w:noWrap/>
            <w:vAlign w:val="bottom"/>
            <w:hideMark/>
          </w:tcPr>
          <w:p w:rsidR="00563C80" w:rsidRPr="00DC79E0" w:rsidRDefault="00563C80" w:rsidP="00563C80">
            <w:pPr>
              <w:spacing w:before="0" w:after="0" w:line="240" w:lineRule="auto"/>
              <w:jc w:val="center"/>
              <w:rPr>
                <w:rFonts w:cstheme="minorHAnsi"/>
                <w:b/>
                <w:bCs/>
                <w:sz w:val="22"/>
                <w:szCs w:val="22"/>
              </w:rPr>
            </w:pPr>
            <w:r w:rsidRPr="00DC79E0">
              <w:rPr>
                <w:rFonts w:cstheme="minorHAnsi"/>
                <w:b/>
                <w:bCs/>
                <w:sz w:val="22"/>
                <w:szCs w:val="22"/>
              </w:rPr>
              <w:t>73</w:t>
            </w:r>
          </w:p>
        </w:tc>
        <w:tc>
          <w:tcPr>
            <w:tcW w:w="1701" w:type="dxa"/>
            <w:shd w:val="clear" w:color="auto" w:fill="F2F2F2" w:themeFill="background1" w:themeFillShade="F2"/>
            <w:noWrap/>
            <w:vAlign w:val="bottom"/>
            <w:hideMark/>
          </w:tcPr>
          <w:p w:rsidR="00563C80" w:rsidRPr="00DC79E0" w:rsidRDefault="00563C80" w:rsidP="00563C80">
            <w:pPr>
              <w:spacing w:before="0" w:after="0" w:line="240" w:lineRule="auto"/>
              <w:jc w:val="center"/>
              <w:rPr>
                <w:rFonts w:cstheme="minorHAnsi"/>
                <w:b/>
                <w:bCs/>
                <w:sz w:val="22"/>
                <w:szCs w:val="22"/>
              </w:rPr>
            </w:pPr>
            <w:r w:rsidRPr="00DC79E0">
              <w:rPr>
                <w:rFonts w:cstheme="minorHAnsi"/>
                <w:b/>
                <w:bCs/>
                <w:sz w:val="22"/>
                <w:szCs w:val="22"/>
              </w:rPr>
              <w:t>2</w:t>
            </w:r>
          </w:p>
        </w:tc>
        <w:tc>
          <w:tcPr>
            <w:tcW w:w="1701" w:type="dxa"/>
            <w:shd w:val="clear" w:color="auto" w:fill="F2F2F2" w:themeFill="background1" w:themeFillShade="F2"/>
            <w:noWrap/>
            <w:vAlign w:val="bottom"/>
            <w:hideMark/>
          </w:tcPr>
          <w:p w:rsidR="00563C80" w:rsidRPr="00DC79E0" w:rsidRDefault="00563C80" w:rsidP="00563C80">
            <w:pPr>
              <w:spacing w:before="0" w:after="0" w:line="240" w:lineRule="auto"/>
              <w:jc w:val="center"/>
              <w:rPr>
                <w:rFonts w:cstheme="minorHAnsi"/>
                <w:b/>
                <w:bCs/>
                <w:sz w:val="22"/>
                <w:szCs w:val="22"/>
              </w:rPr>
            </w:pPr>
            <w:r w:rsidRPr="00DC79E0">
              <w:rPr>
                <w:rFonts w:cstheme="minorHAnsi"/>
                <w:b/>
                <w:bCs/>
                <w:sz w:val="22"/>
                <w:szCs w:val="22"/>
              </w:rPr>
              <w:t>9</w:t>
            </w:r>
          </w:p>
        </w:tc>
      </w:tr>
      <w:tr w:rsidR="00563C80" w:rsidRPr="00DC79E0" w:rsidTr="008E7320">
        <w:trPr>
          <w:trHeight w:val="285"/>
        </w:trPr>
        <w:tc>
          <w:tcPr>
            <w:tcW w:w="1008" w:type="dxa"/>
            <w:vMerge w:val="restart"/>
            <w:shd w:val="clear" w:color="auto" w:fill="auto"/>
            <w:noWrap/>
            <w:vAlign w:val="center"/>
            <w:hideMark/>
          </w:tcPr>
          <w:p w:rsidR="00563C80" w:rsidRPr="00DC79E0" w:rsidRDefault="00563C80" w:rsidP="008E7320">
            <w:pPr>
              <w:spacing w:before="0" w:after="0" w:line="240" w:lineRule="auto"/>
              <w:jc w:val="center"/>
              <w:rPr>
                <w:rFonts w:cstheme="minorHAnsi"/>
                <w:b/>
                <w:sz w:val="22"/>
                <w:szCs w:val="22"/>
              </w:rPr>
            </w:pPr>
            <w:r w:rsidRPr="00DC79E0">
              <w:rPr>
                <w:rFonts w:cstheme="minorHAnsi"/>
                <w:b/>
                <w:sz w:val="22"/>
                <w:szCs w:val="22"/>
              </w:rPr>
              <w:t>2018</w:t>
            </w:r>
          </w:p>
        </w:tc>
        <w:tc>
          <w:tcPr>
            <w:tcW w:w="1701" w:type="dxa"/>
            <w:shd w:val="clear" w:color="auto" w:fill="auto"/>
            <w:noWrap/>
            <w:vAlign w:val="bottom"/>
            <w:hideMark/>
          </w:tcPr>
          <w:p w:rsidR="00563C80" w:rsidRPr="00DC79E0" w:rsidRDefault="00563C80" w:rsidP="008E7320">
            <w:pPr>
              <w:spacing w:before="0" w:after="0" w:line="240" w:lineRule="auto"/>
              <w:rPr>
                <w:rFonts w:cstheme="minorHAnsi"/>
                <w:sz w:val="22"/>
                <w:szCs w:val="22"/>
              </w:rPr>
            </w:pPr>
            <w:r w:rsidRPr="00DC79E0">
              <w:rPr>
                <w:rFonts w:cstheme="minorHAnsi"/>
                <w:sz w:val="22"/>
                <w:szCs w:val="22"/>
              </w:rPr>
              <w:t>obszar wiejski</w:t>
            </w:r>
          </w:p>
        </w:tc>
        <w:tc>
          <w:tcPr>
            <w:tcW w:w="1275"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8</w:t>
            </w:r>
          </w:p>
        </w:tc>
        <w:tc>
          <w:tcPr>
            <w:tcW w:w="1843"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7</w:t>
            </w:r>
          </w:p>
        </w:tc>
        <w:tc>
          <w:tcPr>
            <w:tcW w:w="1701"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0</w:t>
            </w:r>
          </w:p>
        </w:tc>
        <w:tc>
          <w:tcPr>
            <w:tcW w:w="1701"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1</w:t>
            </w:r>
          </w:p>
        </w:tc>
      </w:tr>
      <w:tr w:rsidR="00563C80" w:rsidRPr="00DC79E0" w:rsidTr="008E7320">
        <w:trPr>
          <w:trHeight w:val="285"/>
        </w:trPr>
        <w:tc>
          <w:tcPr>
            <w:tcW w:w="1008" w:type="dxa"/>
            <w:vMerge/>
            <w:vAlign w:val="center"/>
            <w:hideMark/>
          </w:tcPr>
          <w:p w:rsidR="00563C80" w:rsidRPr="00DC79E0" w:rsidRDefault="00563C80" w:rsidP="008E7320">
            <w:pPr>
              <w:spacing w:before="0" w:after="0" w:line="240" w:lineRule="auto"/>
              <w:rPr>
                <w:rFonts w:cstheme="minorHAnsi"/>
                <w:sz w:val="22"/>
                <w:szCs w:val="22"/>
              </w:rPr>
            </w:pPr>
          </w:p>
        </w:tc>
        <w:tc>
          <w:tcPr>
            <w:tcW w:w="1701" w:type="dxa"/>
            <w:shd w:val="clear" w:color="auto" w:fill="auto"/>
            <w:noWrap/>
            <w:vAlign w:val="bottom"/>
            <w:hideMark/>
          </w:tcPr>
          <w:p w:rsidR="00563C80" w:rsidRPr="00DC79E0" w:rsidRDefault="00563C80" w:rsidP="008E7320">
            <w:pPr>
              <w:spacing w:before="0" w:after="0" w:line="240" w:lineRule="auto"/>
              <w:rPr>
                <w:rFonts w:cstheme="minorHAnsi"/>
                <w:sz w:val="22"/>
                <w:szCs w:val="22"/>
              </w:rPr>
            </w:pPr>
            <w:r w:rsidRPr="00DC79E0">
              <w:rPr>
                <w:rFonts w:cstheme="minorHAnsi"/>
                <w:sz w:val="22"/>
                <w:szCs w:val="22"/>
              </w:rPr>
              <w:t>miasto</w:t>
            </w:r>
          </w:p>
        </w:tc>
        <w:tc>
          <w:tcPr>
            <w:tcW w:w="1275"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91</w:t>
            </w:r>
          </w:p>
        </w:tc>
        <w:tc>
          <w:tcPr>
            <w:tcW w:w="1843"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70</w:t>
            </w:r>
          </w:p>
        </w:tc>
        <w:tc>
          <w:tcPr>
            <w:tcW w:w="1701"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2</w:t>
            </w:r>
          </w:p>
        </w:tc>
        <w:tc>
          <w:tcPr>
            <w:tcW w:w="1701" w:type="dxa"/>
            <w:shd w:val="clear" w:color="auto" w:fill="auto"/>
            <w:noWrap/>
            <w:vAlign w:val="bottom"/>
            <w:hideMark/>
          </w:tcPr>
          <w:p w:rsidR="00563C80" w:rsidRPr="00DC79E0" w:rsidRDefault="00563C80" w:rsidP="00563C80">
            <w:pPr>
              <w:spacing w:before="0" w:after="0" w:line="240" w:lineRule="auto"/>
              <w:jc w:val="center"/>
              <w:rPr>
                <w:rFonts w:cstheme="minorHAnsi"/>
                <w:sz w:val="22"/>
                <w:szCs w:val="22"/>
              </w:rPr>
            </w:pPr>
            <w:r w:rsidRPr="00DC79E0">
              <w:rPr>
                <w:rFonts w:cstheme="minorHAnsi"/>
                <w:sz w:val="22"/>
                <w:szCs w:val="22"/>
              </w:rPr>
              <w:t>19</w:t>
            </w:r>
          </w:p>
        </w:tc>
      </w:tr>
      <w:tr w:rsidR="00563C80" w:rsidRPr="00DC79E0" w:rsidTr="008E7320">
        <w:trPr>
          <w:trHeight w:val="300"/>
        </w:trPr>
        <w:tc>
          <w:tcPr>
            <w:tcW w:w="1008" w:type="dxa"/>
            <w:vMerge/>
            <w:vAlign w:val="center"/>
            <w:hideMark/>
          </w:tcPr>
          <w:p w:rsidR="00563C80" w:rsidRPr="00DC79E0" w:rsidRDefault="00563C80" w:rsidP="008E7320">
            <w:pPr>
              <w:spacing w:before="0" w:after="0" w:line="240" w:lineRule="auto"/>
              <w:rPr>
                <w:rFonts w:cstheme="minorHAnsi"/>
                <w:sz w:val="22"/>
                <w:szCs w:val="22"/>
              </w:rPr>
            </w:pPr>
          </w:p>
        </w:tc>
        <w:tc>
          <w:tcPr>
            <w:tcW w:w="1701" w:type="dxa"/>
            <w:shd w:val="clear" w:color="auto" w:fill="F2F2F2" w:themeFill="background1" w:themeFillShade="F2"/>
            <w:noWrap/>
            <w:vAlign w:val="bottom"/>
            <w:hideMark/>
          </w:tcPr>
          <w:p w:rsidR="00563C80" w:rsidRPr="00DC79E0" w:rsidRDefault="00563C80" w:rsidP="008E7320">
            <w:pPr>
              <w:spacing w:before="0" w:after="0" w:line="240" w:lineRule="auto"/>
              <w:rPr>
                <w:rFonts w:cstheme="minorHAnsi"/>
                <w:b/>
                <w:sz w:val="22"/>
                <w:szCs w:val="22"/>
              </w:rPr>
            </w:pPr>
            <w:r w:rsidRPr="00DC79E0">
              <w:rPr>
                <w:rFonts w:cstheme="minorHAnsi"/>
                <w:b/>
                <w:sz w:val="22"/>
                <w:szCs w:val="22"/>
              </w:rPr>
              <w:t>RAZEM</w:t>
            </w:r>
          </w:p>
        </w:tc>
        <w:tc>
          <w:tcPr>
            <w:tcW w:w="1275" w:type="dxa"/>
            <w:shd w:val="clear" w:color="auto" w:fill="F2F2F2" w:themeFill="background1" w:themeFillShade="F2"/>
            <w:noWrap/>
            <w:vAlign w:val="bottom"/>
            <w:hideMark/>
          </w:tcPr>
          <w:p w:rsidR="00563C80" w:rsidRPr="00DC79E0" w:rsidRDefault="00563C80" w:rsidP="00563C80">
            <w:pPr>
              <w:spacing w:before="0" w:after="0" w:line="240" w:lineRule="auto"/>
              <w:jc w:val="center"/>
              <w:rPr>
                <w:rFonts w:cstheme="minorHAnsi"/>
                <w:b/>
                <w:bCs/>
                <w:sz w:val="22"/>
                <w:szCs w:val="22"/>
              </w:rPr>
            </w:pPr>
            <w:r w:rsidRPr="00DC79E0">
              <w:rPr>
                <w:rFonts w:cstheme="minorHAnsi"/>
                <w:b/>
                <w:bCs/>
                <w:sz w:val="22"/>
                <w:szCs w:val="22"/>
              </w:rPr>
              <w:t>99</w:t>
            </w:r>
          </w:p>
        </w:tc>
        <w:tc>
          <w:tcPr>
            <w:tcW w:w="1843" w:type="dxa"/>
            <w:shd w:val="clear" w:color="auto" w:fill="F2F2F2" w:themeFill="background1" w:themeFillShade="F2"/>
            <w:noWrap/>
            <w:vAlign w:val="bottom"/>
            <w:hideMark/>
          </w:tcPr>
          <w:p w:rsidR="00563C80" w:rsidRPr="00DC79E0" w:rsidRDefault="00563C80" w:rsidP="00563C80">
            <w:pPr>
              <w:spacing w:before="0" w:after="0" w:line="240" w:lineRule="auto"/>
              <w:jc w:val="center"/>
              <w:rPr>
                <w:rFonts w:cstheme="minorHAnsi"/>
                <w:b/>
                <w:bCs/>
                <w:sz w:val="22"/>
                <w:szCs w:val="22"/>
              </w:rPr>
            </w:pPr>
            <w:r w:rsidRPr="00DC79E0">
              <w:rPr>
                <w:rFonts w:cstheme="minorHAnsi"/>
                <w:b/>
                <w:bCs/>
                <w:sz w:val="22"/>
                <w:szCs w:val="22"/>
              </w:rPr>
              <w:t>77</w:t>
            </w:r>
          </w:p>
        </w:tc>
        <w:tc>
          <w:tcPr>
            <w:tcW w:w="1701" w:type="dxa"/>
            <w:shd w:val="clear" w:color="auto" w:fill="F2F2F2" w:themeFill="background1" w:themeFillShade="F2"/>
            <w:noWrap/>
            <w:vAlign w:val="bottom"/>
            <w:hideMark/>
          </w:tcPr>
          <w:p w:rsidR="00563C80" w:rsidRPr="00DC79E0" w:rsidRDefault="00563C80" w:rsidP="00563C80">
            <w:pPr>
              <w:spacing w:before="0" w:after="0" w:line="240" w:lineRule="auto"/>
              <w:jc w:val="center"/>
              <w:rPr>
                <w:rFonts w:cstheme="minorHAnsi"/>
                <w:b/>
                <w:bCs/>
                <w:sz w:val="22"/>
                <w:szCs w:val="22"/>
              </w:rPr>
            </w:pPr>
            <w:r w:rsidRPr="00DC79E0">
              <w:rPr>
                <w:rFonts w:cstheme="minorHAnsi"/>
                <w:b/>
                <w:bCs/>
                <w:sz w:val="22"/>
                <w:szCs w:val="22"/>
              </w:rPr>
              <w:t>2</w:t>
            </w:r>
          </w:p>
        </w:tc>
        <w:tc>
          <w:tcPr>
            <w:tcW w:w="1701" w:type="dxa"/>
            <w:shd w:val="clear" w:color="auto" w:fill="F2F2F2" w:themeFill="background1" w:themeFillShade="F2"/>
            <w:noWrap/>
            <w:vAlign w:val="bottom"/>
            <w:hideMark/>
          </w:tcPr>
          <w:p w:rsidR="00563C80" w:rsidRPr="00DC79E0" w:rsidRDefault="00563C80" w:rsidP="00563C80">
            <w:pPr>
              <w:spacing w:before="0" w:after="0" w:line="240" w:lineRule="auto"/>
              <w:jc w:val="center"/>
              <w:rPr>
                <w:rFonts w:cstheme="minorHAnsi"/>
                <w:b/>
                <w:bCs/>
                <w:sz w:val="22"/>
                <w:szCs w:val="22"/>
              </w:rPr>
            </w:pPr>
            <w:r w:rsidRPr="00DC79E0">
              <w:rPr>
                <w:rFonts w:cstheme="minorHAnsi"/>
                <w:b/>
                <w:bCs/>
                <w:sz w:val="22"/>
                <w:szCs w:val="22"/>
              </w:rPr>
              <w:t>20</w:t>
            </w:r>
          </w:p>
        </w:tc>
      </w:tr>
    </w:tbl>
    <w:p w:rsidR="007B0781" w:rsidRPr="001D200B" w:rsidRDefault="00703848" w:rsidP="00703848">
      <w:pPr>
        <w:pStyle w:val="podtabelk"/>
        <w:rPr>
          <w:rFonts w:cstheme="minorHAnsi"/>
          <w:highlight w:val="yellow"/>
        </w:rPr>
      </w:pPr>
      <w:r w:rsidRPr="001D200B">
        <w:t>Źródło: PGNiG Obrót Detaliczny sp. z o.o.</w:t>
      </w:r>
    </w:p>
    <w:p w:rsidR="00703848" w:rsidRPr="001D200B" w:rsidRDefault="00703848" w:rsidP="00703848">
      <w:pPr>
        <w:pStyle w:val="Legenda"/>
        <w:rPr>
          <w:color w:val="auto"/>
          <w:highlight w:val="yellow"/>
        </w:rPr>
      </w:pPr>
      <w:bookmarkStart w:id="72" w:name="_Toc39476579"/>
      <w:r w:rsidRPr="001D200B">
        <w:rPr>
          <w:color w:val="auto"/>
        </w:rPr>
        <w:t xml:space="preserve">Tabela </w:t>
      </w:r>
      <w:r w:rsidR="005B7234" w:rsidRPr="001D200B">
        <w:rPr>
          <w:color w:val="auto"/>
        </w:rPr>
        <w:fldChar w:fldCharType="begin"/>
      </w:r>
      <w:r w:rsidR="005B7234" w:rsidRPr="001D200B">
        <w:rPr>
          <w:color w:val="auto"/>
        </w:rPr>
        <w:instrText xml:space="preserve"> SEQ Tabela \* ARABIC </w:instrText>
      </w:r>
      <w:r w:rsidR="005B7234" w:rsidRPr="001D200B">
        <w:rPr>
          <w:color w:val="auto"/>
        </w:rPr>
        <w:fldChar w:fldCharType="separate"/>
      </w:r>
      <w:r w:rsidR="00D2721B" w:rsidRPr="001D200B">
        <w:rPr>
          <w:noProof/>
          <w:color w:val="auto"/>
        </w:rPr>
        <w:t>27</w:t>
      </w:r>
      <w:r w:rsidR="005B7234" w:rsidRPr="001D200B">
        <w:rPr>
          <w:color w:val="auto"/>
        </w:rPr>
        <w:fldChar w:fldCharType="end"/>
      </w:r>
      <w:r w:rsidRPr="001D200B">
        <w:rPr>
          <w:color w:val="auto"/>
        </w:rPr>
        <w:t>. Zużycie gazu ziemnego w latach 2015-2018 na terenie gminy Połaniec z uwzględnieniem poszczególnych grup użytkowników</w:t>
      </w:r>
      <w:bookmarkEnd w:id="72"/>
      <w:r w:rsidRPr="001D200B">
        <w:rPr>
          <w:color w:val="auto"/>
        </w:rPr>
        <w:t xml:space="preserve"> </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80"/>
        <w:gridCol w:w="1629"/>
        <w:gridCol w:w="1275"/>
        <w:gridCol w:w="1843"/>
        <w:gridCol w:w="1701"/>
        <w:gridCol w:w="1701"/>
      </w:tblGrid>
      <w:tr w:rsidR="00703848" w:rsidRPr="00DC79E0" w:rsidTr="008A0849">
        <w:trPr>
          <w:trHeight w:hRule="exact" w:val="340"/>
        </w:trPr>
        <w:tc>
          <w:tcPr>
            <w:tcW w:w="9229" w:type="dxa"/>
            <w:gridSpan w:val="6"/>
            <w:shd w:val="clear" w:color="auto" w:fill="F2F2F2" w:themeFill="background1" w:themeFillShade="F2"/>
            <w:noWrap/>
            <w:vAlign w:val="bottom"/>
            <w:hideMark/>
          </w:tcPr>
          <w:p w:rsidR="00703848" w:rsidRPr="00DC79E0" w:rsidRDefault="00703848" w:rsidP="008E7320">
            <w:pPr>
              <w:spacing w:before="0" w:after="0" w:line="240" w:lineRule="auto"/>
              <w:jc w:val="center"/>
              <w:rPr>
                <w:rFonts w:cstheme="minorHAnsi"/>
                <w:b/>
                <w:sz w:val="22"/>
                <w:szCs w:val="22"/>
              </w:rPr>
            </w:pPr>
            <w:r w:rsidRPr="00DC79E0">
              <w:rPr>
                <w:rFonts w:cstheme="minorHAnsi"/>
                <w:b/>
                <w:sz w:val="22"/>
                <w:szCs w:val="22"/>
              </w:rPr>
              <w:t>ZUŻYCIE GAZU W CIĄGU ROKU [w MWh]*</w:t>
            </w:r>
          </w:p>
        </w:tc>
      </w:tr>
      <w:tr w:rsidR="00703848" w:rsidRPr="00DC79E0" w:rsidTr="008E7320">
        <w:trPr>
          <w:trHeight w:val="570"/>
        </w:trPr>
        <w:tc>
          <w:tcPr>
            <w:tcW w:w="2709" w:type="dxa"/>
            <w:gridSpan w:val="2"/>
            <w:shd w:val="clear" w:color="auto" w:fill="F2F2F2" w:themeFill="background1" w:themeFillShade="F2"/>
            <w:noWrap/>
            <w:vAlign w:val="bottom"/>
            <w:hideMark/>
          </w:tcPr>
          <w:p w:rsidR="00703848" w:rsidRPr="00DC79E0" w:rsidRDefault="00703848" w:rsidP="008E7320">
            <w:pPr>
              <w:spacing w:before="0" w:after="0" w:line="240" w:lineRule="auto"/>
              <w:rPr>
                <w:rFonts w:cstheme="minorHAnsi"/>
                <w:sz w:val="22"/>
                <w:szCs w:val="22"/>
              </w:rPr>
            </w:pPr>
          </w:p>
        </w:tc>
        <w:tc>
          <w:tcPr>
            <w:tcW w:w="1275" w:type="dxa"/>
            <w:shd w:val="clear" w:color="auto" w:fill="F2F2F2" w:themeFill="background1" w:themeFillShade="F2"/>
            <w:noWrap/>
            <w:vAlign w:val="center"/>
            <w:hideMark/>
          </w:tcPr>
          <w:p w:rsidR="00703848" w:rsidRPr="00DC79E0" w:rsidRDefault="00703848" w:rsidP="008E7320">
            <w:pPr>
              <w:spacing w:before="0" w:after="0" w:line="240" w:lineRule="auto"/>
              <w:jc w:val="center"/>
              <w:rPr>
                <w:rFonts w:cstheme="minorHAnsi"/>
                <w:b/>
                <w:sz w:val="22"/>
                <w:szCs w:val="22"/>
              </w:rPr>
            </w:pPr>
            <w:r w:rsidRPr="00DC79E0">
              <w:rPr>
                <w:rFonts w:cstheme="minorHAnsi"/>
                <w:b/>
                <w:sz w:val="22"/>
                <w:szCs w:val="22"/>
              </w:rPr>
              <w:t>Ogółem</w:t>
            </w:r>
          </w:p>
        </w:tc>
        <w:tc>
          <w:tcPr>
            <w:tcW w:w="1843" w:type="dxa"/>
            <w:shd w:val="clear" w:color="auto" w:fill="F2F2F2" w:themeFill="background1" w:themeFillShade="F2"/>
            <w:vAlign w:val="center"/>
            <w:hideMark/>
          </w:tcPr>
          <w:p w:rsidR="00703848" w:rsidRPr="00DC79E0" w:rsidRDefault="00703848" w:rsidP="008E7320">
            <w:pPr>
              <w:spacing w:before="0" w:after="0" w:line="240" w:lineRule="auto"/>
              <w:jc w:val="center"/>
              <w:rPr>
                <w:rFonts w:cstheme="minorHAnsi"/>
                <w:sz w:val="22"/>
                <w:szCs w:val="22"/>
              </w:rPr>
            </w:pPr>
            <w:r w:rsidRPr="00DC79E0">
              <w:rPr>
                <w:rFonts w:cstheme="minorHAnsi"/>
                <w:sz w:val="22"/>
                <w:szCs w:val="22"/>
              </w:rPr>
              <w:t>Gospodarstwa domowe</w:t>
            </w:r>
          </w:p>
        </w:tc>
        <w:tc>
          <w:tcPr>
            <w:tcW w:w="1701" w:type="dxa"/>
            <w:shd w:val="clear" w:color="auto" w:fill="F2F2F2" w:themeFill="background1" w:themeFillShade="F2"/>
            <w:vAlign w:val="center"/>
            <w:hideMark/>
          </w:tcPr>
          <w:p w:rsidR="00703848" w:rsidRPr="00DC79E0" w:rsidRDefault="00703848" w:rsidP="008E7320">
            <w:pPr>
              <w:spacing w:before="0" w:after="0" w:line="240" w:lineRule="auto"/>
              <w:jc w:val="center"/>
              <w:rPr>
                <w:rFonts w:cstheme="minorHAnsi"/>
                <w:sz w:val="22"/>
                <w:szCs w:val="22"/>
              </w:rPr>
            </w:pPr>
            <w:r w:rsidRPr="00DC79E0">
              <w:rPr>
                <w:rFonts w:cstheme="minorHAnsi"/>
                <w:sz w:val="22"/>
                <w:szCs w:val="22"/>
              </w:rPr>
              <w:t>Przemysł i budownictwo</w:t>
            </w:r>
          </w:p>
        </w:tc>
        <w:tc>
          <w:tcPr>
            <w:tcW w:w="1701" w:type="dxa"/>
            <w:shd w:val="clear" w:color="auto" w:fill="F2F2F2" w:themeFill="background1" w:themeFillShade="F2"/>
            <w:vAlign w:val="center"/>
            <w:hideMark/>
          </w:tcPr>
          <w:p w:rsidR="00703848" w:rsidRPr="00DC79E0" w:rsidRDefault="00703848" w:rsidP="008E7320">
            <w:pPr>
              <w:spacing w:before="0" w:after="0" w:line="240" w:lineRule="auto"/>
              <w:jc w:val="center"/>
              <w:rPr>
                <w:rFonts w:cstheme="minorHAnsi"/>
                <w:sz w:val="22"/>
                <w:szCs w:val="22"/>
              </w:rPr>
            </w:pPr>
            <w:r w:rsidRPr="00DC79E0">
              <w:rPr>
                <w:rFonts w:cstheme="minorHAnsi"/>
                <w:sz w:val="22"/>
                <w:szCs w:val="22"/>
              </w:rPr>
              <w:t>Handel i usługi</w:t>
            </w:r>
          </w:p>
        </w:tc>
      </w:tr>
      <w:tr w:rsidR="008E7320" w:rsidRPr="00DC79E0" w:rsidTr="008E7320">
        <w:trPr>
          <w:trHeight w:val="285"/>
        </w:trPr>
        <w:tc>
          <w:tcPr>
            <w:tcW w:w="1080" w:type="dxa"/>
            <w:vMerge w:val="restart"/>
            <w:shd w:val="clear" w:color="auto" w:fill="auto"/>
            <w:noWrap/>
            <w:vAlign w:val="center"/>
            <w:hideMark/>
          </w:tcPr>
          <w:p w:rsidR="008E7320" w:rsidRPr="00DC79E0" w:rsidRDefault="008E7320" w:rsidP="008E7320">
            <w:pPr>
              <w:spacing w:before="0" w:after="0" w:line="240" w:lineRule="auto"/>
              <w:jc w:val="center"/>
              <w:rPr>
                <w:rFonts w:cstheme="minorHAnsi"/>
                <w:b/>
                <w:sz w:val="22"/>
                <w:szCs w:val="22"/>
              </w:rPr>
            </w:pPr>
            <w:r w:rsidRPr="00DC79E0">
              <w:rPr>
                <w:rFonts w:cstheme="minorHAnsi"/>
                <w:b/>
                <w:sz w:val="22"/>
                <w:szCs w:val="22"/>
              </w:rPr>
              <w:t>2015</w:t>
            </w:r>
          </w:p>
        </w:tc>
        <w:tc>
          <w:tcPr>
            <w:tcW w:w="1629" w:type="dxa"/>
            <w:shd w:val="clear" w:color="auto" w:fill="auto"/>
            <w:noWrap/>
            <w:vAlign w:val="bottom"/>
            <w:hideMark/>
          </w:tcPr>
          <w:p w:rsidR="008E7320" w:rsidRPr="00DC79E0" w:rsidRDefault="008E7320" w:rsidP="008E7320">
            <w:pPr>
              <w:spacing w:before="0" w:after="0" w:line="240" w:lineRule="auto"/>
              <w:rPr>
                <w:rFonts w:cstheme="minorHAnsi"/>
                <w:sz w:val="22"/>
                <w:szCs w:val="22"/>
              </w:rPr>
            </w:pPr>
            <w:r w:rsidRPr="00DC79E0">
              <w:rPr>
                <w:rFonts w:cstheme="minorHAnsi"/>
                <w:sz w:val="22"/>
                <w:szCs w:val="22"/>
              </w:rPr>
              <w:t>obszar wiejski</w:t>
            </w:r>
          </w:p>
        </w:tc>
        <w:tc>
          <w:tcPr>
            <w:tcW w:w="1275" w:type="dxa"/>
            <w:shd w:val="clear" w:color="auto" w:fill="auto"/>
            <w:noWrap/>
            <w:vAlign w:val="bottom"/>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5583,5</w:t>
            </w:r>
          </w:p>
        </w:tc>
        <w:tc>
          <w:tcPr>
            <w:tcW w:w="1843" w:type="dxa"/>
            <w:shd w:val="clear" w:color="auto" w:fill="auto"/>
            <w:noWrap/>
            <w:vAlign w:val="bottom"/>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19</w:t>
            </w:r>
          </w:p>
        </w:tc>
        <w:tc>
          <w:tcPr>
            <w:tcW w:w="1701" w:type="dxa"/>
            <w:shd w:val="clear" w:color="auto" w:fill="auto"/>
            <w:noWrap/>
            <w:vAlign w:val="center"/>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5055,6</w:t>
            </w:r>
          </w:p>
        </w:tc>
        <w:tc>
          <w:tcPr>
            <w:tcW w:w="1701" w:type="dxa"/>
            <w:shd w:val="clear" w:color="auto" w:fill="auto"/>
            <w:noWrap/>
            <w:vAlign w:val="bottom"/>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508,9</w:t>
            </w:r>
          </w:p>
        </w:tc>
      </w:tr>
      <w:tr w:rsidR="008E7320" w:rsidRPr="00DC79E0" w:rsidTr="008E7320">
        <w:trPr>
          <w:trHeight w:val="285"/>
        </w:trPr>
        <w:tc>
          <w:tcPr>
            <w:tcW w:w="1080" w:type="dxa"/>
            <w:vMerge/>
            <w:vAlign w:val="center"/>
            <w:hideMark/>
          </w:tcPr>
          <w:p w:rsidR="008E7320" w:rsidRPr="00DC79E0" w:rsidRDefault="008E7320" w:rsidP="008E7320">
            <w:pPr>
              <w:spacing w:before="0" w:after="0" w:line="240" w:lineRule="auto"/>
              <w:jc w:val="center"/>
              <w:rPr>
                <w:rFonts w:cstheme="minorHAnsi"/>
                <w:b/>
                <w:sz w:val="22"/>
                <w:szCs w:val="22"/>
              </w:rPr>
            </w:pPr>
          </w:p>
        </w:tc>
        <w:tc>
          <w:tcPr>
            <w:tcW w:w="1629" w:type="dxa"/>
            <w:shd w:val="clear" w:color="auto" w:fill="auto"/>
            <w:noWrap/>
            <w:vAlign w:val="bottom"/>
            <w:hideMark/>
          </w:tcPr>
          <w:p w:rsidR="008E7320" w:rsidRPr="00DC79E0" w:rsidRDefault="008E7320" w:rsidP="008E7320">
            <w:pPr>
              <w:spacing w:before="0" w:after="0" w:line="240" w:lineRule="auto"/>
              <w:rPr>
                <w:rFonts w:cstheme="minorHAnsi"/>
                <w:sz w:val="22"/>
                <w:szCs w:val="22"/>
              </w:rPr>
            </w:pPr>
            <w:r w:rsidRPr="00DC79E0">
              <w:rPr>
                <w:rFonts w:cstheme="minorHAnsi"/>
                <w:sz w:val="22"/>
                <w:szCs w:val="22"/>
              </w:rPr>
              <w:t>miasto</w:t>
            </w:r>
          </w:p>
        </w:tc>
        <w:tc>
          <w:tcPr>
            <w:tcW w:w="1275" w:type="dxa"/>
            <w:shd w:val="clear" w:color="auto" w:fill="auto"/>
            <w:noWrap/>
            <w:vAlign w:val="bottom"/>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1025</w:t>
            </w:r>
          </w:p>
        </w:tc>
        <w:tc>
          <w:tcPr>
            <w:tcW w:w="1843" w:type="dxa"/>
            <w:shd w:val="clear" w:color="auto" w:fill="auto"/>
            <w:noWrap/>
            <w:vAlign w:val="bottom"/>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591,7</w:t>
            </w:r>
          </w:p>
        </w:tc>
        <w:tc>
          <w:tcPr>
            <w:tcW w:w="1701" w:type="dxa"/>
            <w:shd w:val="clear" w:color="auto" w:fill="auto"/>
            <w:noWrap/>
            <w:vAlign w:val="center"/>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96,4</w:t>
            </w:r>
          </w:p>
        </w:tc>
        <w:tc>
          <w:tcPr>
            <w:tcW w:w="1701" w:type="dxa"/>
            <w:shd w:val="clear" w:color="auto" w:fill="auto"/>
            <w:noWrap/>
            <w:vAlign w:val="bottom"/>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336,9</w:t>
            </w:r>
          </w:p>
        </w:tc>
      </w:tr>
      <w:tr w:rsidR="008E7320" w:rsidRPr="00DC79E0" w:rsidTr="008E7320">
        <w:trPr>
          <w:trHeight w:val="300"/>
        </w:trPr>
        <w:tc>
          <w:tcPr>
            <w:tcW w:w="1080" w:type="dxa"/>
            <w:vMerge/>
            <w:vAlign w:val="center"/>
            <w:hideMark/>
          </w:tcPr>
          <w:p w:rsidR="008E7320" w:rsidRPr="00DC79E0" w:rsidRDefault="008E7320" w:rsidP="008E7320">
            <w:pPr>
              <w:spacing w:before="0" w:after="0" w:line="240" w:lineRule="auto"/>
              <w:jc w:val="center"/>
              <w:rPr>
                <w:rFonts w:cstheme="minorHAnsi"/>
                <w:b/>
                <w:sz w:val="22"/>
                <w:szCs w:val="22"/>
              </w:rPr>
            </w:pPr>
          </w:p>
        </w:tc>
        <w:tc>
          <w:tcPr>
            <w:tcW w:w="1629" w:type="dxa"/>
            <w:shd w:val="clear" w:color="auto" w:fill="F2F2F2" w:themeFill="background1" w:themeFillShade="F2"/>
            <w:noWrap/>
            <w:vAlign w:val="bottom"/>
            <w:hideMark/>
          </w:tcPr>
          <w:p w:rsidR="008E7320" w:rsidRPr="00DC79E0" w:rsidRDefault="008E7320" w:rsidP="008E7320">
            <w:pPr>
              <w:spacing w:before="0" w:after="0" w:line="240" w:lineRule="auto"/>
              <w:rPr>
                <w:rFonts w:cstheme="minorHAnsi"/>
                <w:b/>
                <w:sz w:val="22"/>
                <w:szCs w:val="22"/>
              </w:rPr>
            </w:pPr>
            <w:r w:rsidRPr="00DC79E0">
              <w:rPr>
                <w:rFonts w:cstheme="minorHAnsi"/>
                <w:b/>
                <w:sz w:val="22"/>
                <w:szCs w:val="22"/>
              </w:rPr>
              <w:t>RAZEM</w:t>
            </w:r>
          </w:p>
        </w:tc>
        <w:tc>
          <w:tcPr>
            <w:tcW w:w="1275" w:type="dxa"/>
            <w:shd w:val="clear" w:color="auto" w:fill="F2F2F2" w:themeFill="background1" w:themeFillShade="F2"/>
            <w:noWrap/>
            <w:vAlign w:val="bottom"/>
            <w:hideMark/>
          </w:tcPr>
          <w:p w:rsidR="008E7320" w:rsidRPr="00DC79E0" w:rsidRDefault="008E7320" w:rsidP="008E7320">
            <w:pPr>
              <w:spacing w:before="0" w:after="0" w:line="240" w:lineRule="auto"/>
              <w:jc w:val="center"/>
              <w:rPr>
                <w:rFonts w:cstheme="minorHAnsi"/>
                <w:b/>
                <w:bCs/>
                <w:sz w:val="22"/>
                <w:szCs w:val="22"/>
              </w:rPr>
            </w:pPr>
            <w:r w:rsidRPr="00DC79E0">
              <w:rPr>
                <w:rFonts w:cstheme="minorHAnsi"/>
                <w:b/>
                <w:bCs/>
                <w:sz w:val="22"/>
                <w:szCs w:val="22"/>
              </w:rPr>
              <w:t>6608,5</w:t>
            </w:r>
          </w:p>
        </w:tc>
        <w:tc>
          <w:tcPr>
            <w:tcW w:w="1843" w:type="dxa"/>
            <w:shd w:val="clear" w:color="auto" w:fill="F2F2F2" w:themeFill="background1" w:themeFillShade="F2"/>
            <w:noWrap/>
            <w:vAlign w:val="bottom"/>
            <w:hideMark/>
          </w:tcPr>
          <w:p w:rsidR="008E7320" w:rsidRPr="00DC79E0" w:rsidRDefault="008E7320" w:rsidP="008E7320">
            <w:pPr>
              <w:spacing w:before="0" w:after="0" w:line="240" w:lineRule="auto"/>
              <w:jc w:val="center"/>
              <w:rPr>
                <w:rFonts w:cstheme="minorHAnsi"/>
                <w:b/>
                <w:bCs/>
                <w:sz w:val="22"/>
                <w:szCs w:val="22"/>
              </w:rPr>
            </w:pPr>
            <w:r w:rsidRPr="00DC79E0">
              <w:rPr>
                <w:rFonts w:cstheme="minorHAnsi"/>
                <w:b/>
                <w:bCs/>
                <w:sz w:val="22"/>
                <w:szCs w:val="22"/>
              </w:rPr>
              <w:t>610,7</w:t>
            </w:r>
          </w:p>
        </w:tc>
        <w:tc>
          <w:tcPr>
            <w:tcW w:w="1701" w:type="dxa"/>
            <w:shd w:val="clear" w:color="auto" w:fill="F2F2F2" w:themeFill="background1" w:themeFillShade="F2"/>
            <w:noWrap/>
            <w:vAlign w:val="bottom"/>
            <w:hideMark/>
          </w:tcPr>
          <w:p w:rsidR="008E7320" w:rsidRPr="00DC79E0" w:rsidRDefault="008E7320" w:rsidP="008E7320">
            <w:pPr>
              <w:spacing w:before="0" w:after="0" w:line="240" w:lineRule="auto"/>
              <w:jc w:val="center"/>
              <w:rPr>
                <w:rFonts w:cstheme="minorHAnsi"/>
                <w:b/>
                <w:bCs/>
                <w:sz w:val="22"/>
                <w:szCs w:val="22"/>
              </w:rPr>
            </w:pPr>
            <w:r w:rsidRPr="00DC79E0">
              <w:rPr>
                <w:rFonts w:cstheme="minorHAnsi"/>
                <w:b/>
                <w:bCs/>
                <w:sz w:val="22"/>
                <w:szCs w:val="22"/>
              </w:rPr>
              <w:t>5152,0</w:t>
            </w:r>
          </w:p>
        </w:tc>
        <w:tc>
          <w:tcPr>
            <w:tcW w:w="1701" w:type="dxa"/>
            <w:shd w:val="clear" w:color="auto" w:fill="F2F2F2" w:themeFill="background1" w:themeFillShade="F2"/>
            <w:noWrap/>
            <w:vAlign w:val="bottom"/>
            <w:hideMark/>
          </w:tcPr>
          <w:p w:rsidR="008E7320" w:rsidRPr="00DC79E0" w:rsidRDefault="008E7320" w:rsidP="008E7320">
            <w:pPr>
              <w:spacing w:before="0" w:after="0" w:line="240" w:lineRule="auto"/>
              <w:jc w:val="center"/>
              <w:rPr>
                <w:rFonts w:cstheme="minorHAnsi"/>
                <w:b/>
                <w:bCs/>
                <w:sz w:val="22"/>
                <w:szCs w:val="22"/>
              </w:rPr>
            </w:pPr>
            <w:r w:rsidRPr="00DC79E0">
              <w:rPr>
                <w:rFonts w:cstheme="minorHAnsi"/>
                <w:b/>
                <w:bCs/>
                <w:sz w:val="22"/>
                <w:szCs w:val="22"/>
              </w:rPr>
              <w:t>845,8</w:t>
            </w:r>
          </w:p>
        </w:tc>
      </w:tr>
      <w:tr w:rsidR="008E7320" w:rsidRPr="00DC79E0" w:rsidTr="008E7320">
        <w:trPr>
          <w:trHeight w:val="285"/>
        </w:trPr>
        <w:tc>
          <w:tcPr>
            <w:tcW w:w="1080" w:type="dxa"/>
            <w:vMerge w:val="restart"/>
            <w:shd w:val="clear" w:color="auto" w:fill="auto"/>
            <w:noWrap/>
            <w:vAlign w:val="center"/>
            <w:hideMark/>
          </w:tcPr>
          <w:p w:rsidR="008E7320" w:rsidRPr="00DC79E0" w:rsidRDefault="008E7320" w:rsidP="008E7320">
            <w:pPr>
              <w:spacing w:before="0" w:after="0" w:line="240" w:lineRule="auto"/>
              <w:jc w:val="center"/>
              <w:rPr>
                <w:rFonts w:cstheme="minorHAnsi"/>
                <w:b/>
                <w:sz w:val="22"/>
                <w:szCs w:val="22"/>
              </w:rPr>
            </w:pPr>
            <w:r w:rsidRPr="00DC79E0">
              <w:rPr>
                <w:rFonts w:cstheme="minorHAnsi"/>
                <w:b/>
                <w:sz w:val="22"/>
                <w:szCs w:val="22"/>
              </w:rPr>
              <w:t>2016</w:t>
            </w:r>
          </w:p>
        </w:tc>
        <w:tc>
          <w:tcPr>
            <w:tcW w:w="1629" w:type="dxa"/>
            <w:shd w:val="clear" w:color="auto" w:fill="auto"/>
            <w:noWrap/>
            <w:vAlign w:val="bottom"/>
            <w:hideMark/>
          </w:tcPr>
          <w:p w:rsidR="008E7320" w:rsidRPr="00DC79E0" w:rsidRDefault="008E7320" w:rsidP="008E7320">
            <w:pPr>
              <w:spacing w:before="0" w:after="0" w:line="240" w:lineRule="auto"/>
              <w:rPr>
                <w:rFonts w:cstheme="minorHAnsi"/>
                <w:sz w:val="22"/>
                <w:szCs w:val="22"/>
              </w:rPr>
            </w:pPr>
            <w:r w:rsidRPr="00DC79E0">
              <w:rPr>
                <w:rFonts w:cstheme="minorHAnsi"/>
                <w:sz w:val="22"/>
                <w:szCs w:val="22"/>
              </w:rPr>
              <w:t>obszar wiejski</w:t>
            </w:r>
          </w:p>
        </w:tc>
        <w:tc>
          <w:tcPr>
            <w:tcW w:w="1275" w:type="dxa"/>
            <w:shd w:val="clear" w:color="auto" w:fill="auto"/>
            <w:noWrap/>
            <w:vAlign w:val="bottom"/>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809,5</w:t>
            </w:r>
          </w:p>
        </w:tc>
        <w:tc>
          <w:tcPr>
            <w:tcW w:w="1843" w:type="dxa"/>
            <w:shd w:val="clear" w:color="auto" w:fill="auto"/>
            <w:noWrap/>
            <w:vAlign w:val="bottom"/>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25,9</w:t>
            </w:r>
          </w:p>
        </w:tc>
        <w:tc>
          <w:tcPr>
            <w:tcW w:w="1701" w:type="dxa"/>
            <w:shd w:val="clear" w:color="auto" w:fill="auto"/>
            <w:noWrap/>
            <w:vAlign w:val="center"/>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740,5</w:t>
            </w:r>
          </w:p>
        </w:tc>
        <w:tc>
          <w:tcPr>
            <w:tcW w:w="1701" w:type="dxa"/>
            <w:shd w:val="clear" w:color="auto" w:fill="auto"/>
            <w:noWrap/>
            <w:vAlign w:val="bottom"/>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43,1</w:t>
            </w:r>
          </w:p>
        </w:tc>
      </w:tr>
      <w:tr w:rsidR="008E7320" w:rsidRPr="00DC79E0" w:rsidTr="008E7320">
        <w:trPr>
          <w:trHeight w:val="285"/>
        </w:trPr>
        <w:tc>
          <w:tcPr>
            <w:tcW w:w="1080" w:type="dxa"/>
            <w:vMerge/>
            <w:vAlign w:val="center"/>
            <w:hideMark/>
          </w:tcPr>
          <w:p w:rsidR="008E7320" w:rsidRPr="00DC79E0" w:rsidRDefault="008E7320" w:rsidP="008E7320">
            <w:pPr>
              <w:spacing w:before="0" w:after="0" w:line="240" w:lineRule="auto"/>
              <w:jc w:val="center"/>
              <w:rPr>
                <w:rFonts w:cstheme="minorHAnsi"/>
                <w:b/>
                <w:sz w:val="22"/>
                <w:szCs w:val="22"/>
              </w:rPr>
            </w:pPr>
          </w:p>
        </w:tc>
        <w:tc>
          <w:tcPr>
            <w:tcW w:w="1629" w:type="dxa"/>
            <w:shd w:val="clear" w:color="auto" w:fill="auto"/>
            <w:noWrap/>
            <w:vAlign w:val="bottom"/>
            <w:hideMark/>
          </w:tcPr>
          <w:p w:rsidR="008E7320" w:rsidRPr="00DC79E0" w:rsidRDefault="008E7320" w:rsidP="008E7320">
            <w:pPr>
              <w:spacing w:before="0" w:after="0" w:line="240" w:lineRule="auto"/>
              <w:rPr>
                <w:rFonts w:cstheme="minorHAnsi"/>
                <w:sz w:val="22"/>
                <w:szCs w:val="22"/>
              </w:rPr>
            </w:pPr>
            <w:r w:rsidRPr="00DC79E0">
              <w:rPr>
                <w:rFonts w:cstheme="minorHAnsi"/>
                <w:sz w:val="22"/>
                <w:szCs w:val="22"/>
              </w:rPr>
              <w:t>miasto</w:t>
            </w:r>
          </w:p>
        </w:tc>
        <w:tc>
          <w:tcPr>
            <w:tcW w:w="1275" w:type="dxa"/>
            <w:shd w:val="clear" w:color="auto" w:fill="auto"/>
            <w:noWrap/>
            <w:vAlign w:val="bottom"/>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1209,4</w:t>
            </w:r>
          </w:p>
        </w:tc>
        <w:tc>
          <w:tcPr>
            <w:tcW w:w="1843" w:type="dxa"/>
            <w:shd w:val="clear" w:color="auto" w:fill="auto"/>
            <w:noWrap/>
            <w:vAlign w:val="bottom"/>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790,5</w:t>
            </w:r>
          </w:p>
        </w:tc>
        <w:tc>
          <w:tcPr>
            <w:tcW w:w="1701" w:type="dxa"/>
            <w:shd w:val="clear" w:color="auto" w:fill="auto"/>
            <w:noWrap/>
            <w:vAlign w:val="center"/>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118,8</w:t>
            </w:r>
          </w:p>
        </w:tc>
        <w:tc>
          <w:tcPr>
            <w:tcW w:w="1701" w:type="dxa"/>
            <w:shd w:val="clear" w:color="auto" w:fill="auto"/>
            <w:noWrap/>
            <w:vAlign w:val="bottom"/>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300,1</w:t>
            </w:r>
          </w:p>
        </w:tc>
      </w:tr>
      <w:tr w:rsidR="008E7320" w:rsidRPr="00DC79E0" w:rsidTr="008E7320">
        <w:trPr>
          <w:trHeight w:val="300"/>
        </w:trPr>
        <w:tc>
          <w:tcPr>
            <w:tcW w:w="1080" w:type="dxa"/>
            <w:vMerge/>
            <w:vAlign w:val="center"/>
            <w:hideMark/>
          </w:tcPr>
          <w:p w:rsidR="008E7320" w:rsidRPr="00DC79E0" w:rsidRDefault="008E7320" w:rsidP="008E7320">
            <w:pPr>
              <w:spacing w:before="0" w:after="0" w:line="240" w:lineRule="auto"/>
              <w:jc w:val="center"/>
              <w:rPr>
                <w:rFonts w:cstheme="minorHAnsi"/>
                <w:b/>
                <w:sz w:val="22"/>
                <w:szCs w:val="22"/>
              </w:rPr>
            </w:pPr>
          </w:p>
        </w:tc>
        <w:tc>
          <w:tcPr>
            <w:tcW w:w="1629" w:type="dxa"/>
            <w:shd w:val="clear" w:color="auto" w:fill="F2F2F2" w:themeFill="background1" w:themeFillShade="F2"/>
            <w:noWrap/>
            <w:vAlign w:val="bottom"/>
            <w:hideMark/>
          </w:tcPr>
          <w:p w:rsidR="008E7320" w:rsidRPr="00DC79E0" w:rsidRDefault="008E7320" w:rsidP="008E7320">
            <w:pPr>
              <w:spacing w:before="0" w:after="0" w:line="240" w:lineRule="auto"/>
              <w:rPr>
                <w:rFonts w:cstheme="minorHAnsi"/>
                <w:b/>
                <w:sz w:val="22"/>
                <w:szCs w:val="22"/>
              </w:rPr>
            </w:pPr>
            <w:r w:rsidRPr="00DC79E0">
              <w:rPr>
                <w:rFonts w:cstheme="minorHAnsi"/>
                <w:b/>
                <w:sz w:val="22"/>
                <w:szCs w:val="22"/>
              </w:rPr>
              <w:t>RAZEM</w:t>
            </w:r>
          </w:p>
        </w:tc>
        <w:tc>
          <w:tcPr>
            <w:tcW w:w="1275" w:type="dxa"/>
            <w:shd w:val="clear" w:color="auto" w:fill="F2F2F2" w:themeFill="background1" w:themeFillShade="F2"/>
            <w:noWrap/>
            <w:vAlign w:val="bottom"/>
            <w:hideMark/>
          </w:tcPr>
          <w:p w:rsidR="008E7320" w:rsidRPr="00DC79E0" w:rsidRDefault="008E7320" w:rsidP="008E7320">
            <w:pPr>
              <w:spacing w:before="0" w:after="0" w:line="240" w:lineRule="auto"/>
              <w:jc w:val="center"/>
              <w:rPr>
                <w:rFonts w:cstheme="minorHAnsi"/>
                <w:b/>
                <w:bCs/>
                <w:sz w:val="22"/>
                <w:szCs w:val="22"/>
              </w:rPr>
            </w:pPr>
            <w:r w:rsidRPr="00DC79E0">
              <w:rPr>
                <w:rFonts w:cstheme="minorHAnsi"/>
                <w:b/>
                <w:bCs/>
                <w:sz w:val="22"/>
                <w:szCs w:val="22"/>
              </w:rPr>
              <w:t>2018,9</w:t>
            </w:r>
          </w:p>
        </w:tc>
        <w:tc>
          <w:tcPr>
            <w:tcW w:w="1843" w:type="dxa"/>
            <w:shd w:val="clear" w:color="auto" w:fill="F2F2F2" w:themeFill="background1" w:themeFillShade="F2"/>
            <w:noWrap/>
            <w:vAlign w:val="bottom"/>
            <w:hideMark/>
          </w:tcPr>
          <w:p w:rsidR="008E7320" w:rsidRPr="00DC79E0" w:rsidRDefault="008E7320" w:rsidP="008E7320">
            <w:pPr>
              <w:spacing w:before="0" w:after="0" w:line="240" w:lineRule="auto"/>
              <w:jc w:val="center"/>
              <w:rPr>
                <w:rFonts w:cstheme="minorHAnsi"/>
                <w:b/>
                <w:bCs/>
                <w:sz w:val="22"/>
                <w:szCs w:val="22"/>
              </w:rPr>
            </w:pPr>
            <w:r w:rsidRPr="00DC79E0">
              <w:rPr>
                <w:rFonts w:cstheme="minorHAnsi"/>
                <w:b/>
                <w:bCs/>
                <w:sz w:val="22"/>
                <w:szCs w:val="22"/>
              </w:rPr>
              <w:t>816,4</w:t>
            </w:r>
          </w:p>
        </w:tc>
        <w:tc>
          <w:tcPr>
            <w:tcW w:w="1701" w:type="dxa"/>
            <w:shd w:val="clear" w:color="auto" w:fill="F2F2F2" w:themeFill="background1" w:themeFillShade="F2"/>
            <w:noWrap/>
            <w:vAlign w:val="bottom"/>
            <w:hideMark/>
          </w:tcPr>
          <w:p w:rsidR="008E7320" w:rsidRPr="00DC79E0" w:rsidRDefault="008E7320" w:rsidP="008E7320">
            <w:pPr>
              <w:spacing w:before="0" w:after="0" w:line="240" w:lineRule="auto"/>
              <w:jc w:val="center"/>
              <w:rPr>
                <w:rFonts w:cstheme="minorHAnsi"/>
                <w:b/>
                <w:bCs/>
                <w:sz w:val="22"/>
                <w:szCs w:val="22"/>
              </w:rPr>
            </w:pPr>
            <w:r w:rsidRPr="00DC79E0">
              <w:rPr>
                <w:rFonts w:cstheme="minorHAnsi"/>
                <w:b/>
                <w:bCs/>
                <w:sz w:val="22"/>
                <w:szCs w:val="22"/>
              </w:rPr>
              <w:t>859,3</w:t>
            </w:r>
          </w:p>
        </w:tc>
        <w:tc>
          <w:tcPr>
            <w:tcW w:w="1701" w:type="dxa"/>
            <w:shd w:val="clear" w:color="auto" w:fill="F2F2F2" w:themeFill="background1" w:themeFillShade="F2"/>
            <w:noWrap/>
            <w:vAlign w:val="bottom"/>
            <w:hideMark/>
          </w:tcPr>
          <w:p w:rsidR="008E7320" w:rsidRPr="00DC79E0" w:rsidRDefault="008E7320" w:rsidP="008E7320">
            <w:pPr>
              <w:spacing w:before="0" w:after="0" w:line="240" w:lineRule="auto"/>
              <w:jc w:val="center"/>
              <w:rPr>
                <w:rFonts w:cstheme="minorHAnsi"/>
                <w:b/>
                <w:bCs/>
                <w:sz w:val="22"/>
                <w:szCs w:val="22"/>
              </w:rPr>
            </w:pPr>
            <w:r w:rsidRPr="00DC79E0">
              <w:rPr>
                <w:rFonts w:cstheme="minorHAnsi"/>
                <w:b/>
                <w:bCs/>
                <w:sz w:val="22"/>
                <w:szCs w:val="22"/>
              </w:rPr>
              <w:t>343,2</w:t>
            </w:r>
          </w:p>
        </w:tc>
      </w:tr>
      <w:tr w:rsidR="008E7320" w:rsidRPr="00DC79E0" w:rsidTr="008E7320">
        <w:trPr>
          <w:trHeight w:val="285"/>
        </w:trPr>
        <w:tc>
          <w:tcPr>
            <w:tcW w:w="1080" w:type="dxa"/>
            <w:vMerge w:val="restart"/>
            <w:shd w:val="clear" w:color="auto" w:fill="auto"/>
            <w:noWrap/>
            <w:vAlign w:val="center"/>
            <w:hideMark/>
          </w:tcPr>
          <w:p w:rsidR="008E7320" w:rsidRPr="00DC79E0" w:rsidRDefault="008E7320" w:rsidP="008E7320">
            <w:pPr>
              <w:spacing w:before="0" w:after="0" w:line="240" w:lineRule="auto"/>
              <w:jc w:val="center"/>
              <w:rPr>
                <w:rFonts w:cstheme="minorHAnsi"/>
                <w:b/>
                <w:sz w:val="22"/>
                <w:szCs w:val="22"/>
              </w:rPr>
            </w:pPr>
            <w:r w:rsidRPr="00DC79E0">
              <w:rPr>
                <w:rFonts w:cstheme="minorHAnsi"/>
                <w:b/>
                <w:sz w:val="22"/>
                <w:szCs w:val="22"/>
              </w:rPr>
              <w:t>2017</w:t>
            </w:r>
          </w:p>
        </w:tc>
        <w:tc>
          <w:tcPr>
            <w:tcW w:w="1629" w:type="dxa"/>
            <w:shd w:val="clear" w:color="auto" w:fill="auto"/>
            <w:noWrap/>
            <w:vAlign w:val="bottom"/>
            <w:hideMark/>
          </w:tcPr>
          <w:p w:rsidR="008E7320" w:rsidRPr="00DC79E0" w:rsidRDefault="008E7320" w:rsidP="008E7320">
            <w:pPr>
              <w:spacing w:before="0" w:after="0" w:line="240" w:lineRule="auto"/>
              <w:rPr>
                <w:rFonts w:cstheme="minorHAnsi"/>
                <w:sz w:val="22"/>
                <w:szCs w:val="22"/>
              </w:rPr>
            </w:pPr>
            <w:r w:rsidRPr="00DC79E0">
              <w:rPr>
                <w:rFonts w:cstheme="minorHAnsi"/>
                <w:sz w:val="22"/>
                <w:szCs w:val="22"/>
              </w:rPr>
              <w:t>obszar wiejski</w:t>
            </w:r>
          </w:p>
        </w:tc>
        <w:tc>
          <w:tcPr>
            <w:tcW w:w="1275" w:type="dxa"/>
            <w:shd w:val="clear" w:color="auto" w:fill="auto"/>
            <w:noWrap/>
            <w:vAlign w:val="bottom"/>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86,2</w:t>
            </w:r>
          </w:p>
        </w:tc>
        <w:tc>
          <w:tcPr>
            <w:tcW w:w="1843" w:type="dxa"/>
            <w:shd w:val="clear" w:color="auto" w:fill="auto"/>
            <w:noWrap/>
            <w:vAlign w:val="bottom"/>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67,3</w:t>
            </w:r>
          </w:p>
        </w:tc>
        <w:tc>
          <w:tcPr>
            <w:tcW w:w="1701" w:type="dxa"/>
            <w:shd w:val="clear" w:color="auto" w:fill="auto"/>
            <w:noWrap/>
            <w:vAlign w:val="center"/>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0</w:t>
            </w:r>
          </w:p>
        </w:tc>
        <w:tc>
          <w:tcPr>
            <w:tcW w:w="1701" w:type="dxa"/>
            <w:shd w:val="clear" w:color="auto" w:fill="auto"/>
            <w:noWrap/>
            <w:vAlign w:val="bottom"/>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18,9</w:t>
            </w:r>
          </w:p>
        </w:tc>
      </w:tr>
      <w:tr w:rsidR="008E7320" w:rsidRPr="00DC79E0" w:rsidTr="008E7320">
        <w:trPr>
          <w:trHeight w:val="285"/>
        </w:trPr>
        <w:tc>
          <w:tcPr>
            <w:tcW w:w="1080" w:type="dxa"/>
            <w:vMerge/>
            <w:vAlign w:val="center"/>
            <w:hideMark/>
          </w:tcPr>
          <w:p w:rsidR="008E7320" w:rsidRPr="00DC79E0" w:rsidRDefault="008E7320" w:rsidP="008E7320">
            <w:pPr>
              <w:spacing w:before="0" w:after="0" w:line="240" w:lineRule="auto"/>
              <w:jc w:val="center"/>
              <w:rPr>
                <w:rFonts w:cstheme="minorHAnsi"/>
                <w:b/>
                <w:sz w:val="22"/>
                <w:szCs w:val="22"/>
              </w:rPr>
            </w:pPr>
          </w:p>
        </w:tc>
        <w:tc>
          <w:tcPr>
            <w:tcW w:w="1629" w:type="dxa"/>
            <w:shd w:val="clear" w:color="auto" w:fill="auto"/>
            <w:noWrap/>
            <w:vAlign w:val="bottom"/>
            <w:hideMark/>
          </w:tcPr>
          <w:p w:rsidR="008E7320" w:rsidRPr="00DC79E0" w:rsidRDefault="008E7320" w:rsidP="008E7320">
            <w:pPr>
              <w:spacing w:before="0" w:after="0" w:line="240" w:lineRule="auto"/>
              <w:rPr>
                <w:rFonts w:cstheme="minorHAnsi"/>
                <w:sz w:val="22"/>
                <w:szCs w:val="22"/>
              </w:rPr>
            </w:pPr>
            <w:r w:rsidRPr="00DC79E0">
              <w:rPr>
                <w:rFonts w:cstheme="minorHAnsi"/>
                <w:sz w:val="22"/>
                <w:szCs w:val="22"/>
              </w:rPr>
              <w:t>miasto</w:t>
            </w:r>
          </w:p>
        </w:tc>
        <w:tc>
          <w:tcPr>
            <w:tcW w:w="1275" w:type="dxa"/>
            <w:shd w:val="clear" w:color="auto" w:fill="auto"/>
            <w:noWrap/>
            <w:vAlign w:val="bottom"/>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1387,9</w:t>
            </w:r>
          </w:p>
        </w:tc>
        <w:tc>
          <w:tcPr>
            <w:tcW w:w="1843" w:type="dxa"/>
            <w:shd w:val="clear" w:color="auto" w:fill="auto"/>
            <w:noWrap/>
            <w:vAlign w:val="bottom"/>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1025,6</w:t>
            </w:r>
          </w:p>
        </w:tc>
        <w:tc>
          <w:tcPr>
            <w:tcW w:w="1701" w:type="dxa"/>
            <w:shd w:val="clear" w:color="auto" w:fill="auto"/>
            <w:noWrap/>
            <w:vAlign w:val="center"/>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127,2</w:t>
            </w:r>
          </w:p>
        </w:tc>
        <w:tc>
          <w:tcPr>
            <w:tcW w:w="1701" w:type="dxa"/>
            <w:shd w:val="clear" w:color="auto" w:fill="auto"/>
            <w:noWrap/>
            <w:vAlign w:val="bottom"/>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235,1</w:t>
            </w:r>
          </w:p>
        </w:tc>
      </w:tr>
      <w:tr w:rsidR="008E7320" w:rsidRPr="00DC79E0" w:rsidTr="008E7320">
        <w:trPr>
          <w:trHeight w:val="300"/>
        </w:trPr>
        <w:tc>
          <w:tcPr>
            <w:tcW w:w="1080" w:type="dxa"/>
            <w:vMerge/>
            <w:vAlign w:val="center"/>
            <w:hideMark/>
          </w:tcPr>
          <w:p w:rsidR="008E7320" w:rsidRPr="00DC79E0" w:rsidRDefault="008E7320" w:rsidP="008E7320">
            <w:pPr>
              <w:spacing w:before="0" w:after="0" w:line="240" w:lineRule="auto"/>
              <w:jc w:val="center"/>
              <w:rPr>
                <w:rFonts w:cstheme="minorHAnsi"/>
                <w:b/>
                <w:sz w:val="22"/>
                <w:szCs w:val="22"/>
              </w:rPr>
            </w:pPr>
          </w:p>
        </w:tc>
        <w:tc>
          <w:tcPr>
            <w:tcW w:w="1629" w:type="dxa"/>
            <w:shd w:val="clear" w:color="auto" w:fill="F2F2F2" w:themeFill="background1" w:themeFillShade="F2"/>
            <w:noWrap/>
            <w:vAlign w:val="bottom"/>
            <w:hideMark/>
          </w:tcPr>
          <w:p w:rsidR="008E7320" w:rsidRPr="00DC79E0" w:rsidRDefault="008E7320" w:rsidP="008E7320">
            <w:pPr>
              <w:spacing w:before="0" w:after="0" w:line="240" w:lineRule="auto"/>
              <w:rPr>
                <w:rFonts w:cstheme="minorHAnsi"/>
                <w:b/>
                <w:sz w:val="22"/>
                <w:szCs w:val="22"/>
              </w:rPr>
            </w:pPr>
            <w:r w:rsidRPr="00DC79E0">
              <w:rPr>
                <w:rFonts w:cstheme="minorHAnsi"/>
                <w:b/>
                <w:sz w:val="22"/>
                <w:szCs w:val="22"/>
              </w:rPr>
              <w:t>RAZEM</w:t>
            </w:r>
          </w:p>
        </w:tc>
        <w:tc>
          <w:tcPr>
            <w:tcW w:w="1275" w:type="dxa"/>
            <w:shd w:val="clear" w:color="auto" w:fill="F2F2F2" w:themeFill="background1" w:themeFillShade="F2"/>
            <w:noWrap/>
            <w:vAlign w:val="bottom"/>
            <w:hideMark/>
          </w:tcPr>
          <w:p w:rsidR="008E7320" w:rsidRPr="00DC79E0" w:rsidRDefault="008E7320" w:rsidP="008E7320">
            <w:pPr>
              <w:spacing w:before="0" w:after="0" w:line="240" w:lineRule="auto"/>
              <w:jc w:val="center"/>
              <w:rPr>
                <w:rFonts w:cstheme="minorHAnsi"/>
                <w:b/>
                <w:bCs/>
                <w:sz w:val="22"/>
                <w:szCs w:val="22"/>
              </w:rPr>
            </w:pPr>
            <w:r w:rsidRPr="00DC79E0">
              <w:rPr>
                <w:rFonts w:cstheme="minorHAnsi"/>
                <w:b/>
                <w:bCs/>
                <w:sz w:val="22"/>
                <w:szCs w:val="22"/>
              </w:rPr>
              <w:t>1474,1</w:t>
            </w:r>
          </w:p>
        </w:tc>
        <w:tc>
          <w:tcPr>
            <w:tcW w:w="1843" w:type="dxa"/>
            <w:shd w:val="clear" w:color="auto" w:fill="F2F2F2" w:themeFill="background1" w:themeFillShade="F2"/>
            <w:noWrap/>
            <w:vAlign w:val="bottom"/>
            <w:hideMark/>
          </w:tcPr>
          <w:p w:rsidR="008E7320" w:rsidRPr="00DC79E0" w:rsidRDefault="008E7320" w:rsidP="008E7320">
            <w:pPr>
              <w:spacing w:before="0" w:after="0" w:line="240" w:lineRule="auto"/>
              <w:jc w:val="center"/>
              <w:rPr>
                <w:rFonts w:cstheme="minorHAnsi"/>
                <w:b/>
                <w:bCs/>
                <w:sz w:val="22"/>
                <w:szCs w:val="22"/>
              </w:rPr>
            </w:pPr>
            <w:r w:rsidRPr="00DC79E0">
              <w:rPr>
                <w:rFonts w:cstheme="minorHAnsi"/>
                <w:b/>
                <w:bCs/>
                <w:sz w:val="22"/>
                <w:szCs w:val="22"/>
              </w:rPr>
              <w:t>1092,9</w:t>
            </w:r>
          </w:p>
        </w:tc>
        <w:tc>
          <w:tcPr>
            <w:tcW w:w="1701" w:type="dxa"/>
            <w:shd w:val="clear" w:color="auto" w:fill="F2F2F2" w:themeFill="background1" w:themeFillShade="F2"/>
            <w:noWrap/>
            <w:vAlign w:val="bottom"/>
            <w:hideMark/>
          </w:tcPr>
          <w:p w:rsidR="008E7320" w:rsidRPr="00DC79E0" w:rsidRDefault="008E7320" w:rsidP="008E7320">
            <w:pPr>
              <w:spacing w:before="0" w:after="0" w:line="240" w:lineRule="auto"/>
              <w:jc w:val="center"/>
              <w:rPr>
                <w:rFonts w:cstheme="minorHAnsi"/>
                <w:b/>
                <w:bCs/>
                <w:sz w:val="22"/>
                <w:szCs w:val="22"/>
              </w:rPr>
            </w:pPr>
            <w:r w:rsidRPr="00DC79E0">
              <w:rPr>
                <w:rFonts w:cstheme="minorHAnsi"/>
                <w:b/>
                <w:bCs/>
                <w:sz w:val="22"/>
                <w:szCs w:val="22"/>
              </w:rPr>
              <w:t>127,2</w:t>
            </w:r>
          </w:p>
        </w:tc>
        <w:tc>
          <w:tcPr>
            <w:tcW w:w="1701" w:type="dxa"/>
            <w:shd w:val="clear" w:color="auto" w:fill="F2F2F2" w:themeFill="background1" w:themeFillShade="F2"/>
            <w:noWrap/>
            <w:vAlign w:val="bottom"/>
            <w:hideMark/>
          </w:tcPr>
          <w:p w:rsidR="008E7320" w:rsidRPr="00DC79E0" w:rsidRDefault="008E7320" w:rsidP="008E7320">
            <w:pPr>
              <w:spacing w:before="0" w:after="0" w:line="240" w:lineRule="auto"/>
              <w:jc w:val="center"/>
              <w:rPr>
                <w:rFonts w:cstheme="minorHAnsi"/>
                <w:b/>
                <w:bCs/>
                <w:sz w:val="22"/>
                <w:szCs w:val="22"/>
              </w:rPr>
            </w:pPr>
            <w:r w:rsidRPr="00DC79E0">
              <w:rPr>
                <w:rFonts w:cstheme="minorHAnsi"/>
                <w:b/>
                <w:bCs/>
                <w:sz w:val="22"/>
                <w:szCs w:val="22"/>
              </w:rPr>
              <w:t>254</w:t>
            </w:r>
            <w:r w:rsidR="00F46080" w:rsidRPr="00DC79E0">
              <w:rPr>
                <w:rFonts w:cstheme="minorHAnsi"/>
                <w:b/>
                <w:bCs/>
                <w:sz w:val="22"/>
                <w:szCs w:val="22"/>
              </w:rPr>
              <w:t>,0</w:t>
            </w:r>
          </w:p>
        </w:tc>
      </w:tr>
      <w:tr w:rsidR="008E7320" w:rsidRPr="00DC79E0" w:rsidTr="008E7320">
        <w:trPr>
          <w:trHeight w:val="285"/>
        </w:trPr>
        <w:tc>
          <w:tcPr>
            <w:tcW w:w="1080" w:type="dxa"/>
            <w:vMerge w:val="restart"/>
            <w:shd w:val="clear" w:color="auto" w:fill="auto"/>
            <w:noWrap/>
            <w:vAlign w:val="center"/>
            <w:hideMark/>
          </w:tcPr>
          <w:p w:rsidR="008E7320" w:rsidRPr="00DC79E0" w:rsidRDefault="008E7320" w:rsidP="008E7320">
            <w:pPr>
              <w:spacing w:before="0" w:after="0" w:line="240" w:lineRule="auto"/>
              <w:jc w:val="center"/>
              <w:rPr>
                <w:rFonts w:cstheme="minorHAnsi"/>
                <w:b/>
                <w:sz w:val="22"/>
                <w:szCs w:val="22"/>
              </w:rPr>
            </w:pPr>
            <w:r w:rsidRPr="00DC79E0">
              <w:rPr>
                <w:rFonts w:cstheme="minorHAnsi"/>
                <w:b/>
                <w:sz w:val="22"/>
                <w:szCs w:val="22"/>
              </w:rPr>
              <w:t>2018</w:t>
            </w:r>
          </w:p>
        </w:tc>
        <w:tc>
          <w:tcPr>
            <w:tcW w:w="1629" w:type="dxa"/>
            <w:shd w:val="clear" w:color="auto" w:fill="auto"/>
            <w:noWrap/>
            <w:vAlign w:val="bottom"/>
            <w:hideMark/>
          </w:tcPr>
          <w:p w:rsidR="008E7320" w:rsidRPr="00DC79E0" w:rsidRDefault="008E7320" w:rsidP="008E7320">
            <w:pPr>
              <w:spacing w:before="0" w:after="0" w:line="240" w:lineRule="auto"/>
              <w:rPr>
                <w:rFonts w:cstheme="minorHAnsi"/>
                <w:sz w:val="22"/>
                <w:szCs w:val="22"/>
              </w:rPr>
            </w:pPr>
            <w:r w:rsidRPr="00DC79E0">
              <w:rPr>
                <w:rFonts w:cstheme="minorHAnsi"/>
                <w:sz w:val="22"/>
                <w:szCs w:val="22"/>
              </w:rPr>
              <w:t>obszar wiejski</w:t>
            </w:r>
          </w:p>
        </w:tc>
        <w:tc>
          <w:tcPr>
            <w:tcW w:w="1275" w:type="dxa"/>
            <w:shd w:val="clear" w:color="auto" w:fill="auto"/>
            <w:noWrap/>
            <w:vAlign w:val="bottom"/>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98,1</w:t>
            </w:r>
          </w:p>
        </w:tc>
        <w:tc>
          <w:tcPr>
            <w:tcW w:w="1843" w:type="dxa"/>
            <w:shd w:val="clear" w:color="auto" w:fill="auto"/>
            <w:noWrap/>
            <w:vAlign w:val="bottom"/>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91,5</w:t>
            </w:r>
          </w:p>
        </w:tc>
        <w:tc>
          <w:tcPr>
            <w:tcW w:w="1701" w:type="dxa"/>
            <w:shd w:val="clear" w:color="auto" w:fill="auto"/>
            <w:noWrap/>
            <w:vAlign w:val="center"/>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 </w:t>
            </w:r>
          </w:p>
        </w:tc>
        <w:tc>
          <w:tcPr>
            <w:tcW w:w="1701" w:type="dxa"/>
            <w:shd w:val="clear" w:color="auto" w:fill="auto"/>
            <w:noWrap/>
            <w:vAlign w:val="bottom"/>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6,6</w:t>
            </w:r>
          </w:p>
        </w:tc>
      </w:tr>
      <w:tr w:rsidR="008E7320" w:rsidRPr="00DC79E0" w:rsidTr="008E7320">
        <w:trPr>
          <w:trHeight w:val="285"/>
        </w:trPr>
        <w:tc>
          <w:tcPr>
            <w:tcW w:w="1080" w:type="dxa"/>
            <w:vMerge/>
            <w:vAlign w:val="center"/>
            <w:hideMark/>
          </w:tcPr>
          <w:p w:rsidR="008E7320" w:rsidRPr="00DC79E0" w:rsidRDefault="008E7320" w:rsidP="008E7320">
            <w:pPr>
              <w:spacing w:before="0" w:after="0" w:line="240" w:lineRule="auto"/>
              <w:rPr>
                <w:rFonts w:cstheme="minorHAnsi"/>
                <w:sz w:val="22"/>
                <w:szCs w:val="22"/>
              </w:rPr>
            </w:pPr>
          </w:p>
        </w:tc>
        <w:tc>
          <w:tcPr>
            <w:tcW w:w="1629" w:type="dxa"/>
            <w:shd w:val="clear" w:color="auto" w:fill="auto"/>
            <w:noWrap/>
            <w:vAlign w:val="bottom"/>
            <w:hideMark/>
          </w:tcPr>
          <w:p w:rsidR="008E7320" w:rsidRPr="00DC79E0" w:rsidRDefault="008E7320" w:rsidP="008E7320">
            <w:pPr>
              <w:spacing w:before="0" w:after="0" w:line="240" w:lineRule="auto"/>
              <w:rPr>
                <w:rFonts w:cstheme="minorHAnsi"/>
                <w:sz w:val="22"/>
                <w:szCs w:val="22"/>
              </w:rPr>
            </w:pPr>
            <w:r w:rsidRPr="00DC79E0">
              <w:rPr>
                <w:rFonts w:cstheme="minorHAnsi"/>
                <w:sz w:val="22"/>
                <w:szCs w:val="22"/>
              </w:rPr>
              <w:t>miasto</w:t>
            </w:r>
          </w:p>
        </w:tc>
        <w:tc>
          <w:tcPr>
            <w:tcW w:w="1275" w:type="dxa"/>
            <w:shd w:val="clear" w:color="auto" w:fill="auto"/>
            <w:noWrap/>
            <w:vAlign w:val="bottom"/>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1516</w:t>
            </w:r>
          </w:p>
        </w:tc>
        <w:tc>
          <w:tcPr>
            <w:tcW w:w="1843" w:type="dxa"/>
            <w:shd w:val="clear" w:color="auto" w:fill="auto"/>
            <w:noWrap/>
            <w:vAlign w:val="bottom"/>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1068,8</w:t>
            </w:r>
          </w:p>
        </w:tc>
        <w:tc>
          <w:tcPr>
            <w:tcW w:w="1701" w:type="dxa"/>
            <w:shd w:val="clear" w:color="auto" w:fill="auto"/>
            <w:noWrap/>
            <w:vAlign w:val="center"/>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127,4</w:t>
            </w:r>
          </w:p>
        </w:tc>
        <w:tc>
          <w:tcPr>
            <w:tcW w:w="1701" w:type="dxa"/>
            <w:shd w:val="clear" w:color="auto" w:fill="auto"/>
            <w:noWrap/>
            <w:vAlign w:val="bottom"/>
            <w:hideMark/>
          </w:tcPr>
          <w:p w:rsidR="008E7320" w:rsidRPr="00DC79E0" w:rsidRDefault="008E7320" w:rsidP="008E7320">
            <w:pPr>
              <w:spacing w:before="0" w:after="0" w:line="240" w:lineRule="auto"/>
              <w:jc w:val="center"/>
              <w:rPr>
                <w:rFonts w:cstheme="minorHAnsi"/>
                <w:sz w:val="22"/>
                <w:szCs w:val="22"/>
              </w:rPr>
            </w:pPr>
            <w:r w:rsidRPr="00DC79E0">
              <w:rPr>
                <w:rFonts w:cstheme="minorHAnsi"/>
                <w:sz w:val="22"/>
                <w:szCs w:val="22"/>
              </w:rPr>
              <w:t>319,8</w:t>
            </w:r>
          </w:p>
        </w:tc>
      </w:tr>
      <w:tr w:rsidR="008E7320" w:rsidRPr="00DC79E0" w:rsidTr="008E7320">
        <w:trPr>
          <w:trHeight w:val="300"/>
        </w:trPr>
        <w:tc>
          <w:tcPr>
            <w:tcW w:w="1080" w:type="dxa"/>
            <w:vMerge/>
            <w:vAlign w:val="center"/>
            <w:hideMark/>
          </w:tcPr>
          <w:p w:rsidR="008E7320" w:rsidRPr="00DC79E0" w:rsidRDefault="008E7320" w:rsidP="008E7320">
            <w:pPr>
              <w:spacing w:before="0" w:after="0" w:line="240" w:lineRule="auto"/>
              <w:rPr>
                <w:rFonts w:cstheme="minorHAnsi"/>
                <w:sz w:val="22"/>
                <w:szCs w:val="22"/>
              </w:rPr>
            </w:pPr>
          </w:p>
        </w:tc>
        <w:tc>
          <w:tcPr>
            <w:tcW w:w="1629" w:type="dxa"/>
            <w:shd w:val="clear" w:color="auto" w:fill="F2F2F2" w:themeFill="background1" w:themeFillShade="F2"/>
            <w:noWrap/>
            <w:vAlign w:val="bottom"/>
            <w:hideMark/>
          </w:tcPr>
          <w:p w:rsidR="008E7320" w:rsidRPr="00DC79E0" w:rsidRDefault="008E7320" w:rsidP="008E7320">
            <w:pPr>
              <w:spacing w:before="0" w:after="0" w:line="240" w:lineRule="auto"/>
              <w:rPr>
                <w:rFonts w:cstheme="minorHAnsi"/>
                <w:b/>
                <w:sz w:val="22"/>
                <w:szCs w:val="22"/>
              </w:rPr>
            </w:pPr>
            <w:r w:rsidRPr="00DC79E0">
              <w:rPr>
                <w:rFonts w:cstheme="minorHAnsi"/>
                <w:b/>
                <w:sz w:val="22"/>
                <w:szCs w:val="22"/>
              </w:rPr>
              <w:t>RAZEM</w:t>
            </w:r>
          </w:p>
        </w:tc>
        <w:tc>
          <w:tcPr>
            <w:tcW w:w="1275" w:type="dxa"/>
            <w:shd w:val="clear" w:color="auto" w:fill="F2F2F2" w:themeFill="background1" w:themeFillShade="F2"/>
            <w:noWrap/>
            <w:vAlign w:val="bottom"/>
            <w:hideMark/>
          </w:tcPr>
          <w:p w:rsidR="008E7320" w:rsidRPr="00DC79E0" w:rsidRDefault="008E7320" w:rsidP="008E7320">
            <w:pPr>
              <w:spacing w:before="0" w:after="0" w:line="240" w:lineRule="auto"/>
              <w:jc w:val="center"/>
              <w:rPr>
                <w:rFonts w:cstheme="minorHAnsi"/>
                <w:b/>
                <w:bCs/>
                <w:sz w:val="22"/>
                <w:szCs w:val="22"/>
              </w:rPr>
            </w:pPr>
            <w:r w:rsidRPr="00DC79E0">
              <w:rPr>
                <w:rFonts w:cstheme="minorHAnsi"/>
                <w:b/>
                <w:bCs/>
                <w:sz w:val="22"/>
                <w:szCs w:val="22"/>
              </w:rPr>
              <w:t>1614,1</w:t>
            </w:r>
          </w:p>
        </w:tc>
        <w:tc>
          <w:tcPr>
            <w:tcW w:w="1843" w:type="dxa"/>
            <w:shd w:val="clear" w:color="auto" w:fill="F2F2F2" w:themeFill="background1" w:themeFillShade="F2"/>
            <w:noWrap/>
            <w:vAlign w:val="bottom"/>
            <w:hideMark/>
          </w:tcPr>
          <w:p w:rsidR="008E7320" w:rsidRPr="00DC79E0" w:rsidRDefault="008E7320" w:rsidP="008E7320">
            <w:pPr>
              <w:spacing w:before="0" w:after="0" w:line="240" w:lineRule="auto"/>
              <w:jc w:val="center"/>
              <w:rPr>
                <w:rFonts w:cstheme="minorHAnsi"/>
                <w:b/>
                <w:bCs/>
                <w:sz w:val="22"/>
                <w:szCs w:val="22"/>
              </w:rPr>
            </w:pPr>
            <w:r w:rsidRPr="00DC79E0">
              <w:rPr>
                <w:rFonts w:cstheme="minorHAnsi"/>
                <w:b/>
                <w:bCs/>
                <w:sz w:val="22"/>
                <w:szCs w:val="22"/>
              </w:rPr>
              <w:t>1160,3</w:t>
            </w:r>
          </w:p>
        </w:tc>
        <w:tc>
          <w:tcPr>
            <w:tcW w:w="1701" w:type="dxa"/>
            <w:shd w:val="clear" w:color="auto" w:fill="F2F2F2" w:themeFill="background1" w:themeFillShade="F2"/>
            <w:noWrap/>
            <w:vAlign w:val="bottom"/>
            <w:hideMark/>
          </w:tcPr>
          <w:p w:rsidR="008E7320" w:rsidRPr="00DC79E0" w:rsidRDefault="008E7320" w:rsidP="008E7320">
            <w:pPr>
              <w:spacing w:before="0" w:after="0" w:line="240" w:lineRule="auto"/>
              <w:jc w:val="center"/>
              <w:rPr>
                <w:rFonts w:cstheme="minorHAnsi"/>
                <w:b/>
                <w:bCs/>
                <w:sz w:val="22"/>
                <w:szCs w:val="22"/>
              </w:rPr>
            </w:pPr>
            <w:r w:rsidRPr="00DC79E0">
              <w:rPr>
                <w:rFonts w:cstheme="minorHAnsi"/>
                <w:b/>
                <w:bCs/>
                <w:sz w:val="22"/>
                <w:szCs w:val="22"/>
              </w:rPr>
              <w:t>127,4</w:t>
            </w:r>
          </w:p>
        </w:tc>
        <w:tc>
          <w:tcPr>
            <w:tcW w:w="1701" w:type="dxa"/>
            <w:shd w:val="clear" w:color="auto" w:fill="F2F2F2" w:themeFill="background1" w:themeFillShade="F2"/>
            <w:noWrap/>
            <w:vAlign w:val="bottom"/>
            <w:hideMark/>
          </w:tcPr>
          <w:p w:rsidR="008E7320" w:rsidRPr="00DC79E0" w:rsidRDefault="008E7320" w:rsidP="008E7320">
            <w:pPr>
              <w:spacing w:before="0" w:after="0" w:line="240" w:lineRule="auto"/>
              <w:jc w:val="center"/>
              <w:rPr>
                <w:rFonts w:cstheme="minorHAnsi"/>
                <w:b/>
                <w:bCs/>
                <w:sz w:val="22"/>
                <w:szCs w:val="22"/>
              </w:rPr>
            </w:pPr>
            <w:r w:rsidRPr="00DC79E0">
              <w:rPr>
                <w:rFonts w:cstheme="minorHAnsi"/>
                <w:b/>
                <w:bCs/>
                <w:sz w:val="22"/>
                <w:szCs w:val="22"/>
              </w:rPr>
              <w:t>326,4</w:t>
            </w:r>
          </w:p>
        </w:tc>
      </w:tr>
      <w:tr w:rsidR="00703848" w:rsidRPr="00DC79E0" w:rsidTr="00062CC7">
        <w:trPr>
          <w:trHeight w:hRule="exact" w:val="340"/>
        </w:trPr>
        <w:tc>
          <w:tcPr>
            <w:tcW w:w="9229" w:type="dxa"/>
            <w:gridSpan w:val="6"/>
            <w:shd w:val="clear" w:color="auto" w:fill="F2F2F2" w:themeFill="background1" w:themeFillShade="F2"/>
            <w:noWrap/>
            <w:vAlign w:val="bottom"/>
            <w:hideMark/>
          </w:tcPr>
          <w:p w:rsidR="00703848" w:rsidRPr="00DC79E0" w:rsidRDefault="00703848" w:rsidP="008E7320">
            <w:pPr>
              <w:spacing w:before="0" w:after="0" w:line="240" w:lineRule="auto"/>
              <w:jc w:val="center"/>
              <w:rPr>
                <w:rFonts w:cstheme="minorHAnsi"/>
                <w:b/>
                <w:sz w:val="22"/>
                <w:szCs w:val="22"/>
              </w:rPr>
            </w:pPr>
            <w:r w:rsidRPr="00DC79E0">
              <w:rPr>
                <w:rFonts w:cstheme="minorHAnsi"/>
                <w:b/>
                <w:sz w:val="22"/>
                <w:szCs w:val="22"/>
              </w:rPr>
              <w:t>ZUŻYCIE GAZU W CIĄGU ROKU [w tys. m</w:t>
            </w:r>
            <w:r w:rsidRPr="00DC79E0">
              <w:rPr>
                <w:rFonts w:cstheme="minorHAnsi"/>
                <w:b/>
                <w:sz w:val="22"/>
                <w:szCs w:val="22"/>
                <w:vertAlign w:val="superscript"/>
              </w:rPr>
              <w:t>3</w:t>
            </w:r>
            <w:r w:rsidRPr="00DC79E0">
              <w:rPr>
                <w:rFonts w:cstheme="minorHAnsi"/>
                <w:b/>
                <w:sz w:val="22"/>
                <w:szCs w:val="22"/>
              </w:rPr>
              <w:t>]**</w:t>
            </w:r>
          </w:p>
        </w:tc>
      </w:tr>
      <w:tr w:rsidR="00703848" w:rsidRPr="00DC79E0" w:rsidTr="008E7320">
        <w:trPr>
          <w:trHeight w:val="570"/>
        </w:trPr>
        <w:tc>
          <w:tcPr>
            <w:tcW w:w="2709" w:type="dxa"/>
            <w:gridSpan w:val="2"/>
            <w:shd w:val="clear" w:color="auto" w:fill="F2F2F2" w:themeFill="background1" w:themeFillShade="F2"/>
            <w:noWrap/>
            <w:vAlign w:val="bottom"/>
            <w:hideMark/>
          </w:tcPr>
          <w:p w:rsidR="00703848" w:rsidRPr="00DC79E0" w:rsidRDefault="00703848" w:rsidP="008E7320">
            <w:pPr>
              <w:spacing w:before="0" w:after="0" w:line="240" w:lineRule="auto"/>
              <w:rPr>
                <w:rFonts w:cstheme="minorHAnsi"/>
                <w:sz w:val="22"/>
                <w:szCs w:val="22"/>
              </w:rPr>
            </w:pPr>
          </w:p>
        </w:tc>
        <w:tc>
          <w:tcPr>
            <w:tcW w:w="1275" w:type="dxa"/>
            <w:shd w:val="clear" w:color="auto" w:fill="F2F2F2" w:themeFill="background1" w:themeFillShade="F2"/>
            <w:noWrap/>
            <w:vAlign w:val="center"/>
            <w:hideMark/>
          </w:tcPr>
          <w:p w:rsidR="00703848" w:rsidRPr="00DC79E0" w:rsidRDefault="00703848" w:rsidP="008E7320">
            <w:pPr>
              <w:spacing w:before="0" w:after="0" w:line="240" w:lineRule="auto"/>
              <w:jc w:val="center"/>
              <w:rPr>
                <w:rFonts w:cstheme="minorHAnsi"/>
                <w:b/>
                <w:sz w:val="22"/>
                <w:szCs w:val="22"/>
              </w:rPr>
            </w:pPr>
            <w:r w:rsidRPr="00DC79E0">
              <w:rPr>
                <w:rFonts w:cstheme="minorHAnsi"/>
                <w:b/>
                <w:sz w:val="22"/>
                <w:szCs w:val="22"/>
              </w:rPr>
              <w:t>Ogółem</w:t>
            </w:r>
          </w:p>
        </w:tc>
        <w:tc>
          <w:tcPr>
            <w:tcW w:w="1843" w:type="dxa"/>
            <w:shd w:val="clear" w:color="auto" w:fill="F2F2F2" w:themeFill="background1" w:themeFillShade="F2"/>
            <w:vAlign w:val="center"/>
            <w:hideMark/>
          </w:tcPr>
          <w:p w:rsidR="00703848" w:rsidRPr="00DC79E0" w:rsidRDefault="00703848" w:rsidP="008E7320">
            <w:pPr>
              <w:spacing w:before="0" w:after="0" w:line="240" w:lineRule="auto"/>
              <w:jc w:val="center"/>
              <w:rPr>
                <w:rFonts w:cstheme="minorHAnsi"/>
                <w:sz w:val="22"/>
                <w:szCs w:val="22"/>
              </w:rPr>
            </w:pPr>
            <w:r w:rsidRPr="00DC79E0">
              <w:rPr>
                <w:rFonts w:cstheme="minorHAnsi"/>
                <w:sz w:val="22"/>
                <w:szCs w:val="22"/>
              </w:rPr>
              <w:t>Gospodarstwa domowe</w:t>
            </w:r>
          </w:p>
        </w:tc>
        <w:tc>
          <w:tcPr>
            <w:tcW w:w="1701" w:type="dxa"/>
            <w:shd w:val="clear" w:color="auto" w:fill="F2F2F2" w:themeFill="background1" w:themeFillShade="F2"/>
            <w:vAlign w:val="center"/>
            <w:hideMark/>
          </w:tcPr>
          <w:p w:rsidR="00703848" w:rsidRPr="00DC79E0" w:rsidRDefault="00703848" w:rsidP="008E7320">
            <w:pPr>
              <w:spacing w:before="0" w:after="0" w:line="240" w:lineRule="auto"/>
              <w:jc w:val="center"/>
              <w:rPr>
                <w:rFonts w:cstheme="minorHAnsi"/>
                <w:sz w:val="22"/>
                <w:szCs w:val="22"/>
              </w:rPr>
            </w:pPr>
            <w:r w:rsidRPr="00DC79E0">
              <w:rPr>
                <w:rFonts w:cstheme="minorHAnsi"/>
                <w:sz w:val="22"/>
                <w:szCs w:val="22"/>
              </w:rPr>
              <w:t>Przemysł i budownictwo</w:t>
            </w:r>
          </w:p>
        </w:tc>
        <w:tc>
          <w:tcPr>
            <w:tcW w:w="1701" w:type="dxa"/>
            <w:shd w:val="clear" w:color="auto" w:fill="F2F2F2" w:themeFill="background1" w:themeFillShade="F2"/>
            <w:vAlign w:val="center"/>
            <w:hideMark/>
          </w:tcPr>
          <w:p w:rsidR="00703848" w:rsidRPr="00DC79E0" w:rsidRDefault="00703848" w:rsidP="008E7320">
            <w:pPr>
              <w:spacing w:before="0" w:after="0" w:line="240" w:lineRule="auto"/>
              <w:jc w:val="center"/>
              <w:rPr>
                <w:rFonts w:cstheme="minorHAnsi"/>
                <w:sz w:val="22"/>
                <w:szCs w:val="22"/>
              </w:rPr>
            </w:pPr>
            <w:r w:rsidRPr="00DC79E0">
              <w:rPr>
                <w:rFonts w:cstheme="minorHAnsi"/>
                <w:sz w:val="22"/>
                <w:szCs w:val="22"/>
              </w:rPr>
              <w:t>Handel i usługi</w:t>
            </w:r>
          </w:p>
        </w:tc>
      </w:tr>
      <w:tr w:rsidR="001A2BEF" w:rsidRPr="00DC79E0" w:rsidTr="008E7320">
        <w:trPr>
          <w:trHeight w:val="285"/>
        </w:trPr>
        <w:tc>
          <w:tcPr>
            <w:tcW w:w="1080" w:type="dxa"/>
            <w:vMerge w:val="restart"/>
            <w:shd w:val="clear" w:color="auto" w:fill="auto"/>
            <w:noWrap/>
            <w:vAlign w:val="center"/>
            <w:hideMark/>
          </w:tcPr>
          <w:p w:rsidR="001A2BEF" w:rsidRPr="00DC79E0" w:rsidRDefault="001A2BEF" w:rsidP="008E7320">
            <w:pPr>
              <w:spacing w:before="0" w:after="0" w:line="240" w:lineRule="auto"/>
              <w:jc w:val="center"/>
              <w:rPr>
                <w:rFonts w:cstheme="minorHAnsi"/>
                <w:b/>
                <w:sz w:val="22"/>
                <w:szCs w:val="22"/>
              </w:rPr>
            </w:pPr>
            <w:r w:rsidRPr="00DC79E0">
              <w:rPr>
                <w:rFonts w:cstheme="minorHAnsi"/>
                <w:b/>
                <w:sz w:val="22"/>
                <w:szCs w:val="22"/>
              </w:rPr>
              <w:t>2015</w:t>
            </w:r>
          </w:p>
        </w:tc>
        <w:tc>
          <w:tcPr>
            <w:tcW w:w="1629" w:type="dxa"/>
            <w:shd w:val="clear" w:color="auto" w:fill="auto"/>
            <w:noWrap/>
            <w:vAlign w:val="bottom"/>
            <w:hideMark/>
          </w:tcPr>
          <w:p w:rsidR="001A2BEF" w:rsidRPr="00DC79E0" w:rsidRDefault="001A2BEF" w:rsidP="008E7320">
            <w:pPr>
              <w:spacing w:before="0" w:after="0" w:line="240" w:lineRule="auto"/>
              <w:rPr>
                <w:rFonts w:cstheme="minorHAnsi"/>
                <w:sz w:val="22"/>
                <w:szCs w:val="22"/>
              </w:rPr>
            </w:pPr>
            <w:r w:rsidRPr="00DC79E0">
              <w:rPr>
                <w:rFonts w:cstheme="minorHAnsi"/>
                <w:sz w:val="22"/>
                <w:szCs w:val="22"/>
              </w:rPr>
              <w:t>obszar wiejski</w:t>
            </w:r>
          </w:p>
        </w:tc>
        <w:tc>
          <w:tcPr>
            <w:tcW w:w="1275"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500,8</w:t>
            </w:r>
          </w:p>
        </w:tc>
        <w:tc>
          <w:tcPr>
            <w:tcW w:w="1843"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1,7</w:t>
            </w:r>
          </w:p>
        </w:tc>
        <w:tc>
          <w:tcPr>
            <w:tcW w:w="1701"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453,4</w:t>
            </w:r>
          </w:p>
        </w:tc>
        <w:tc>
          <w:tcPr>
            <w:tcW w:w="1701"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45,6</w:t>
            </w:r>
          </w:p>
        </w:tc>
      </w:tr>
      <w:tr w:rsidR="001A2BEF" w:rsidRPr="00DC79E0" w:rsidTr="008E7320">
        <w:trPr>
          <w:trHeight w:val="285"/>
        </w:trPr>
        <w:tc>
          <w:tcPr>
            <w:tcW w:w="1080" w:type="dxa"/>
            <w:vMerge/>
            <w:vAlign w:val="center"/>
            <w:hideMark/>
          </w:tcPr>
          <w:p w:rsidR="001A2BEF" w:rsidRPr="00DC79E0" w:rsidRDefault="001A2BEF" w:rsidP="008E7320">
            <w:pPr>
              <w:spacing w:before="0" w:after="0" w:line="240" w:lineRule="auto"/>
              <w:jc w:val="center"/>
              <w:rPr>
                <w:rFonts w:cstheme="minorHAnsi"/>
                <w:b/>
                <w:sz w:val="22"/>
                <w:szCs w:val="22"/>
              </w:rPr>
            </w:pPr>
          </w:p>
        </w:tc>
        <w:tc>
          <w:tcPr>
            <w:tcW w:w="1629" w:type="dxa"/>
            <w:shd w:val="clear" w:color="auto" w:fill="auto"/>
            <w:noWrap/>
            <w:vAlign w:val="bottom"/>
            <w:hideMark/>
          </w:tcPr>
          <w:p w:rsidR="001A2BEF" w:rsidRPr="00DC79E0" w:rsidRDefault="001A2BEF" w:rsidP="008E7320">
            <w:pPr>
              <w:spacing w:before="0" w:after="0" w:line="240" w:lineRule="auto"/>
              <w:rPr>
                <w:rFonts w:cstheme="minorHAnsi"/>
                <w:sz w:val="22"/>
                <w:szCs w:val="22"/>
              </w:rPr>
            </w:pPr>
            <w:r w:rsidRPr="00DC79E0">
              <w:rPr>
                <w:rFonts w:cstheme="minorHAnsi"/>
                <w:sz w:val="22"/>
                <w:szCs w:val="22"/>
              </w:rPr>
              <w:t>miasto</w:t>
            </w:r>
          </w:p>
        </w:tc>
        <w:tc>
          <w:tcPr>
            <w:tcW w:w="1275"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91,9</w:t>
            </w:r>
          </w:p>
        </w:tc>
        <w:tc>
          <w:tcPr>
            <w:tcW w:w="1843"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53,1</w:t>
            </w:r>
          </w:p>
        </w:tc>
        <w:tc>
          <w:tcPr>
            <w:tcW w:w="1701"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8,6</w:t>
            </w:r>
          </w:p>
        </w:tc>
        <w:tc>
          <w:tcPr>
            <w:tcW w:w="1701"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30,2</w:t>
            </w:r>
          </w:p>
        </w:tc>
      </w:tr>
      <w:tr w:rsidR="001A2BEF" w:rsidRPr="00DC79E0" w:rsidTr="008E7320">
        <w:trPr>
          <w:trHeight w:val="300"/>
        </w:trPr>
        <w:tc>
          <w:tcPr>
            <w:tcW w:w="1080" w:type="dxa"/>
            <w:vMerge/>
            <w:vAlign w:val="center"/>
            <w:hideMark/>
          </w:tcPr>
          <w:p w:rsidR="001A2BEF" w:rsidRPr="00DC79E0" w:rsidRDefault="001A2BEF" w:rsidP="008E7320">
            <w:pPr>
              <w:spacing w:before="0" w:after="0" w:line="240" w:lineRule="auto"/>
              <w:jc w:val="center"/>
              <w:rPr>
                <w:rFonts w:cstheme="minorHAnsi"/>
                <w:b/>
                <w:sz w:val="22"/>
                <w:szCs w:val="22"/>
              </w:rPr>
            </w:pPr>
          </w:p>
        </w:tc>
        <w:tc>
          <w:tcPr>
            <w:tcW w:w="1629" w:type="dxa"/>
            <w:shd w:val="clear" w:color="auto" w:fill="F2F2F2" w:themeFill="background1" w:themeFillShade="F2"/>
            <w:noWrap/>
            <w:vAlign w:val="bottom"/>
            <w:hideMark/>
          </w:tcPr>
          <w:p w:rsidR="001A2BEF" w:rsidRPr="00DC79E0" w:rsidRDefault="001A2BEF" w:rsidP="008E7320">
            <w:pPr>
              <w:spacing w:before="0" w:after="0" w:line="240" w:lineRule="auto"/>
              <w:rPr>
                <w:rFonts w:cstheme="minorHAnsi"/>
                <w:b/>
                <w:sz w:val="22"/>
                <w:szCs w:val="22"/>
              </w:rPr>
            </w:pPr>
            <w:r w:rsidRPr="00DC79E0">
              <w:rPr>
                <w:rFonts w:cstheme="minorHAnsi"/>
                <w:b/>
                <w:sz w:val="22"/>
                <w:szCs w:val="22"/>
              </w:rPr>
              <w:t>RAZEM</w:t>
            </w:r>
          </w:p>
        </w:tc>
        <w:tc>
          <w:tcPr>
            <w:tcW w:w="1275" w:type="dxa"/>
            <w:shd w:val="clear" w:color="auto" w:fill="F2F2F2" w:themeFill="background1" w:themeFillShade="F2"/>
            <w:noWrap/>
            <w:vAlign w:val="bottom"/>
            <w:hideMark/>
          </w:tcPr>
          <w:p w:rsidR="001A2BEF" w:rsidRPr="00DC79E0" w:rsidRDefault="001A2BEF" w:rsidP="001A2BEF">
            <w:pPr>
              <w:spacing w:before="0" w:after="0" w:line="240" w:lineRule="auto"/>
              <w:jc w:val="center"/>
              <w:rPr>
                <w:rFonts w:cstheme="minorHAnsi"/>
                <w:b/>
                <w:bCs/>
                <w:sz w:val="22"/>
                <w:szCs w:val="22"/>
              </w:rPr>
            </w:pPr>
            <w:r w:rsidRPr="00DC79E0">
              <w:rPr>
                <w:rFonts w:cstheme="minorHAnsi"/>
                <w:b/>
                <w:bCs/>
                <w:sz w:val="22"/>
                <w:szCs w:val="22"/>
              </w:rPr>
              <w:t>592,7</w:t>
            </w:r>
          </w:p>
        </w:tc>
        <w:tc>
          <w:tcPr>
            <w:tcW w:w="1843" w:type="dxa"/>
            <w:shd w:val="clear" w:color="auto" w:fill="F2F2F2" w:themeFill="background1" w:themeFillShade="F2"/>
            <w:noWrap/>
            <w:vAlign w:val="bottom"/>
            <w:hideMark/>
          </w:tcPr>
          <w:p w:rsidR="001A2BEF" w:rsidRPr="00DC79E0" w:rsidRDefault="001A2BEF" w:rsidP="001A2BEF">
            <w:pPr>
              <w:spacing w:before="0" w:after="0" w:line="240" w:lineRule="auto"/>
              <w:jc w:val="center"/>
              <w:rPr>
                <w:rFonts w:cstheme="minorHAnsi"/>
                <w:b/>
                <w:bCs/>
                <w:sz w:val="22"/>
                <w:szCs w:val="22"/>
              </w:rPr>
            </w:pPr>
            <w:r w:rsidRPr="00DC79E0">
              <w:rPr>
                <w:rFonts w:cstheme="minorHAnsi"/>
                <w:b/>
                <w:bCs/>
                <w:sz w:val="22"/>
                <w:szCs w:val="22"/>
              </w:rPr>
              <w:t>54,8</w:t>
            </w:r>
          </w:p>
        </w:tc>
        <w:tc>
          <w:tcPr>
            <w:tcW w:w="1701" w:type="dxa"/>
            <w:shd w:val="clear" w:color="auto" w:fill="F2F2F2" w:themeFill="background1" w:themeFillShade="F2"/>
            <w:noWrap/>
            <w:vAlign w:val="bottom"/>
            <w:hideMark/>
          </w:tcPr>
          <w:p w:rsidR="001A2BEF" w:rsidRPr="00DC79E0" w:rsidRDefault="001A2BEF" w:rsidP="001A2BEF">
            <w:pPr>
              <w:spacing w:before="0" w:after="0" w:line="240" w:lineRule="auto"/>
              <w:jc w:val="center"/>
              <w:rPr>
                <w:rFonts w:cstheme="minorHAnsi"/>
                <w:b/>
                <w:bCs/>
                <w:sz w:val="22"/>
                <w:szCs w:val="22"/>
              </w:rPr>
            </w:pPr>
            <w:r w:rsidRPr="00DC79E0">
              <w:rPr>
                <w:rFonts w:cstheme="minorHAnsi"/>
                <w:b/>
                <w:bCs/>
                <w:sz w:val="22"/>
                <w:szCs w:val="22"/>
              </w:rPr>
              <w:t>462</w:t>
            </w:r>
          </w:p>
        </w:tc>
        <w:tc>
          <w:tcPr>
            <w:tcW w:w="1701" w:type="dxa"/>
            <w:shd w:val="clear" w:color="auto" w:fill="F2F2F2" w:themeFill="background1" w:themeFillShade="F2"/>
            <w:noWrap/>
            <w:vAlign w:val="bottom"/>
            <w:hideMark/>
          </w:tcPr>
          <w:p w:rsidR="001A2BEF" w:rsidRPr="00DC79E0" w:rsidRDefault="001A2BEF" w:rsidP="001A2BEF">
            <w:pPr>
              <w:spacing w:before="0" w:after="0" w:line="240" w:lineRule="auto"/>
              <w:jc w:val="center"/>
              <w:rPr>
                <w:rFonts w:cstheme="minorHAnsi"/>
                <w:b/>
                <w:bCs/>
                <w:sz w:val="22"/>
                <w:szCs w:val="22"/>
              </w:rPr>
            </w:pPr>
            <w:r w:rsidRPr="00DC79E0">
              <w:rPr>
                <w:rFonts w:cstheme="minorHAnsi"/>
                <w:b/>
                <w:bCs/>
                <w:sz w:val="22"/>
                <w:szCs w:val="22"/>
              </w:rPr>
              <w:t>75,8</w:t>
            </w:r>
          </w:p>
        </w:tc>
      </w:tr>
      <w:tr w:rsidR="001A2BEF" w:rsidRPr="00DC79E0" w:rsidTr="008E7320">
        <w:trPr>
          <w:trHeight w:val="285"/>
        </w:trPr>
        <w:tc>
          <w:tcPr>
            <w:tcW w:w="1080" w:type="dxa"/>
            <w:vMerge w:val="restart"/>
            <w:shd w:val="clear" w:color="auto" w:fill="auto"/>
            <w:noWrap/>
            <w:vAlign w:val="center"/>
            <w:hideMark/>
          </w:tcPr>
          <w:p w:rsidR="001A2BEF" w:rsidRPr="00DC79E0" w:rsidRDefault="001A2BEF" w:rsidP="008E7320">
            <w:pPr>
              <w:spacing w:before="0" w:after="0" w:line="240" w:lineRule="auto"/>
              <w:jc w:val="center"/>
              <w:rPr>
                <w:rFonts w:cstheme="minorHAnsi"/>
                <w:b/>
                <w:sz w:val="22"/>
                <w:szCs w:val="22"/>
              </w:rPr>
            </w:pPr>
            <w:r w:rsidRPr="00DC79E0">
              <w:rPr>
                <w:rFonts w:cstheme="minorHAnsi"/>
                <w:b/>
                <w:sz w:val="22"/>
                <w:szCs w:val="22"/>
              </w:rPr>
              <w:t>2016</w:t>
            </w:r>
          </w:p>
        </w:tc>
        <w:tc>
          <w:tcPr>
            <w:tcW w:w="1629" w:type="dxa"/>
            <w:shd w:val="clear" w:color="auto" w:fill="auto"/>
            <w:noWrap/>
            <w:vAlign w:val="bottom"/>
            <w:hideMark/>
          </w:tcPr>
          <w:p w:rsidR="001A2BEF" w:rsidRPr="00DC79E0" w:rsidRDefault="001A2BEF" w:rsidP="008E7320">
            <w:pPr>
              <w:spacing w:before="0" w:after="0" w:line="240" w:lineRule="auto"/>
              <w:rPr>
                <w:rFonts w:cstheme="minorHAnsi"/>
                <w:sz w:val="22"/>
                <w:szCs w:val="22"/>
              </w:rPr>
            </w:pPr>
            <w:r w:rsidRPr="00DC79E0">
              <w:rPr>
                <w:rFonts w:cstheme="minorHAnsi"/>
                <w:sz w:val="22"/>
                <w:szCs w:val="22"/>
              </w:rPr>
              <w:t>obszar wiejski</w:t>
            </w:r>
          </w:p>
        </w:tc>
        <w:tc>
          <w:tcPr>
            <w:tcW w:w="1275"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72</w:t>
            </w:r>
          </w:p>
        </w:tc>
        <w:tc>
          <w:tcPr>
            <w:tcW w:w="1843"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2,3</w:t>
            </w:r>
          </w:p>
        </w:tc>
        <w:tc>
          <w:tcPr>
            <w:tcW w:w="1701"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65,8</w:t>
            </w:r>
          </w:p>
        </w:tc>
        <w:tc>
          <w:tcPr>
            <w:tcW w:w="1701"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3,8</w:t>
            </w:r>
          </w:p>
        </w:tc>
      </w:tr>
      <w:tr w:rsidR="001A2BEF" w:rsidRPr="00DC79E0" w:rsidTr="008E7320">
        <w:trPr>
          <w:trHeight w:val="285"/>
        </w:trPr>
        <w:tc>
          <w:tcPr>
            <w:tcW w:w="1080" w:type="dxa"/>
            <w:vMerge/>
            <w:vAlign w:val="center"/>
            <w:hideMark/>
          </w:tcPr>
          <w:p w:rsidR="001A2BEF" w:rsidRPr="00DC79E0" w:rsidRDefault="001A2BEF" w:rsidP="008E7320">
            <w:pPr>
              <w:spacing w:before="0" w:after="0" w:line="240" w:lineRule="auto"/>
              <w:jc w:val="center"/>
              <w:rPr>
                <w:rFonts w:cstheme="minorHAnsi"/>
                <w:b/>
                <w:sz w:val="22"/>
                <w:szCs w:val="22"/>
              </w:rPr>
            </w:pPr>
          </w:p>
        </w:tc>
        <w:tc>
          <w:tcPr>
            <w:tcW w:w="1629" w:type="dxa"/>
            <w:shd w:val="clear" w:color="auto" w:fill="auto"/>
            <w:noWrap/>
            <w:vAlign w:val="bottom"/>
            <w:hideMark/>
          </w:tcPr>
          <w:p w:rsidR="001A2BEF" w:rsidRPr="00DC79E0" w:rsidRDefault="001A2BEF" w:rsidP="008E7320">
            <w:pPr>
              <w:spacing w:before="0" w:after="0" w:line="240" w:lineRule="auto"/>
              <w:rPr>
                <w:rFonts w:cstheme="minorHAnsi"/>
                <w:sz w:val="22"/>
                <w:szCs w:val="22"/>
              </w:rPr>
            </w:pPr>
            <w:r w:rsidRPr="00DC79E0">
              <w:rPr>
                <w:rFonts w:cstheme="minorHAnsi"/>
                <w:sz w:val="22"/>
                <w:szCs w:val="22"/>
              </w:rPr>
              <w:t>miasto</w:t>
            </w:r>
          </w:p>
        </w:tc>
        <w:tc>
          <w:tcPr>
            <w:tcW w:w="1275"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107,5</w:t>
            </w:r>
          </w:p>
        </w:tc>
        <w:tc>
          <w:tcPr>
            <w:tcW w:w="1843"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70,3</w:t>
            </w:r>
          </w:p>
        </w:tc>
        <w:tc>
          <w:tcPr>
            <w:tcW w:w="1701"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10,6</w:t>
            </w:r>
          </w:p>
        </w:tc>
        <w:tc>
          <w:tcPr>
            <w:tcW w:w="1701"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26,7</w:t>
            </w:r>
          </w:p>
        </w:tc>
      </w:tr>
      <w:tr w:rsidR="001A2BEF" w:rsidRPr="00DC79E0" w:rsidTr="008E7320">
        <w:trPr>
          <w:trHeight w:val="300"/>
        </w:trPr>
        <w:tc>
          <w:tcPr>
            <w:tcW w:w="1080" w:type="dxa"/>
            <w:vMerge/>
            <w:vAlign w:val="center"/>
            <w:hideMark/>
          </w:tcPr>
          <w:p w:rsidR="001A2BEF" w:rsidRPr="00DC79E0" w:rsidRDefault="001A2BEF" w:rsidP="008E7320">
            <w:pPr>
              <w:spacing w:before="0" w:after="0" w:line="240" w:lineRule="auto"/>
              <w:jc w:val="center"/>
              <w:rPr>
                <w:rFonts w:cstheme="minorHAnsi"/>
                <w:b/>
                <w:sz w:val="22"/>
                <w:szCs w:val="22"/>
              </w:rPr>
            </w:pPr>
          </w:p>
        </w:tc>
        <w:tc>
          <w:tcPr>
            <w:tcW w:w="1629" w:type="dxa"/>
            <w:shd w:val="clear" w:color="auto" w:fill="F2F2F2" w:themeFill="background1" w:themeFillShade="F2"/>
            <w:noWrap/>
            <w:vAlign w:val="bottom"/>
            <w:hideMark/>
          </w:tcPr>
          <w:p w:rsidR="001A2BEF" w:rsidRPr="00DC79E0" w:rsidRDefault="001A2BEF" w:rsidP="008E7320">
            <w:pPr>
              <w:spacing w:before="0" w:after="0" w:line="240" w:lineRule="auto"/>
              <w:rPr>
                <w:rFonts w:cstheme="minorHAnsi"/>
                <w:b/>
                <w:sz w:val="22"/>
                <w:szCs w:val="22"/>
              </w:rPr>
            </w:pPr>
            <w:r w:rsidRPr="00DC79E0">
              <w:rPr>
                <w:rFonts w:cstheme="minorHAnsi"/>
                <w:b/>
                <w:sz w:val="22"/>
                <w:szCs w:val="22"/>
              </w:rPr>
              <w:t>RAZEM</w:t>
            </w:r>
          </w:p>
        </w:tc>
        <w:tc>
          <w:tcPr>
            <w:tcW w:w="1275" w:type="dxa"/>
            <w:shd w:val="clear" w:color="auto" w:fill="F2F2F2" w:themeFill="background1" w:themeFillShade="F2"/>
            <w:noWrap/>
            <w:vAlign w:val="bottom"/>
            <w:hideMark/>
          </w:tcPr>
          <w:p w:rsidR="001A2BEF" w:rsidRPr="00DC79E0" w:rsidRDefault="001A2BEF" w:rsidP="001A2BEF">
            <w:pPr>
              <w:spacing w:before="0" w:after="0" w:line="240" w:lineRule="auto"/>
              <w:jc w:val="center"/>
              <w:rPr>
                <w:rFonts w:cstheme="minorHAnsi"/>
                <w:b/>
                <w:bCs/>
                <w:sz w:val="22"/>
                <w:szCs w:val="22"/>
              </w:rPr>
            </w:pPr>
            <w:r w:rsidRPr="00DC79E0">
              <w:rPr>
                <w:rFonts w:cstheme="minorHAnsi"/>
                <w:b/>
                <w:bCs/>
                <w:sz w:val="22"/>
                <w:szCs w:val="22"/>
              </w:rPr>
              <w:t>179,5</w:t>
            </w:r>
          </w:p>
        </w:tc>
        <w:tc>
          <w:tcPr>
            <w:tcW w:w="1843" w:type="dxa"/>
            <w:shd w:val="clear" w:color="auto" w:fill="F2F2F2" w:themeFill="background1" w:themeFillShade="F2"/>
            <w:noWrap/>
            <w:vAlign w:val="bottom"/>
            <w:hideMark/>
          </w:tcPr>
          <w:p w:rsidR="001A2BEF" w:rsidRPr="00DC79E0" w:rsidRDefault="001A2BEF" w:rsidP="001A2BEF">
            <w:pPr>
              <w:spacing w:before="0" w:after="0" w:line="240" w:lineRule="auto"/>
              <w:jc w:val="center"/>
              <w:rPr>
                <w:rFonts w:cstheme="minorHAnsi"/>
                <w:b/>
                <w:bCs/>
                <w:sz w:val="22"/>
                <w:szCs w:val="22"/>
              </w:rPr>
            </w:pPr>
            <w:r w:rsidRPr="00DC79E0">
              <w:rPr>
                <w:rFonts w:cstheme="minorHAnsi"/>
                <w:b/>
                <w:bCs/>
                <w:sz w:val="22"/>
                <w:szCs w:val="22"/>
              </w:rPr>
              <w:t>72,6</w:t>
            </w:r>
          </w:p>
        </w:tc>
        <w:tc>
          <w:tcPr>
            <w:tcW w:w="1701" w:type="dxa"/>
            <w:shd w:val="clear" w:color="auto" w:fill="F2F2F2" w:themeFill="background1" w:themeFillShade="F2"/>
            <w:noWrap/>
            <w:vAlign w:val="bottom"/>
            <w:hideMark/>
          </w:tcPr>
          <w:p w:rsidR="001A2BEF" w:rsidRPr="00DC79E0" w:rsidRDefault="001A2BEF" w:rsidP="001A2BEF">
            <w:pPr>
              <w:spacing w:before="0" w:after="0" w:line="240" w:lineRule="auto"/>
              <w:jc w:val="center"/>
              <w:rPr>
                <w:rFonts w:cstheme="minorHAnsi"/>
                <w:b/>
                <w:bCs/>
                <w:sz w:val="22"/>
                <w:szCs w:val="22"/>
              </w:rPr>
            </w:pPr>
            <w:r w:rsidRPr="00DC79E0">
              <w:rPr>
                <w:rFonts w:cstheme="minorHAnsi"/>
                <w:b/>
                <w:bCs/>
                <w:sz w:val="22"/>
                <w:szCs w:val="22"/>
              </w:rPr>
              <w:t>76,4</w:t>
            </w:r>
          </w:p>
        </w:tc>
        <w:tc>
          <w:tcPr>
            <w:tcW w:w="1701" w:type="dxa"/>
            <w:shd w:val="clear" w:color="auto" w:fill="F2F2F2" w:themeFill="background1" w:themeFillShade="F2"/>
            <w:noWrap/>
            <w:vAlign w:val="bottom"/>
            <w:hideMark/>
          </w:tcPr>
          <w:p w:rsidR="001A2BEF" w:rsidRPr="00DC79E0" w:rsidRDefault="001A2BEF" w:rsidP="001A2BEF">
            <w:pPr>
              <w:spacing w:before="0" w:after="0" w:line="240" w:lineRule="auto"/>
              <w:jc w:val="center"/>
              <w:rPr>
                <w:rFonts w:cstheme="minorHAnsi"/>
                <w:b/>
                <w:bCs/>
                <w:sz w:val="22"/>
                <w:szCs w:val="22"/>
              </w:rPr>
            </w:pPr>
            <w:r w:rsidRPr="00DC79E0">
              <w:rPr>
                <w:rFonts w:cstheme="minorHAnsi"/>
                <w:b/>
                <w:bCs/>
                <w:sz w:val="22"/>
                <w:szCs w:val="22"/>
              </w:rPr>
              <w:t>30,5</w:t>
            </w:r>
          </w:p>
        </w:tc>
      </w:tr>
      <w:tr w:rsidR="001A2BEF" w:rsidRPr="00DC79E0" w:rsidTr="008E7320">
        <w:trPr>
          <w:trHeight w:val="285"/>
        </w:trPr>
        <w:tc>
          <w:tcPr>
            <w:tcW w:w="1080" w:type="dxa"/>
            <w:vMerge w:val="restart"/>
            <w:shd w:val="clear" w:color="auto" w:fill="auto"/>
            <w:noWrap/>
            <w:vAlign w:val="center"/>
            <w:hideMark/>
          </w:tcPr>
          <w:p w:rsidR="001A2BEF" w:rsidRPr="00DC79E0" w:rsidRDefault="001A2BEF" w:rsidP="008E7320">
            <w:pPr>
              <w:spacing w:before="0" w:after="0" w:line="240" w:lineRule="auto"/>
              <w:jc w:val="center"/>
              <w:rPr>
                <w:rFonts w:cstheme="minorHAnsi"/>
                <w:b/>
                <w:sz w:val="22"/>
                <w:szCs w:val="22"/>
              </w:rPr>
            </w:pPr>
            <w:r w:rsidRPr="00DC79E0">
              <w:rPr>
                <w:rFonts w:cstheme="minorHAnsi"/>
                <w:b/>
                <w:sz w:val="22"/>
                <w:szCs w:val="22"/>
              </w:rPr>
              <w:t>2017</w:t>
            </w:r>
          </w:p>
        </w:tc>
        <w:tc>
          <w:tcPr>
            <w:tcW w:w="1629" w:type="dxa"/>
            <w:shd w:val="clear" w:color="auto" w:fill="auto"/>
            <w:noWrap/>
            <w:vAlign w:val="bottom"/>
            <w:hideMark/>
          </w:tcPr>
          <w:p w:rsidR="001A2BEF" w:rsidRPr="00DC79E0" w:rsidRDefault="001A2BEF" w:rsidP="008E7320">
            <w:pPr>
              <w:spacing w:before="0" w:after="0" w:line="240" w:lineRule="auto"/>
              <w:rPr>
                <w:rFonts w:cstheme="minorHAnsi"/>
                <w:sz w:val="22"/>
                <w:szCs w:val="22"/>
              </w:rPr>
            </w:pPr>
            <w:r w:rsidRPr="00DC79E0">
              <w:rPr>
                <w:rFonts w:cstheme="minorHAnsi"/>
                <w:sz w:val="22"/>
                <w:szCs w:val="22"/>
              </w:rPr>
              <w:t>obszar wiejski</w:t>
            </w:r>
          </w:p>
        </w:tc>
        <w:tc>
          <w:tcPr>
            <w:tcW w:w="1275"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7,6</w:t>
            </w:r>
          </w:p>
        </w:tc>
        <w:tc>
          <w:tcPr>
            <w:tcW w:w="1843"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6</w:t>
            </w:r>
          </w:p>
        </w:tc>
        <w:tc>
          <w:tcPr>
            <w:tcW w:w="1701"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0</w:t>
            </w:r>
          </w:p>
        </w:tc>
        <w:tc>
          <w:tcPr>
            <w:tcW w:w="1701"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1,7</w:t>
            </w:r>
          </w:p>
        </w:tc>
      </w:tr>
      <w:tr w:rsidR="001A2BEF" w:rsidRPr="00DC79E0" w:rsidTr="008E7320">
        <w:trPr>
          <w:trHeight w:val="285"/>
        </w:trPr>
        <w:tc>
          <w:tcPr>
            <w:tcW w:w="1080" w:type="dxa"/>
            <w:vMerge/>
            <w:vAlign w:val="center"/>
            <w:hideMark/>
          </w:tcPr>
          <w:p w:rsidR="001A2BEF" w:rsidRPr="00DC79E0" w:rsidRDefault="001A2BEF" w:rsidP="008E7320">
            <w:pPr>
              <w:spacing w:before="0" w:after="0" w:line="240" w:lineRule="auto"/>
              <w:jc w:val="center"/>
              <w:rPr>
                <w:rFonts w:cstheme="minorHAnsi"/>
                <w:b/>
                <w:sz w:val="22"/>
                <w:szCs w:val="22"/>
              </w:rPr>
            </w:pPr>
          </w:p>
        </w:tc>
        <w:tc>
          <w:tcPr>
            <w:tcW w:w="1629" w:type="dxa"/>
            <w:shd w:val="clear" w:color="auto" w:fill="auto"/>
            <w:noWrap/>
            <w:vAlign w:val="bottom"/>
            <w:hideMark/>
          </w:tcPr>
          <w:p w:rsidR="001A2BEF" w:rsidRPr="00DC79E0" w:rsidRDefault="001A2BEF" w:rsidP="008E7320">
            <w:pPr>
              <w:spacing w:before="0" w:after="0" w:line="240" w:lineRule="auto"/>
              <w:rPr>
                <w:rFonts w:cstheme="minorHAnsi"/>
                <w:sz w:val="22"/>
                <w:szCs w:val="22"/>
              </w:rPr>
            </w:pPr>
            <w:r w:rsidRPr="00DC79E0">
              <w:rPr>
                <w:rFonts w:cstheme="minorHAnsi"/>
                <w:sz w:val="22"/>
                <w:szCs w:val="22"/>
              </w:rPr>
              <w:t>miasto</w:t>
            </w:r>
          </w:p>
        </w:tc>
        <w:tc>
          <w:tcPr>
            <w:tcW w:w="1275"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122,8</w:t>
            </w:r>
          </w:p>
        </w:tc>
        <w:tc>
          <w:tcPr>
            <w:tcW w:w="1843"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90,8</w:t>
            </w:r>
          </w:p>
        </w:tc>
        <w:tc>
          <w:tcPr>
            <w:tcW w:w="1701"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11,3</w:t>
            </w:r>
          </w:p>
        </w:tc>
        <w:tc>
          <w:tcPr>
            <w:tcW w:w="1701"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20,8</w:t>
            </w:r>
          </w:p>
        </w:tc>
      </w:tr>
      <w:tr w:rsidR="001A2BEF" w:rsidRPr="00DC79E0" w:rsidTr="008E7320">
        <w:trPr>
          <w:trHeight w:val="300"/>
        </w:trPr>
        <w:tc>
          <w:tcPr>
            <w:tcW w:w="1080" w:type="dxa"/>
            <w:vMerge/>
            <w:vAlign w:val="center"/>
            <w:hideMark/>
          </w:tcPr>
          <w:p w:rsidR="001A2BEF" w:rsidRPr="00DC79E0" w:rsidRDefault="001A2BEF" w:rsidP="008E7320">
            <w:pPr>
              <w:spacing w:before="0" w:after="0" w:line="240" w:lineRule="auto"/>
              <w:jc w:val="center"/>
              <w:rPr>
                <w:rFonts w:cstheme="minorHAnsi"/>
                <w:b/>
                <w:sz w:val="22"/>
                <w:szCs w:val="22"/>
              </w:rPr>
            </w:pPr>
          </w:p>
        </w:tc>
        <w:tc>
          <w:tcPr>
            <w:tcW w:w="1629" w:type="dxa"/>
            <w:shd w:val="clear" w:color="auto" w:fill="F2F2F2" w:themeFill="background1" w:themeFillShade="F2"/>
            <w:noWrap/>
            <w:vAlign w:val="bottom"/>
            <w:hideMark/>
          </w:tcPr>
          <w:p w:rsidR="001A2BEF" w:rsidRPr="00DC79E0" w:rsidRDefault="001A2BEF" w:rsidP="008E7320">
            <w:pPr>
              <w:spacing w:before="0" w:after="0" w:line="240" w:lineRule="auto"/>
              <w:rPr>
                <w:rFonts w:cstheme="minorHAnsi"/>
                <w:b/>
                <w:sz w:val="22"/>
                <w:szCs w:val="22"/>
              </w:rPr>
            </w:pPr>
            <w:r w:rsidRPr="00DC79E0">
              <w:rPr>
                <w:rFonts w:cstheme="minorHAnsi"/>
                <w:b/>
                <w:sz w:val="22"/>
                <w:szCs w:val="22"/>
              </w:rPr>
              <w:t>RAZEM</w:t>
            </w:r>
          </w:p>
        </w:tc>
        <w:tc>
          <w:tcPr>
            <w:tcW w:w="1275" w:type="dxa"/>
            <w:shd w:val="clear" w:color="auto" w:fill="F2F2F2" w:themeFill="background1" w:themeFillShade="F2"/>
            <w:noWrap/>
            <w:vAlign w:val="bottom"/>
            <w:hideMark/>
          </w:tcPr>
          <w:p w:rsidR="001A2BEF" w:rsidRPr="00DC79E0" w:rsidRDefault="001A2BEF" w:rsidP="001A2BEF">
            <w:pPr>
              <w:spacing w:before="0" w:after="0" w:line="240" w:lineRule="auto"/>
              <w:jc w:val="center"/>
              <w:rPr>
                <w:rFonts w:cstheme="minorHAnsi"/>
                <w:b/>
                <w:bCs/>
                <w:sz w:val="22"/>
                <w:szCs w:val="22"/>
              </w:rPr>
            </w:pPr>
            <w:r w:rsidRPr="00DC79E0">
              <w:rPr>
                <w:rFonts w:cstheme="minorHAnsi"/>
                <w:b/>
                <w:bCs/>
                <w:sz w:val="22"/>
                <w:szCs w:val="22"/>
              </w:rPr>
              <w:t>130,4</w:t>
            </w:r>
          </w:p>
        </w:tc>
        <w:tc>
          <w:tcPr>
            <w:tcW w:w="1843" w:type="dxa"/>
            <w:shd w:val="clear" w:color="auto" w:fill="F2F2F2" w:themeFill="background1" w:themeFillShade="F2"/>
            <w:noWrap/>
            <w:vAlign w:val="bottom"/>
            <w:hideMark/>
          </w:tcPr>
          <w:p w:rsidR="001A2BEF" w:rsidRPr="00DC79E0" w:rsidRDefault="001A2BEF" w:rsidP="001A2BEF">
            <w:pPr>
              <w:spacing w:before="0" w:after="0" w:line="240" w:lineRule="auto"/>
              <w:jc w:val="center"/>
              <w:rPr>
                <w:rFonts w:cstheme="minorHAnsi"/>
                <w:b/>
                <w:bCs/>
                <w:sz w:val="22"/>
                <w:szCs w:val="22"/>
              </w:rPr>
            </w:pPr>
            <w:r w:rsidRPr="00DC79E0">
              <w:rPr>
                <w:rFonts w:cstheme="minorHAnsi"/>
                <w:b/>
                <w:bCs/>
                <w:sz w:val="22"/>
                <w:szCs w:val="22"/>
              </w:rPr>
              <w:t>96,8</w:t>
            </w:r>
          </w:p>
        </w:tc>
        <w:tc>
          <w:tcPr>
            <w:tcW w:w="1701" w:type="dxa"/>
            <w:shd w:val="clear" w:color="auto" w:fill="F2F2F2" w:themeFill="background1" w:themeFillShade="F2"/>
            <w:noWrap/>
            <w:vAlign w:val="bottom"/>
            <w:hideMark/>
          </w:tcPr>
          <w:p w:rsidR="001A2BEF" w:rsidRPr="00DC79E0" w:rsidRDefault="001A2BEF" w:rsidP="001A2BEF">
            <w:pPr>
              <w:spacing w:before="0" w:after="0" w:line="240" w:lineRule="auto"/>
              <w:jc w:val="center"/>
              <w:rPr>
                <w:rFonts w:cstheme="minorHAnsi"/>
                <w:b/>
                <w:bCs/>
                <w:sz w:val="22"/>
                <w:szCs w:val="22"/>
              </w:rPr>
            </w:pPr>
            <w:r w:rsidRPr="00DC79E0">
              <w:rPr>
                <w:rFonts w:cstheme="minorHAnsi"/>
                <w:b/>
                <w:bCs/>
                <w:sz w:val="22"/>
                <w:szCs w:val="22"/>
              </w:rPr>
              <w:t>11,3</w:t>
            </w:r>
          </w:p>
        </w:tc>
        <w:tc>
          <w:tcPr>
            <w:tcW w:w="1701" w:type="dxa"/>
            <w:shd w:val="clear" w:color="auto" w:fill="F2F2F2" w:themeFill="background1" w:themeFillShade="F2"/>
            <w:noWrap/>
            <w:vAlign w:val="bottom"/>
            <w:hideMark/>
          </w:tcPr>
          <w:p w:rsidR="001A2BEF" w:rsidRPr="00DC79E0" w:rsidRDefault="001A2BEF" w:rsidP="001A2BEF">
            <w:pPr>
              <w:spacing w:before="0" w:after="0" w:line="240" w:lineRule="auto"/>
              <w:jc w:val="center"/>
              <w:rPr>
                <w:rFonts w:cstheme="minorHAnsi"/>
                <w:b/>
                <w:bCs/>
                <w:sz w:val="22"/>
                <w:szCs w:val="22"/>
              </w:rPr>
            </w:pPr>
            <w:r w:rsidRPr="00DC79E0">
              <w:rPr>
                <w:rFonts w:cstheme="minorHAnsi"/>
                <w:b/>
                <w:bCs/>
                <w:sz w:val="22"/>
                <w:szCs w:val="22"/>
              </w:rPr>
              <w:t>22,5</w:t>
            </w:r>
          </w:p>
        </w:tc>
      </w:tr>
      <w:tr w:rsidR="001A2BEF" w:rsidRPr="00DC79E0" w:rsidTr="008E7320">
        <w:trPr>
          <w:trHeight w:val="285"/>
        </w:trPr>
        <w:tc>
          <w:tcPr>
            <w:tcW w:w="1080" w:type="dxa"/>
            <w:vMerge w:val="restart"/>
            <w:shd w:val="clear" w:color="auto" w:fill="auto"/>
            <w:noWrap/>
            <w:vAlign w:val="center"/>
            <w:hideMark/>
          </w:tcPr>
          <w:p w:rsidR="001A2BEF" w:rsidRPr="00DC79E0" w:rsidRDefault="001A2BEF" w:rsidP="008E7320">
            <w:pPr>
              <w:spacing w:before="0" w:after="0" w:line="240" w:lineRule="auto"/>
              <w:jc w:val="center"/>
              <w:rPr>
                <w:rFonts w:cstheme="minorHAnsi"/>
                <w:b/>
                <w:sz w:val="22"/>
                <w:szCs w:val="22"/>
              </w:rPr>
            </w:pPr>
            <w:r w:rsidRPr="00DC79E0">
              <w:rPr>
                <w:rFonts w:cstheme="minorHAnsi"/>
                <w:b/>
                <w:sz w:val="22"/>
                <w:szCs w:val="22"/>
              </w:rPr>
              <w:t>2018</w:t>
            </w:r>
          </w:p>
        </w:tc>
        <w:tc>
          <w:tcPr>
            <w:tcW w:w="1629" w:type="dxa"/>
            <w:shd w:val="clear" w:color="auto" w:fill="auto"/>
            <w:noWrap/>
            <w:vAlign w:val="bottom"/>
            <w:hideMark/>
          </w:tcPr>
          <w:p w:rsidR="001A2BEF" w:rsidRPr="00DC79E0" w:rsidRDefault="001A2BEF" w:rsidP="008E7320">
            <w:pPr>
              <w:spacing w:before="0" w:after="0" w:line="240" w:lineRule="auto"/>
              <w:rPr>
                <w:rFonts w:cstheme="minorHAnsi"/>
                <w:sz w:val="22"/>
                <w:szCs w:val="22"/>
              </w:rPr>
            </w:pPr>
            <w:r w:rsidRPr="00DC79E0">
              <w:rPr>
                <w:rFonts w:cstheme="minorHAnsi"/>
                <w:sz w:val="22"/>
                <w:szCs w:val="22"/>
              </w:rPr>
              <w:t>obszar wiejski</w:t>
            </w:r>
          </w:p>
        </w:tc>
        <w:tc>
          <w:tcPr>
            <w:tcW w:w="1275"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8,7</w:t>
            </w:r>
          </w:p>
        </w:tc>
        <w:tc>
          <w:tcPr>
            <w:tcW w:w="1843"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8,1</w:t>
            </w:r>
          </w:p>
        </w:tc>
        <w:tc>
          <w:tcPr>
            <w:tcW w:w="1701"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0</w:t>
            </w:r>
          </w:p>
        </w:tc>
        <w:tc>
          <w:tcPr>
            <w:tcW w:w="1701"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0,6</w:t>
            </w:r>
          </w:p>
        </w:tc>
      </w:tr>
      <w:tr w:rsidR="001A2BEF" w:rsidRPr="00DC79E0" w:rsidTr="008E7320">
        <w:trPr>
          <w:trHeight w:val="285"/>
        </w:trPr>
        <w:tc>
          <w:tcPr>
            <w:tcW w:w="1080" w:type="dxa"/>
            <w:vMerge/>
            <w:vAlign w:val="center"/>
            <w:hideMark/>
          </w:tcPr>
          <w:p w:rsidR="001A2BEF" w:rsidRPr="00DC79E0" w:rsidRDefault="001A2BEF" w:rsidP="008E7320">
            <w:pPr>
              <w:spacing w:before="0" w:after="0" w:line="240" w:lineRule="auto"/>
              <w:rPr>
                <w:rFonts w:cstheme="minorHAnsi"/>
                <w:sz w:val="22"/>
                <w:szCs w:val="22"/>
              </w:rPr>
            </w:pPr>
          </w:p>
        </w:tc>
        <w:tc>
          <w:tcPr>
            <w:tcW w:w="1629" w:type="dxa"/>
            <w:shd w:val="clear" w:color="auto" w:fill="auto"/>
            <w:noWrap/>
            <w:vAlign w:val="bottom"/>
            <w:hideMark/>
          </w:tcPr>
          <w:p w:rsidR="001A2BEF" w:rsidRPr="00DC79E0" w:rsidRDefault="001A2BEF" w:rsidP="008E7320">
            <w:pPr>
              <w:spacing w:before="0" w:after="0" w:line="240" w:lineRule="auto"/>
              <w:rPr>
                <w:rFonts w:cstheme="minorHAnsi"/>
                <w:sz w:val="22"/>
                <w:szCs w:val="22"/>
              </w:rPr>
            </w:pPr>
            <w:r w:rsidRPr="00DC79E0">
              <w:rPr>
                <w:rFonts w:cstheme="minorHAnsi"/>
                <w:sz w:val="22"/>
                <w:szCs w:val="22"/>
              </w:rPr>
              <w:t>miasto</w:t>
            </w:r>
          </w:p>
        </w:tc>
        <w:tc>
          <w:tcPr>
            <w:tcW w:w="1275"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134,2</w:t>
            </w:r>
          </w:p>
        </w:tc>
        <w:tc>
          <w:tcPr>
            <w:tcW w:w="1843"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94,6</w:t>
            </w:r>
          </w:p>
        </w:tc>
        <w:tc>
          <w:tcPr>
            <w:tcW w:w="1701"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11,3</w:t>
            </w:r>
          </w:p>
        </w:tc>
        <w:tc>
          <w:tcPr>
            <w:tcW w:w="1701" w:type="dxa"/>
            <w:shd w:val="clear" w:color="auto" w:fill="auto"/>
            <w:noWrap/>
            <w:vAlign w:val="bottom"/>
            <w:hideMark/>
          </w:tcPr>
          <w:p w:rsidR="001A2BEF" w:rsidRPr="00DC79E0" w:rsidRDefault="001A2BEF" w:rsidP="001A2BEF">
            <w:pPr>
              <w:spacing w:before="0" w:after="0" w:line="240" w:lineRule="auto"/>
              <w:jc w:val="center"/>
              <w:rPr>
                <w:rFonts w:cstheme="minorHAnsi"/>
                <w:sz w:val="22"/>
                <w:szCs w:val="22"/>
              </w:rPr>
            </w:pPr>
            <w:r w:rsidRPr="00DC79E0">
              <w:rPr>
                <w:rFonts w:cstheme="minorHAnsi"/>
                <w:sz w:val="22"/>
                <w:szCs w:val="22"/>
              </w:rPr>
              <w:t>28,3</w:t>
            </w:r>
          </w:p>
        </w:tc>
      </w:tr>
      <w:tr w:rsidR="001A2BEF" w:rsidRPr="00DC79E0" w:rsidTr="008E7320">
        <w:trPr>
          <w:trHeight w:val="300"/>
        </w:trPr>
        <w:tc>
          <w:tcPr>
            <w:tcW w:w="1080" w:type="dxa"/>
            <w:vMerge/>
            <w:vAlign w:val="center"/>
            <w:hideMark/>
          </w:tcPr>
          <w:p w:rsidR="001A2BEF" w:rsidRPr="00DC79E0" w:rsidRDefault="001A2BEF" w:rsidP="008E7320">
            <w:pPr>
              <w:spacing w:before="0" w:after="0" w:line="240" w:lineRule="auto"/>
              <w:rPr>
                <w:rFonts w:cstheme="minorHAnsi"/>
                <w:sz w:val="22"/>
                <w:szCs w:val="22"/>
              </w:rPr>
            </w:pPr>
          </w:p>
        </w:tc>
        <w:tc>
          <w:tcPr>
            <w:tcW w:w="1629" w:type="dxa"/>
            <w:shd w:val="clear" w:color="auto" w:fill="F2F2F2" w:themeFill="background1" w:themeFillShade="F2"/>
            <w:noWrap/>
            <w:vAlign w:val="bottom"/>
            <w:hideMark/>
          </w:tcPr>
          <w:p w:rsidR="001A2BEF" w:rsidRPr="00DC79E0" w:rsidRDefault="001A2BEF" w:rsidP="008E7320">
            <w:pPr>
              <w:spacing w:before="0" w:after="0" w:line="240" w:lineRule="auto"/>
              <w:rPr>
                <w:rFonts w:cstheme="minorHAnsi"/>
                <w:b/>
                <w:sz w:val="22"/>
                <w:szCs w:val="22"/>
              </w:rPr>
            </w:pPr>
            <w:r w:rsidRPr="00DC79E0">
              <w:rPr>
                <w:rFonts w:cstheme="minorHAnsi"/>
                <w:b/>
                <w:sz w:val="22"/>
                <w:szCs w:val="22"/>
              </w:rPr>
              <w:t>RAZEM</w:t>
            </w:r>
          </w:p>
        </w:tc>
        <w:tc>
          <w:tcPr>
            <w:tcW w:w="1275" w:type="dxa"/>
            <w:shd w:val="clear" w:color="auto" w:fill="F2F2F2" w:themeFill="background1" w:themeFillShade="F2"/>
            <w:noWrap/>
            <w:vAlign w:val="bottom"/>
            <w:hideMark/>
          </w:tcPr>
          <w:p w:rsidR="001A2BEF" w:rsidRPr="00DC79E0" w:rsidRDefault="001A2BEF" w:rsidP="001A2BEF">
            <w:pPr>
              <w:spacing w:before="0" w:after="0" w:line="240" w:lineRule="auto"/>
              <w:jc w:val="center"/>
              <w:rPr>
                <w:rFonts w:cstheme="minorHAnsi"/>
                <w:b/>
                <w:bCs/>
                <w:sz w:val="22"/>
                <w:szCs w:val="22"/>
              </w:rPr>
            </w:pPr>
            <w:r w:rsidRPr="00DC79E0">
              <w:rPr>
                <w:rFonts w:cstheme="minorHAnsi"/>
                <w:b/>
                <w:bCs/>
                <w:sz w:val="22"/>
                <w:szCs w:val="22"/>
              </w:rPr>
              <w:t>142,9</w:t>
            </w:r>
          </w:p>
        </w:tc>
        <w:tc>
          <w:tcPr>
            <w:tcW w:w="1843" w:type="dxa"/>
            <w:shd w:val="clear" w:color="auto" w:fill="F2F2F2" w:themeFill="background1" w:themeFillShade="F2"/>
            <w:noWrap/>
            <w:vAlign w:val="bottom"/>
            <w:hideMark/>
          </w:tcPr>
          <w:p w:rsidR="001A2BEF" w:rsidRPr="00DC79E0" w:rsidRDefault="001A2BEF" w:rsidP="001A2BEF">
            <w:pPr>
              <w:spacing w:before="0" w:after="0" w:line="240" w:lineRule="auto"/>
              <w:jc w:val="center"/>
              <w:rPr>
                <w:rFonts w:cstheme="minorHAnsi"/>
                <w:b/>
                <w:bCs/>
                <w:sz w:val="22"/>
                <w:szCs w:val="22"/>
              </w:rPr>
            </w:pPr>
            <w:r w:rsidRPr="00DC79E0">
              <w:rPr>
                <w:rFonts w:cstheme="minorHAnsi"/>
                <w:b/>
                <w:bCs/>
                <w:sz w:val="22"/>
                <w:szCs w:val="22"/>
              </w:rPr>
              <w:t>102,7</w:t>
            </w:r>
          </w:p>
        </w:tc>
        <w:tc>
          <w:tcPr>
            <w:tcW w:w="1701" w:type="dxa"/>
            <w:shd w:val="clear" w:color="auto" w:fill="F2F2F2" w:themeFill="background1" w:themeFillShade="F2"/>
            <w:noWrap/>
            <w:vAlign w:val="bottom"/>
            <w:hideMark/>
          </w:tcPr>
          <w:p w:rsidR="001A2BEF" w:rsidRPr="00DC79E0" w:rsidRDefault="001A2BEF" w:rsidP="001A2BEF">
            <w:pPr>
              <w:spacing w:before="0" w:after="0" w:line="240" w:lineRule="auto"/>
              <w:jc w:val="center"/>
              <w:rPr>
                <w:rFonts w:cstheme="minorHAnsi"/>
                <w:b/>
                <w:bCs/>
                <w:sz w:val="22"/>
                <w:szCs w:val="22"/>
              </w:rPr>
            </w:pPr>
            <w:r w:rsidRPr="00DC79E0">
              <w:rPr>
                <w:rFonts w:cstheme="minorHAnsi"/>
                <w:b/>
                <w:bCs/>
                <w:sz w:val="22"/>
                <w:szCs w:val="22"/>
              </w:rPr>
              <w:t>11,3</w:t>
            </w:r>
          </w:p>
        </w:tc>
        <w:tc>
          <w:tcPr>
            <w:tcW w:w="1701" w:type="dxa"/>
            <w:shd w:val="clear" w:color="auto" w:fill="F2F2F2" w:themeFill="background1" w:themeFillShade="F2"/>
            <w:noWrap/>
            <w:vAlign w:val="bottom"/>
            <w:hideMark/>
          </w:tcPr>
          <w:p w:rsidR="001A2BEF" w:rsidRPr="00DC79E0" w:rsidRDefault="001A2BEF" w:rsidP="001A2BEF">
            <w:pPr>
              <w:spacing w:before="0" w:after="0" w:line="240" w:lineRule="auto"/>
              <w:jc w:val="center"/>
              <w:rPr>
                <w:rFonts w:cstheme="minorHAnsi"/>
                <w:b/>
                <w:bCs/>
                <w:sz w:val="22"/>
                <w:szCs w:val="22"/>
              </w:rPr>
            </w:pPr>
            <w:r w:rsidRPr="00DC79E0">
              <w:rPr>
                <w:rFonts w:cstheme="minorHAnsi"/>
                <w:b/>
                <w:bCs/>
                <w:sz w:val="22"/>
                <w:szCs w:val="22"/>
              </w:rPr>
              <w:t>28,9</w:t>
            </w:r>
          </w:p>
        </w:tc>
      </w:tr>
    </w:tbl>
    <w:p w:rsidR="00703848" w:rsidRPr="001D200B" w:rsidRDefault="00703848" w:rsidP="00703848">
      <w:pPr>
        <w:pStyle w:val="podtabelk"/>
        <w:rPr>
          <w:rFonts w:cstheme="minorHAnsi"/>
          <w:highlight w:val="yellow"/>
        </w:rPr>
      </w:pPr>
      <w:r w:rsidRPr="001D200B">
        <w:t>Źródło: PGNiG Obrót Detaliczny sp. z o.o. obliczenia własne (szacunkowo) na podstawie informacji PGNiG Obrót Detaliczny sp. z o.o.</w:t>
      </w:r>
    </w:p>
    <w:p w:rsidR="00703848" w:rsidRPr="001D200B" w:rsidRDefault="00460B92" w:rsidP="00460B92">
      <w:pPr>
        <w:pStyle w:val="Legenda"/>
        <w:rPr>
          <w:color w:val="auto"/>
          <w:highlight w:val="yellow"/>
        </w:rPr>
      </w:pPr>
      <w:bookmarkStart w:id="73" w:name="_Toc31371912"/>
      <w:r w:rsidRPr="001D200B">
        <w:rPr>
          <w:color w:val="auto"/>
        </w:rPr>
        <w:t xml:space="preserve">Wykres </w:t>
      </w:r>
      <w:r w:rsidR="005B7234" w:rsidRPr="001D200B">
        <w:rPr>
          <w:color w:val="auto"/>
        </w:rPr>
        <w:fldChar w:fldCharType="begin"/>
      </w:r>
      <w:r w:rsidR="005B7234" w:rsidRPr="001D200B">
        <w:rPr>
          <w:color w:val="auto"/>
        </w:rPr>
        <w:instrText xml:space="preserve"> SEQ Wykres \* ARABIC </w:instrText>
      </w:r>
      <w:r w:rsidR="005B7234" w:rsidRPr="001D200B">
        <w:rPr>
          <w:color w:val="auto"/>
        </w:rPr>
        <w:fldChar w:fldCharType="separate"/>
      </w:r>
      <w:r w:rsidR="00975320" w:rsidRPr="001D200B">
        <w:rPr>
          <w:noProof/>
          <w:color w:val="auto"/>
        </w:rPr>
        <w:t>10</w:t>
      </w:r>
      <w:r w:rsidR="005B7234" w:rsidRPr="001D200B">
        <w:rPr>
          <w:color w:val="auto"/>
        </w:rPr>
        <w:fldChar w:fldCharType="end"/>
      </w:r>
      <w:r w:rsidRPr="001D200B">
        <w:rPr>
          <w:color w:val="auto"/>
        </w:rPr>
        <w:t>.</w:t>
      </w:r>
      <w:r w:rsidR="00062CC7" w:rsidRPr="001D200B">
        <w:rPr>
          <w:color w:val="auto"/>
        </w:rPr>
        <w:t xml:space="preserve"> Struktura zużycia gazu ziemnego w gminie Połaniec w 2018 roku</w:t>
      </w:r>
      <w:bookmarkEnd w:id="73"/>
    </w:p>
    <w:p w:rsidR="00703848" w:rsidRPr="001D200B" w:rsidRDefault="00111F66" w:rsidP="00703848">
      <w:pPr>
        <w:rPr>
          <w:highlight w:val="yellow"/>
        </w:rPr>
      </w:pPr>
      <w:r w:rsidRPr="001D200B">
        <w:rPr>
          <w:noProof/>
        </w:rPr>
        <w:drawing>
          <wp:inline distT="0" distB="0" distL="0" distR="0">
            <wp:extent cx="5486400" cy="2924175"/>
            <wp:effectExtent l="0" t="0" r="0" b="0"/>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633C8B" w:rsidRPr="001D200B" w:rsidRDefault="00633C8B" w:rsidP="00633C8B">
      <w:r w:rsidRPr="001D200B">
        <w:t>W 2018 roku w 74 gospodarstwach domowych gaz sieciowy wykorzystywany był do ogrzewania mieszkań (na 77 użytkowników gazu ziemnego w grupie gospodarstw domowych). W strukturze wielkości zużycia gazu ziemnego przez gospodarstwa domowe dominuje pobór na cel ogrzewczy powierzchni mieszkalnej (98% ogólnego zużycia w tej grupie użytkowników).</w:t>
      </w:r>
    </w:p>
    <w:p w:rsidR="00915383" w:rsidRPr="001D200B" w:rsidRDefault="00915383">
      <w:pPr>
        <w:spacing w:before="0" w:after="0" w:line="240" w:lineRule="auto"/>
        <w:jc w:val="left"/>
      </w:pPr>
      <w:r w:rsidRPr="001D200B">
        <w:br w:type="page"/>
      </w:r>
    </w:p>
    <w:p w:rsidR="00703848" w:rsidRPr="001D200B" w:rsidRDefault="00633C8B" w:rsidP="00633C8B">
      <w:pPr>
        <w:pStyle w:val="Legenda"/>
        <w:rPr>
          <w:b w:val="0"/>
          <w:color w:val="auto"/>
          <w:highlight w:val="yellow"/>
        </w:rPr>
      </w:pPr>
      <w:bookmarkStart w:id="74" w:name="_Toc39476580"/>
      <w:r w:rsidRPr="001D200B">
        <w:rPr>
          <w:color w:val="auto"/>
        </w:rPr>
        <w:lastRenderedPageBreak/>
        <w:t xml:space="preserve">Tabela </w:t>
      </w:r>
      <w:r w:rsidR="005B7234" w:rsidRPr="001D200B">
        <w:rPr>
          <w:color w:val="auto"/>
        </w:rPr>
        <w:fldChar w:fldCharType="begin"/>
      </w:r>
      <w:r w:rsidR="005B7234" w:rsidRPr="001D200B">
        <w:rPr>
          <w:color w:val="auto"/>
        </w:rPr>
        <w:instrText xml:space="preserve"> SEQ Tabela \* ARABIC </w:instrText>
      </w:r>
      <w:r w:rsidR="005B7234" w:rsidRPr="001D200B">
        <w:rPr>
          <w:color w:val="auto"/>
        </w:rPr>
        <w:fldChar w:fldCharType="separate"/>
      </w:r>
      <w:r w:rsidR="00D2721B" w:rsidRPr="001D200B">
        <w:rPr>
          <w:noProof/>
          <w:color w:val="auto"/>
        </w:rPr>
        <w:t>28</w:t>
      </w:r>
      <w:r w:rsidR="005B7234" w:rsidRPr="001D200B">
        <w:rPr>
          <w:color w:val="auto"/>
        </w:rPr>
        <w:fldChar w:fldCharType="end"/>
      </w:r>
      <w:r w:rsidRPr="001D200B">
        <w:rPr>
          <w:color w:val="auto"/>
        </w:rPr>
        <w:t>. Przeciętne zużycie gazu ziemnego przez 1 odbiorcę według sektora użytkowników</w:t>
      </w:r>
      <w:bookmarkEnd w:id="74"/>
    </w:p>
    <w:tbl>
      <w:tblPr>
        <w:tblStyle w:val="Tabela-Siatka"/>
        <w:tblW w:w="0" w:type="auto"/>
        <w:tblLook w:val="04A0"/>
      </w:tblPr>
      <w:tblGrid>
        <w:gridCol w:w="817"/>
        <w:gridCol w:w="2268"/>
        <w:gridCol w:w="2126"/>
        <w:gridCol w:w="1985"/>
        <w:gridCol w:w="2090"/>
      </w:tblGrid>
      <w:tr w:rsidR="005D7D87" w:rsidRPr="001D200B" w:rsidTr="00FC15AB">
        <w:tc>
          <w:tcPr>
            <w:tcW w:w="0" w:type="auto"/>
            <w:gridSpan w:val="5"/>
            <w:shd w:val="clear" w:color="auto" w:fill="F2F2F2" w:themeFill="background1" w:themeFillShade="F2"/>
          </w:tcPr>
          <w:p w:rsidR="005D7D87" w:rsidRPr="001D200B" w:rsidRDefault="005D7D87" w:rsidP="005D7D87">
            <w:pPr>
              <w:spacing w:before="0" w:after="0" w:line="240" w:lineRule="auto"/>
              <w:rPr>
                <w:rFonts w:cstheme="minorHAnsi"/>
                <w:b/>
                <w:sz w:val="22"/>
                <w:szCs w:val="22"/>
              </w:rPr>
            </w:pPr>
            <w:r w:rsidRPr="001D200B">
              <w:rPr>
                <w:rFonts w:cstheme="minorHAnsi"/>
                <w:b/>
                <w:sz w:val="22"/>
                <w:szCs w:val="22"/>
              </w:rPr>
              <w:t>Gmina Połaniec</w:t>
            </w:r>
          </w:p>
        </w:tc>
      </w:tr>
      <w:tr w:rsidR="005D7D87" w:rsidRPr="001D200B" w:rsidTr="00FC15AB">
        <w:tc>
          <w:tcPr>
            <w:tcW w:w="817" w:type="dxa"/>
            <w:vMerge w:val="restart"/>
            <w:shd w:val="clear" w:color="auto" w:fill="F2F2F2" w:themeFill="background1" w:themeFillShade="F2"/>
            <w:vAlign w:val="center"/>
          </w:tcPr>
          <w:p w:rsidR="005D7D87" w:rsidRPr="001D200B" w:rsidRDefault="005D7D87" w:rsidP="00FC15AB">
            <w:pPr>
              <w:spacing w:before="0" w:after="0" w:line="240" w:lineRule="auto"/>
              <w:rPr>
                <w:rFonts w:cstheme="minorHAnsi"/>
                <w:sz w:val="22"/>
                <w:szCs w:val="22"/>
              </w:rPr>
            </w:pPr>
            <w:r w:rsidRPr="001D200B">
              <w:rPr>
                <w:rFonts w:cstheme="minorHAnsi"/>
                <w:sz w:val="22"/>
                <w:szCs w:val="22"/>
              </w:rPr>
              <w:t>Rok</w:t>
            </w:r>
          </w:p>
        </w:tc>
        <w:tc>
          <w:tcPr>
            <w:tcW w:w="8469" w:type="dxa"/>
            <w:gridSpan w:val="4"/>
            <w:shd w:val="clear" w:color="auto" w:fill="F2F2F2" w:themeFill="background1" w:themeFillShade="F2"/>
          </w:tcPr>
          <w:p w:rsidR="005D7D87" w:rsidRPr="001D200B" w:rsidRDefault="005D7D87" w:rsidP="00FC15AB">
            <w:pPr>
              <w:spacing w:before="0" w:after="0" w:line="240" w:lineRule="auto"/>
              <w:rPr>
                <w:rFonts w:cstheme="minorHAnsi"/>
                <w:sz w:val="22"/>
                <w:szCs w:val="22"/>
              </w:rPr>
            </w:pPr>
            <w:r w:rsidRPr="001D200B">
              <w:rPr>
                <w:rFonts w:cstheme="minorHAnsi"/>
                <w:sz w:val="22"/>
                <w:szCs w:val="22"/>
              </w:rPr>
              <w:t>Przeciętne zużycie gazu w ciągu roku w [MWh /odbiorcę]</w:t>
            </w:r>
          </w:p>
        </w:tc>
      </w:tr>
      <w:tr w:rsidR="005D7D87" w:rsidRPr="001D200B" w:rsidTr="00FC15AB">
        <w:trPr>
          <w:trHeight w:val="806"/>
        </w:trPr>
        <w:tc>
          <w:tcPr>
            <w:tcW w:w="817" w:type="dxa"/>
            <w:vMerge/>
            <w:shd w:val="clear" w:color="auto" w:fill="F2F2F2" w:themeFill="background1" w:themeFillShade="F2"/>
          </w:tcPr>
          <w:p w:rsidR="005D7D87" w:rsidRPr="001D200B" w:rsidRDefault="005D7D87" w:rsidP="00FC15AB">
            <w:pPr>
              <w:spacing w:before="0" w:after="0" w:line="240" w:lineRule="auto"/>
              <w:rPr>
                <w:rFonts w:cstheme="minorHAnsi"/>
                <w:sz w:val="22"/>
                <w:szCs w:val="22"/>
              </w:rPr>
            </w:pPr>
          </w:p>
        </w:tc>
        <w:tc>
          <w:tcPr>
            <w:tcW w:w="2268" w:type="dxa"/>
            <w:shd w:val="clear" w:color="auto" w:fill="F2F2F2" w:themeFill="background1" w:themeFillShade="F2"/>
            <w:vAlign w:val="center"/>
          </w:tcPr>
          <w:p w:rsidR="005D7D87" w:rsidRPr="001D200B" w:rsidRDefault="005D7D87" w:rsidP="00FC15AB">
            <w:pPr>
              <w:spacing w:before="0" w:after="0" w:line="240" w:lineRule="auto"/>
              <w:rPr>
                <w:rFonts w:cstheme="minorHAnsi"/>
                <w:sz w:val="22"/>
                <w:szCs w:val="22"/>
              </w:rPr>
            </w:pPr>
            <w:r w:rsidRPr="001D200B">
              <w:rPr>
                <w:rFonts w:cstheme="minorHAnsi"/>
                <w:sz w:val="22"/>
                <w:szCs w:val="22"/>
              </w:rPr>
              <w:t>Zużycie gazu ogółem</w:t>
            </w:r>
          </w:p>
        </w:tc>
        <w:tc>
          <w:tcPr>
            <w:tcW w:w="2126" w:type="dxa"/>
            <w:shd w:val="clear" w:color="auto" w:fill="F2F2F2" w:themeFill="background1" w:themeFillShade="F2"/>
            <w:vAlign w:val="center"/>
          </w:tcPr>
          <w:p w:rsidR="005D7D87" w:rsidRPr="001D200B" w:rsidRDefault="005D7D87" w:rsidP="00FC15AB">
            <w:pPr>
              <w:spacing w:before="0" w:after="0" w:line="240" w:lineRule="auto"/>
              <w:jc w:val="center"/>
              <w:rPr>
                <w:rFonts w:cstheme="minorHAnsi"/>
                <w:sz w:val="22"/>
                <w:szCs w:val="22"/>
              </w:rPr>
            </w:pPr>
            <w:r w:rsidRPr="001D200B">
              <w:rPr>
                <w:rFonts w:cstheme="minorHAnsi"/>
                <w:sz w:val="22"/>
                <w:szCs w:val="22"/>
              </w:rPr>
              <w:t>Gospodarstwa domowe</w:t>
            </w:r>
          </w:p>
        </w:tc>
        <w:tc>
          <w:tcPr>
            <w:tcW w:w="1985" w:type="dxa"/>
            <w:shd w:val="clear" w:color="auto" w:fill="F2F2F2" w:themeFill="background1" w:themeFillShade="F2"/>
            <w:vAlign w:val="center"/>
          </w:tcPr>
          <w:p w:rsidR="005D7D87" w:rsidRPr="001D200B" w:rsidRDefault="005D7D87" w:rsidP="00FC15AB">
            <w:pPr>
              <w:spacing w:before="0" w:after="0" w:line="240" w:lineRule="auto"/>
              <w:jc w:val="center"/>
              <w:rPr>
                <w:rFonts w:cstheme="minorHAnsi"/>
                <w:sz w:val="22"/>
                <w:szCs w:val="22"/>
              </w:rPr>
            </w:pPr>
            <w:r w:rsidRPr="001D200B">
              <w:rPr>
                <w:rFonts w:cstheme="minorHAnsi"/>
                <w:sz w:val="22"/>
                <w:szCs w:val="22"/>
              </w:rPr>
              <w:t>Przemysł i budownictwo</w:t>
            </w:r>
          </w:p>
        </w:tc>
        <w:tc>
          <w:tcPr>
            <w:tcW w:w="2090" w:type="dxa"/>
            <w:shd w:val="clear" w:color="auto" w:fill="F2F2F2" w:themeFill="background1" w:themeFillShade="F2"/>
            <w:vAlign w:val="center"/>
          </w:tcPr>
          <w:p w:rsidR="005D7D87" w:rsidRPr="001D200B" w:rsidRDefault="005D7D87" w:rsidP="00FC15AB">
            <w:pPr>
              <w:spacing w:before="0" w:after="0" w:line="240" w:lineRule="auto"/>
              <w:jc w:val="center"/>
              <w:rPr>
                <w:rFonts w:cstheme="minorHAnsi"/>
                <w:sz w:val="22"/>
                <w:szCs w:val="22"/>
              </w:rPr>
            </w:pPr>
            <w:r w:rsidRPr="001D200B">
              <w:rPr>
                <w:rFonts w:cstheme="minorHAnsi"/>
                <w:sz w:val="22"/>
                <w:szCs w:val="22"/>
              </w:rPr>
              <w:t>Usługi/handel</w:t>
            </w:r>
          </w:p>
        </w:tc>
      </w:tr>
      <w:tr w:rsidR="005D7D87" w:rsidRPr="001D200B" w:rsidTr="00FC15AB">
        <w:trPr>
          <w:trHeight w:val="136"/>
        </w:trPr>
        <w:tc>
          <w:tcPr>
            <w:tcW w:w="817" w:type="dxa"/>
          </w:tcPr>
          <w:p w:rsidR="005D7D87" w:rsidRPr="001D200B" w:rsidRDefault="005D7D87" w:rsidP="00FC15AB">
            <w:pPr>
              <w:spacing w:before="0" w:after="0" w:line="240" w:lineRule="auto"/>
              <w:rPr>
                <w:rFonts w:cstheme="minorHAnsi"/>
                <w:b/>
                <w:sz w:val="22"/>
                <w:szCs w:val="22"/>
              </w:rPr>
            </w:pPr>
            <w:r w:rsidRPr="001D200B">
              <w:rPr>
                <w:rFonts w:cstheme="minorHAnsi"/>
                <w:b/>
                <w:sz w:val="22"/>
                <w:szCs w:val="22"/>
              </w:rPr>
              <w:t>2015</w:t>
            </w:r>
          </w:p>
        </w:tc>
        <w:tc>
          <w:tcPr>
            <w:tcW w:w="2268"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87,0</w:t>
            </w:r>
          </w:p>
        </w:tc>
        <w:tc>
          <w:tcPr>
            <w:tcW w:w="2126"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11,3</w:t>
            </w:r>
          </w:p>
        </w:tc>
        <w:tc>
          <w:tcPr>
            <w:tcW w:w="1985"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1717,3</w:t>
            </w:r>
          </w:p>
        </w:tc>
        <w:tc>
          <w:tcPr>
            <w:tcW w:w="2090"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44,5</w:t>
            </w:r>
          </w:p>
        </w:tc>
      </w:tr>
      <w:tr w:rsidR="005D7D87" w:rsidRPr="001D200B" w:rsidTr="00FC15AB">
        <w:trPr>
          <w:trHeight w:val="136"/>
        </w:trPr>
        <w:tc>
          <w:tcPr>
            <w:tcW w:w="817" w:type="dxa"/>
          </w:tcPr>
          <w:p w:rsidR="005D7D87" w:rsidRPr="001D200B" w:rsidRDefault="005D7D87" w:rsidP="00FC15AB">
            <w:pPr>
              <w:spacing w:before="0" w:after="0" w:line="240" w:lineRule="auto"/>
              <w:rPr>
                <w:rFonts w:cstheme="minorHAnsi"/>
                <w:b/>
                <w:sz w:val="22"/>
                <w:szCs w:val="22"/>
              </w:rPr>
            </w:pPr>
            <w:r w:rsidRPr="001D200B">
              <w:rPr>
                <w:rFonts w:cstheme="minorHAnsi"/>
                <w:b/>
                <w:sz w:val="22"/>
                <w:szCs w:val="22"/>
              </w:rPr>
              <w:t>2016</w:t>
            </w:r>
          </w:p>
        </w:tc>
        <w:tc>
          <w:tcPr>
            <w:tcW w:w="2268"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23,8</w:t>
            </w:r>
          </w:p>
        </w:tc>
        <w:tc>
          <w:tcPr>
            <w:tcW w:w="2126"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12,6</w:t>
            </w:r>
          </w:p>
        </w:tc>
        <w:tc>
          <w:tcPr>
            <w:tcW w:w="1985"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429,7</w:t>
            </w:r>
          </w:p>
        </w:tc>
        <w:tc>
          <w:tcPr>
            <w:tcW w:w="2090"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19,1</w:t>
            </w:r>
          </w:p>
        </w:tc>
      </w:tr>
      <w:tr w:rsidR="005D7D87" w:rsidRPr="001D200B" w:rsidTr="00FC15AB">
        <w:trPr>
          <w:trHeight w:val="136"/>
        </w:trPr>
        <w:tc>
          <w:tcPr>
            <w:tcW w:w="817" w:type="dxa"/>
          </w:tcPr>
          <w:p w:rsidR="005D7D87" w:rsidRPr="001D200B" w:rsidRDefault="005D7D87" w:rsidP="00FC15AB">
            <w:pPr>
              <w:spacing w:before="0" w:after="0" w:line="240" w:lineRule="auto"/>
              <w:rPr>
                <w:rFonts w:cstheme="minorHAnsi"/>
                <w:b/>
                <w:sz w:val="22"/>
                <w:szCs w:val="22"/>
              </w:rPr>
            </w:pPr>
            <w:r w:rsidRPr="001D200B">
              <w:rPr>
                <w:rFonts w:cstheme="minorHAnsi"/>
                <w:b/>
                <w:sz w:val="22"/>
                <w:szCs w:val="22"/>
              </w:rPr>
              <w:t>2017</w:t>
            </w:r>
          </w:p>
        </w:tc>
        <w:tc>
          <w:tcPr>
            <w:tcW w:w="2268"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17,5</w:t>
            </w:r>
          </w:p>
        </w:tc>
        <w:tc>
          <w:tcPr>
            <w:tcW w:w="2126"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15,0</w:t>
            </w:r>
          </w:p>
        </w:tc>
        <w:tc>
          <w:tcPr>
            <w:tcW w:w="1985"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63,6</w:t>
            </w:r>
          </w:p>
        </w:tc>
        <w:tc>
          <w:tcPr>
            <w:tcW w:w="2090"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28,2</w:t>
            </w:r>
          </w:p>
        </w:tc>
      </w:tr>
      <w:tr w:rsidR="005D7D87" w:rsidRPr="001D200B" w:rsidTr="00FC15AB">
        <w:trPr>
          <w:trHeight w:val="136"/>
        </w:trPr>
        <w:tc>
          <w:tcPr>
            <w:tcW w:w="817" w:type="dxa"/>
          </w:tcPr>
          <w:p w:rsidR="005D7D87" w:rsidRPr="001D200B" w:rsidRDefault="005D7D87" w:rsidP="00FC15AB">
            <w:pPr>
              <w:spacing w:before="0" w:after="0" w:line="240" w:lineRule="auto"/>
              <w:rPr>
                <w:rFonts w:cstheme="minorHAnsi"/>
                <w:b/>
                <w:sz w:val="22"/>
                <w:szCs w:val="22"/>
              </w:rPr>
            </w:pPr>
            <w:r w:rsidRPr="001D200B">
              <w:rPr>
                <w:rFonts w:cstheme="minorHAnsi"/>
                <w:b/>
                <w:sz w:val="22"/>
                <w:szCs w:val="22"/>
              </w:rPr>
              <w:t>2018</w:t>
            </w:r>
          </w:p>
        </w:tc>
        <w:tc>
          <w:tcPr>
            <w:tcW w:w="2268"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16,3</w:t>
            </w:r>
          </w:p>
        </w:tc>
        <w:tc>
          <w:tcPr>
            <w:tcW w:w="2126"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15,1</w:t>
            </w:r>
          </w:p>
        </w:tc>
        <w:tc>
          <w:tcPr>
            <w:tcW w:w="1985"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63,7</w:t>
            </w:r>
          </w:p>
        </w:tc>
        <w:tc>
          <w:tcPr>
            <w:tcW w:w="2090"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16,3</w:t>
            </w:r>
          </w:p>
        </w:tc>
      </w:tr>
      <w:tr w:rsidR="005D7D87" w:rsidRPr="001D200B" w:rsidTr="00FC15AB">
        <w:tc>
          <w:tcPr>
            <w:tcW w:w="817" w:type="dxa"/>
            <w:vMerge w:val="restart"/>
            <w:shd w:val="clear" w:color="auto" w:fill="F2F2F2" w:themeFill="background1" w:themeFillShade="F2"/>
            <w:vAlign w:val="center"/>
          </w:tcPr>
          <w:p w:rsidR="005D7D87" w:rsidRPr="001D200B" w:rsidRDefault="005D7D87" w:rsidP="00FC15AB">
            <w:pPr>
              <w:spacing w:before="0" w:after="0" w:line="240" w:lineRule="auto"/>
              <w:rPr>
                <w:rFonts w:cstheme="minorHAnsi"/>
                <w:sz w:val="22"/>
                <w:szCs w:val="22"/>
              </w:rPr>
            </w:pPr>
            <w:r w:rsidRPr="001D200B">
              <w:rPr>
                <w:rFonts w:cstheme="minorHAnsi"/>
                <w:sz w:val="22"/>
                <w:szCs w:val="22"/>
              </w:rPr>
              <w:t>Rok</w:t>
            </w:r>
          </w:p>
        </w:tc>
        <w:tc>
          <w:tcPr>
            <w:tcW w:w="8469" w:type="dxa"/>
            <w:gridSpan w:val="4"/>
            <w:shd w:val="clear" w:color="auto" w:fill="F2F2F2" w:themeFill="background1" w:themeFillShade="F2"/>
          </w:tcPr>
          <w:p w:rsidR="005D7D87" w:rsidRPr="001D200B" w:rsidRDefault="005D7D87" w:rsidP="00FC15AB">
            <w:pPr>
              <w:spacing w:before="0" w:after="0" w:line="240" w:lineRule="auto"/>
              <w:rPr>
                <w:rFonts w:cstheme="minorHAnsi"/>
                <w:sz w:val="22"/>
                <w:szCs w:val="22"/>
              </w:rPr>
            </w:pPr>
            <w:r w:rsidRPr="001D200B">
              <w:rPr>
                <w:rFonts w:cstheme="minorHAnsi"/>
                <w:sz w:val="22"/>
                <w:szCs w:val="22"/>
              </w:rPr>
              <w:t>Przeciętne zużycie gazu w ciągu roku [w m</w:t>
            </w:r>
            <w:r w:rsidRPr="001D200B">
              <w:rPr>
                <w:rFonts w:cstheme="minorHAnsi"/>
                <w:sz w:val="22"/>
                <w:szCs w:val="22"/>
                <w:vertAlign w:val="superscript"/>
              </w:rPr>
              <w:t>3</w:t>
            </w:r>
            <w:r w:rsidRPr="001D200B">
              <w:rPr>
                <w:rFonts w:cstheme="minorHAnsi"/>
                <w:sz w:val="22"/>
                <w:szCs w:val="22"/>
              </w:rPr>
              <w:t>/odbiorcę]</w:t>
            </w:r>
          </w:p>
        </w:tc>
      </w:tr>
      <w:tr w:rsidR="005D7D87" w:rsidRPr="001D200B" w:rsidTr="00FC15AB">
        <w:trPr>
          <w:trHeight w:val="806"/>
        </w:trPr>
        <w:tc>
          <w:tcPr>
            <w:tcW w:w="817" w:type="dxa"/>
            <w:vMerge/>
            <w:shd w:val="clear" w:color="auto" w:fill="F2F2F2" w:themeFill="background1" w:themeFillShade="F2"/>
          </w:tcPr>
          <w:p w:rsidR="005D7D87" w:rsidRPr="001D200B" w:rsidRDefault="005D7D87" w:rsidP="00FC15AB">
            <w:pPr>
              <w:spacing w:before="0" w:after="0" w:line="240" w:lineRule="auto"/>
              <w:rPr>
                <w:rFonts w:cstheme="minorHAnsi"/>
                <w:sz w:val="22"/>
                <w:szCs w:val="22"/>
              </w:rPr>
            </w:pPr>
          </w:p>
        </w:tc>
        <w:tc>
          <w:tcPr>
            <w:tcW w:w="2268" w:type="dxa"/>
            <w:shd w:val="clear" w:color="auto" w:fill="F2F2F2" w:themeFill="background1" w:themeFillShade="F2"/>
            <w:vAlign w:val="center"/>
          </w:tcPr>
          <w:p w:rsidR="005D7D87" w:rsidRPr="001D200B" w:rsidRDefault="005D7D87" w:rsidP="00FC15AB">
            <w:pPr>
              <w:spacing w:before="0" w:after="0" w:line="240" w:lineRule="auto"/>
              <w:rPr>
                <w:rFonts w:cstheme="minorHAnsi"/>
                <w:sz w:val="22"/>
                <w:szCs w:val="22"/>
              </w:rPr>
            </w:pPr>
            <w:r w:rsidRPr="001D200B">
              <w:rPr>
                <w:rFonts w:cstheme="minorHAnsi"/>
                <w:sz w:val="22"/>
                <w:szCs w:val="22"/>
              </w:rPr>
              <w:t>Zużycie gazu ogółem</w:t>
            </w:r>
          </w:p>
        </w:tc>
        <w:tc>
          <w:tcPr>
            <w:tcW w:w="2126" w:type="dxa"/>
            <w:shd w:val="clear" w:color="auto" w:fill="F2F2F2" w:themeFill="background1" w:themeFillShade="F2"/>
            <w:vAlign w:val="center"/>
          </w:tcPr>
          <w:p w:rsidR="005D7D87" w:rsidRPr="001D200B" w:rsidRDefault="005D7D87" w:rsidP="00FC15AB">
            <w:pPr>
              <w:spacing w:before="0" w:after="0" w:line="240" w:lineRule="auto"/>
              <w:jc w:val="center"/>
              <w:rPr>
                <w:rFonts w:cstheme="minorHAnsi"/>
                <w:sz w:val="22"/>
                <w:szCs w:val="22"/>
              </w:rPr>
            </w:pPr>
            <w:r w:rsidRPr="001D200B">
              <w:rPr>
                <w:rFonts w:cstheme="minorHAnsi"/>
                <w:sz w:val="22"/>
                <w:szCs w:val="22"/>
              </w:rPr>
              <w:t>Gospodarstwa domowe</w:t>
            </w:r>
          </w:p>
        </w:tc>
        <w:tc>
          <w:tcPr>
            <w:tcW w:w="1985" w:type="dxa"/>
            <w:shd w:val="clear" w:color="auto" w:fill="F2F2F2" w:themeFill="background1" w:themeFillShade="F2"/>
            <w:vAlign w:val="center"/>
          </w:tcPr>
          <w:p w:rsidR="005D7D87" w:rsidRPr="001D200B" w:rsidRDefault="005D7D87" w:rsidP="00FC15AB">
            <w:pPr>
              <w:spacing w:before="0" w:after="0" w:line="240" w:lineRule="auto"/>
              <w:jc w:val="center"/>
              <w:rPr>
                <w:rFonts w:cstheme="minorHAnsi"/>
                <w:sz w:val="22"/>
                <w:szCs w:val="22"/>
              </w:rPr>
            </w:pPr>
            <w:r w:rsidRPr="001D200B">
              <w:rPr>
                <w:rFonts w:cstheme="minorHAnsi"/>
                <w:sz w:val="22"/>
                <w:szCs w:val="22"/>
              </w:rPr>
              <w:t>Przemysł i budownictwo</w:t>
            </w:r>
          </w:p>
        </w:tc>
        <w:tc>
          <w:tcPr>
            <w:tcW w:w="2090" w:type="dxa"/>
            <w:shd w:val="clear" w:color="auto" w:fill="F2F2F2" w:themeFill="background1" w:themeFillShade="F2"/>
            <w:vAlign w:val="center"/>
          </w:tcPr>
          <w:p w:rsidR="005D7D87" w:rsidRPr="001D200B" w:rsidRDefault="005D7D87" w:rsidP="00FC15AB">
            <w:pPr>
              <w:spacing w:before="0" w:after="0" w:line="240" w:lineRule="auto"/>
              <w:jc w:val="center"/>
              <w:rPr>
                <w:rFonts w:cstheme="minorHAnsi"/>
                <w:sz w:val="22"/>
                <w:szCs w:val="22"/>
              </w:rPr>
            </w:pPr>
            <w:r w:rsidRPr="001D200B">
              <w:rPr>
                <w:rFonts w:cstheme="minorHAnsi"/>
                <w:sz w:val="22"/>
                <w:szCs w:val="22"/>
              </w:rPr>
              <w:t>Usługi/handel</w:t>
            </w:r>
          </w:p>
        </w:tc>
      </w:tr>
      <w:tr w:rsidR="005D7D87" w:rsidRPr="001D200B" w:rsidTr="00FC15AB">
        <w:trPr>
          <w:trHeight w:val="136"/>
        </w:trPr>
        <w:tc>
          <w:tcPr>
            <w:tcW w:w="817" w:type="dxa"/>
          </w:tcPr>
          <w:p w:rsidR="005D7D87" w:rsidRPr="001D200B" w:rsidRDefault="005D7D87" w:rsidP="00FC15AB">
            <w:pPr>
              <w:spacing w:before="0" w:after="0" w:line="240" w:lineRule="auto"/>
              <w:rPr>
                <w:rFonts w:cstheme="minorHAnsi"/>
                <w:b/>
                <w:sz w:val="22"/>
                <w:szCs w:val="22"/>
              </w:rPr>
            </w:pPr>
            <w:r w:rsidRPr="001D200B">
              <w:rPr>
                <w:rFonts w:cstheme="minorHAnsi"/>
                <w:b/>
                <w:sz w:val="22"/>
                <w:szCs w:val="22"/>
              </w:rPr>
              <w:t>2015</w:t>
            </w:r>
          </w:p>
        </w:tc>
        <w:tc>
          <w:tcPr>
            <w:tcW w:w="2268"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7798,7</w:t>
            </w:r>
          </w:p>
        </w:tc>
        <w:tc>
          <w:tcPr>
            <w:tcW w:w="2126"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1014,8</w:t>
            </w:r>
          </w:p>
        </w:tc>
        <w:tc>
          <w:tcPr>
            <w:tcW w:w="1985"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154000</w:t>
            </w:r>
          </w:p>
        </w:tc>
        <w:tc>
          <w:tcPr>
            <w:tcW w:w="2090"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3989,5</w:t>
            </w:r>
          </w:p>
        </w:tc>
      </w:tr>
      <w:tr w:rsidR="005D7D87" w:rsidRPr="001D200B" w:rsidTr="00FC15AB">
        <w:trPr>
          <w:trHeight w:val="136"/>
        </w:trPr>
        <w:tc>
          <w:tcPr>
            <w:tcW w:w="817" w:type="dxa"/>
          </w:tcPr>
          <w:p w:rsidR="005D7D87" w:rsidRPr="001D200B" w:rsidRDefault="005D7D87" w:rsidP="00FC15AB">
            <w:pPr>
              <w:spacing w:before="0" w:after="0" w:line="240" w:lineRule="auto"/>
              <w:rPr>
                <w:rFonts w:cstheme="minorHAnsi"/>
                <w:b/>
                <w:sz w:val="22"/>
                <w:szCs w:val="22"/>
              </w:rPr>
            </w:pPr>
            <w:r w:rsidRPr="001D200B">
              <w:rPr>
                <w:rFonts w:cstheme="minorHAnsi"/>
                <w:b/>
                <w:sz w:val="22"/>
                <w:szCs w:val="22"/>
              </w:rPr>
              <w:t>2016</w:t>
            </w:r>
          </w:p>
        </w:tc>
        <w:tc>
          <w:tcPr>
            <w:tcW w:w="2268"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2111,8</w:t>
            </w:r>
          </w:p>
        </w:tc>
        <w:tc>
          <w:tcPr>
            <w:tcW w:w="2126"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1116,9</w:t>
            </w:r>
          </w:p>
        </w:tc>
        <w:tc>
          <w:tcPr>
            <w:tcW w:w="1985"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38200</w:t>
            </w:r>
          </w:p>
        </w:tc>
        <w:tc>
          <w:tcPr>
            <w:tcW w:w="2090"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1694,4</w:t>
            </w:r>
          </w:p>
        </w:tc>
      </w:tr>
      <w:tr w:rsidR="005D7D87" w:rsidRPr="001D200B" w:rsidTr="00FC15AB">
        <w:trPr>
          <w:trHeight w:val="136"/>
        </w:trPr>
        <w:tc>
          <w:tcPr>
            <w:tcW w:w="817" w:type="dxa"/>
          </w:tcPr>
          <w:p w:rsidR="005D7D87" w:rsidRPr="001D200B" w:rsidRDefault="005D7D87" w:rsidP="00FC15AB">
            <w:pPr>
              <w:spacing w:before="0" w:after="0" w:line="240" w:lineRule="auto"/>
              <w:rPr>
                <w:rFonts w:cstheme="minorHAnsi"/>
                <w:b/>
                <w:sz w:val="22"/>
                <w:szCs w:val="22"/>
              </w:rPr>
            </w:pPr>
            <w:r w:rsidRPr="001D200B">
              <w:rPr>
                <w:rFonts w:cstheme="minorHAnsi"/>
                <w:b/>
                <w:sz w:val="22"/>
                <w:szCs w:val="22"/>
              </w:rPr>
              <w:t>2017</w:t>
            </w:r>
          </w:p>
        </w:tc>
        <w:tc>
          <w:tcPr>
            <w:tcW w:w="2268"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1552,4</w:t>
            </w:r>
          </w:p>
        </w:tc>
        <w:tc>
          <w:tcPr>
            <w:tcW w:w="2126"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1326,0</w:t>
            </w:r>
          </w:p>
        </w:tc>
        <w:tc>
          <w:tcPr>
            <w:tcW w:w="1985"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5650</w:t>
            </w:r>
          </w:p>
        </w:tc>
        <w:tc>
          <w:tcPr>
            <w:tcW w:w="2090"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2500</w:t>
            </w:r>
            <w:r w:rsidR="006823D0" w:rsidRPr="001D200B">
              <w:rPr>
                <w:rFonts w:cstheme="minorHAnsi"/>
                <w:sz w:val="22"/>
                <w:szCs w:val="22"/>
              </w:rPr>
              <w:t>,0</w:t>
            </w:r>
          </w:p>
        </w:tc>
      </w:tr>
      <w:tr w:rsidR="005D7D87" w:rsidRPr="001D200B" w:rsidTr="00FC15AB">
        <w:trPr>
          <w:trHeight w:val="136"/>
        </w:trPr>
        <w:tc>
          <w:tcPr>
            <w:tcW w:w="817" w:type="dxa"/>
          </w:tcPr>
          <w:p w:rsidR="005D7D87" w:rsidRPr="001D200B" w:rsidRDefault="005D7D87" w:rsidP="00FC15AB">
            <w:pPr>
              <w:spacing w:before="0" w:after="0" w:line="240" w:lineRule="auto"/>
              <w:rPr>
                <w:rFonts w:cstheme="minorHAnsi"/>
                <w:b/>
                <w:sz w:val="22"/>
                <w:szCs w:val="22"/>
              </w:rPr>
            </w:pPr>
            <w:r w:rsidRPr="001D200B">
              <w:rPr>
                <w:rFonts w:cstheme="minorHAnsi"/>
                <w:b/>
                <w:sz w:val="22"/>
                <w:szCs w:val="22"/>
              </w:rPr>
              <w:t>2018</w:t>
            </w:r>
          </w:p>
        </w:tc>
        <w:tc>
          <w:tcPr>
            <w:tcW w:w="2268"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1443,4</w:t>
            </w:r>
          </w:p>
        </w:tc>
        <w:tc>
          <w:tcPr>
            <w:tcW w:w="2126"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1333,8</w:t>
            </w:r>
          </w:p>
        </w:tc>
        <w:tc>
          <w:tcPr>
            <w:tcW w:w="1985"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5650</w:t>
            </w:r>
          </w:p>
        </w:tc>
        <w:tc>
          <w:tcPr>
            <w:tcW w:w="2090" w:type="dxa"/>
            <w:vAlign w:val="bottom"/>
          </w:tcPr>
          <w:p w:rsidR="005D7D87" w:rsidRPr="001D200B" w:rsidRDefault="005D7D87" w:rsidP="005D7D87">
            <w:pPr>
              <w:spacing w:before="0" w:after="0"/>
              <w:jc w:val="center"/>
              <w:rPr>
                <w:rFonts w:cstheme="minorHAnsi"/>
                <w:sz w:val="22"/>
                <w:szCs w:val="22"/>
              </w:rPr>
            </w:pPr>
            <w:r w:rsidRPr="001D200B">
              <w:rPr>
                <w:rFonts w:cstheme="minorHAnsi"/>
                <w:sz w:val="22"/>
                <w:szCs w:val="22"/>
              </w:rPr>
              <w:t>1445</w:t>
            </w:r>
            <w:r w:rsidR="006823D0" w:rsidRPr="001D200B">
              <w:rPr>
                <w:rFonts w:cstheme="minorHAnsi"/>
                <w:sz w:val="22"/>
                <w:szCs w:val="22"/>
              </w:rPr>
              <w:t>,0</w:t>
            </w:r>
          </w:p>
        </w:tc>
      </w:tr>
    </w:tbl>
    <w:p w:rsidR="00703848" w:rsidRPr="001D200B" w:rsidRDefault="005B1FEA" w:rsidP="005B1FEA">
      <w:pPr>
        <w:pStyle w:val="podtabelk"/>
        <w:rPr>
          <w:highlight w:val="yellow"/>
        </w:rPr>
      </w:pPr>
      <w:r w:rsidRPr="001D200B">
        <w:t>* obliczenia własne na podstawie informacji PGNiG Obrót Detaliczny sp. z o.o.</w:t>
      </w:r>
    </w:p>
    <w:p w:rsidR="00703848" w:rsidRPr="001D200B" w:rsidRDefault="005B1FEA" w:rsidP="00BA0150">
      <w:pPr>
        <w:rPr>
          <w:rFonts w:cstheme="minorHAnsi"/>
          <w:highlight w:val="yellow"/>
        </w:rPr>
      </w:pPr>
      <w:r w:rsidRPr="001D200B">
        <w:t>Przeciętne roczne zużycie gazu ziemnego przez 1 odbiorcę domowego kształtuje się na poziomie około 1,3 tys. Nm</w:t>
      </w:r>
      <w:r w:rsidRPr="001D200B">
        <w:rPr>
          <w:vertAlign w:val="superscript"/>
        </w:rPr>
        <w:t>3</w:t>
      </w:r>
      <w:r w:rsidRPr="001D200B">
        <w:t>/rok i na przestrzeni lat 2015-2018 ma tendencje wzrostową. Pobór gazu w tej grupie odbiorców jest w dużej mierze zależny od warunków pogodowych i długości sezonu grzewczego.</w:t>
      </w:r>
    </w:p>
    <w:p w:rsidR="00703848" w:rsidRPr="001D200B" w:rsidRDefault="003E51E2" w:rsidP="003E51E2">
      <w:pPr>
        <w:pStyle w:val="Legenda"/>
        <w:rPr>
          <w:rFonts w:cstheme="minorHAnsi"/>
          <w:color w:val="auto"/>
          <w:highlight w:val="yellow"/>
        </w:rPr>
      </w:pPr>
      <w:bookmarkStart w:id="75" w:name="_Toc39476581"/>
      <w:r w:rsidRPr="001D200B">
        <w:rPr>
          <w:color w:val="auto"/>
        </w:rPr>
        <w:t xml:space="preserve">Tabela </w:t>
      </w:r>
      <w:r w:rsidR="005B7234" w:rsidRPr="001D200B">
        <w:rPr>
          <w:color w:val="auto"/>
        </w:rPr>
        <w:fldChar w:fldCharType="begin"/>
      </w:r>
      <w:r w:rsidR="005B7234" w:rsidRPr="001D200B">
        <w:rPr>
          <w:color w:val="auto"/>
        </w:rPr>
        <w:instrText xml:space="preserve"> SEQ Tabela \* ARABIC </w:instrText>
      </w:r>
      <w:r w:rsidR="005B7234" w:rsidRPr="001D200B">
        <w:rPr>
          <w:color w:val="auto"/>
        </w:rPr>
        <w:fldChar w:fldCharType="separate"/>
      </w:r>
      <w:r w:rsidR="00D2721B" w:rsidRPr="001D200B">
        <w:rPr>
          <w:noProof/>
          <w:color w:val="auto"/>
        </w:rPr>
        <w:t>29</w:t>
      </w:r>
      <w:r w:rsidR="005B7234" w:rsidRPr="001D200B">
        <w:rPr>
          <w:color w:val="auto"/>
        </w:rPr>
        <w:fldChar w:fldCharType="end"/>
      </w:r>
      <w:r w:rsidRPr="001D200B">
        <w:rPr>
          <w:color w:val="auto"/>
        </w:rPr>
        <w:t xml:space="preserve">. </w:t>
      </w:r>
      <w:r w:rsidR="004E333A" w:rsidRPr="001D200B">
        <w:rPr>
          <w:color w:val="auto"/>
        </w:rPr>
        <w:t>Zużycie gazu ziemnego w gospodarstwach domowych według celu wykorzystania w latach 2015-2018</w:t>
      </w:r>
      <w:bookmarkEnd w:id="75"/>
    </w:p>
    <w:tbl>
      <w:tblPr>
        <w:tblStyle w:val="Tabela-Siatka"/>
        <w:tblW w:w="0" w:type="auto"/>
        <w:tblLook w:val="04A0"/>
      </w:tblPr>
      <w:tblGrid>
        <w:gridCol w:w="3617"/>
        <w:gridCol w:w="1623"/>
        <w:gridCol w:w="1011"/>
        <w:gridCol w:w="1012"/>
        <w:gridCol w:w="1011"/>
        <w:gridCol w:w="1012"/>
      </w:tblGrid>
      <w:tr w:rsidR="004E333A" w:rsidRPr="001D200B" w:rsidTr="00F63D51">
        <w:tc>
          <w:tcPr>
            <w:tcW w:w="3617" w:type="dxa"/>
            <w:shd w:val="clear" w:color="auto" w:fill="F2F2F2" w:themeFill="background1" w:themeFillShade="F2"/>
          </w:tcPr>
          <w:p w:rsidR="004E333A" w:rsidRPr="001D200B" w:rsidRDefault="004E333A" w:rsidP="00F63D51">
            <w:pPr>
              <w:spacing w:before="0" w:after="0" w:line="240" w:lineRule="auto"/>
              <w:jc w:val="center"/>
              <w:rPr>
                <w:b/>
                <w:sz w:val="22"/>
                <w:szCs w:val="22"/>
              </w:rPr>
            </w:pPr>
            <w:r w:rsidRPr="001D200B">
              <w:rPr>
                <w:b/>
                <w:sz w:val="22"/>
                <w:szCs w:val="22"/>
              </w:rPr>
              <w:t>Wyszczególnienie</w:t>
            </w:r>
          </w:p>
        </w:tc>
        <w:tc>
          <w:tcPr>
            <w:tcW w:w="1623" w:type="dxa"/>
            <w:shd w:val="clear" w:color="auto" w:fill="F2F2F2" w:themeFill="background1" w:themeFillShade="F2"/>
          </w:tcPr>
          <w:p w:rsidR="004E333A" w:rsidRPr="001D200B" w:rsidRDefault="004E333A" w:rsidP="00F63D51">
            <w:pPr>
              <w:spacing w:before="0" w:after="0" w:line="240" w:lineRule="auto"/>
              <w:jc w:val="center"/>
              <w:rPr>
                <w:b/>
                <w:sz w:val="22"/>
                <w:szCs w:val="22"/>
              </w:rPr>
            </w:pPr>
            <w:r w:rsidRPr="001D200B">
              <w:rPr>
                <w:b/>
                <w:sz w:val="22"/>
                <w:szCs w:val="22"/>
              </w:rPr>
              <w:t>Jed.</w:t>
            </w:r>
          </w:p>
        </w:tc>
        <w:tc>
          <w:tcPr>
            <w:tcW w:w="1011" w:type="dxa"/>
            <w:shd w:val="clear" w:color="auto" w:fill="F2F2F2" w:themeFill="background1" w:themeFillShade="F2"/>
          </w:tcPr>
          <w:p w:rsidR="004E333A" w:rsidRPr="001D200B" w:rsidRDefault="004E333A" w:rsidP="00F63D51">
            <w:pPr>
              <w:spacing w:before="0" w:after="0" w:line="240" w:lineRule="auto"/>
              <w:jc w:val="center"/>
              <w:rPr>
                <w:b/>
                <w:sz w:val="22"/>
                <w:szCs w:val="22"/>
              </w:rPr>
            </w:pPr>
            <w:r w:rsidRPr="001D200B">
              <w:rPr>
                <w:b/>
                <w:sz w:val="22"/>
                <w:szCs w:val="22"/>
              </w:rPr>
              <w:t>2015</w:t>
            </w:r>
          </w:p>
        </w:tc>
        <w:tc>
          <w:tcPr>
            <w:tcW w:w="1012" w:type="dxa"/>
            <w:shd w:val="clear" w:color="auto" w:fill="F2F2F2" w:themeFill="background1" w:themeFillShade="F2"/>
          </w:tcPr>
          <w:p w:rsidR="004E333A" w:rsidRPr="001D200B" w:rsidRDefault="004E333A" w:rsidP="00F63D51">
            <w:pPr>
              <w:spacing w:before="0" w:after="0" w:line="240" w:lineRule="auto"/>
              <w:jc w:val="center"/>
              <w:rPr>
                <w:b/>
                <w:sz w:val="22"/>
                <w:szCs w:val="22"/>
              </w:rPr>
            </w:pPr>
            <w:r w:rsidRPr="001D200B">
              <w:rPr>
                <w:b/>
                <w:sz w:val="22"/>
                <w:szCs w:val="22"/>
              </w:rPr>
              <w:t>2016</w:t>
            </w:r>
          </w:p>
        </w:tc>
        <w:tc>
          <w:tcPr>
            <w:tcW w:w="1011" w:type="dxa"/>
            <w:shd w:val="clear" w:color="auto" w:fill="F2F2F2" w:themeFill="background1" w:themeFillShade="F2"/>
          </w:tcPr>
          <w:p w:rsidR="004E333A" w:rsidRPr="001D200B" w:rsidRDefault="004E333A" w:rsidP="00F63D51">
            <w:pPr>
              <w:spacing w:before="0" w:after="0" w:line="240" w:lineRule="auto"/>
              <w:jc w:val="center"/>
              <w:rPr>
                <w:b/>
                <w:sz w:val="22"/>
                <w:szCs w:val="22"/>
              </w:rPr>
            </w:pPr>
            <w:r w:rsidRPr="001D200B">
              <w:rPr>
                <w:b/>
                <w:sz w:val="22"/>
                <w:szCs w:val="22"/>
              </w:rPr>
              <w:t>2017</w:t>
            </w:r>
          </w:p>
        </w:tc>
        <w:tc>
          <w:tcPr>
            <w:tcW w:w="1012" w:type="dxa"/>
            <w:shd w:val="clear" w:color="auto" w:fill="F2F2F2" w:themeFill="background1" w:themeFillShade="F2"/>
          </w:tcPr>
          <w:p w:rsidR="004E333A" w:rsidRPr="001D200B" w:rsidRDefault="004E333A" w:rsidP="00F63D51">
            <w:pPr>
              <w:spacing w:before="0" w:after="0" w:line="240" w:lineRule="auto"/>
              <w:jc w:val="center"/>
              <w:rPr>
                <w:b/>
                <w:sz w:val="22"/>
                <w:szCs w:val="22"/>
              </w:rPr>
            </w:pPr>
            <w:r w:rsidRPr="001D200B">
              <w:rPr>
                <w:b/>
                <w:sz w:val="22"/>
                <w:szCs w:val="22"/>
              </w:rPr>
              <w:t>2018</w:t>
            </w:r>
          </w:p>
        </w:tc>
      </w:tr>
      <w:tr w:rsidR="004E333A" w:rsidRPr="001D200B" w:rsidTr="00F63D51">
        <w:tc>
          <w:tcPr>
            <w:tcW w:w="3617" w:type="dxa"/>
          </w:tcPr>
          <w:p w:rsidR="004E333A" w:rsidRPr="001D200B" w:rsidRDefault="004E333A" w:rsidP="00F63D51">
            <w:pPr>
              <w:spacing w:before="0" w:after="0" w:line="240" w:lineRule="auto"/>
              <w:rPr>
                <w:sz w:val="22"/>
                <w:szCs w:val="22"/>
              </w:rPr>
            </w:pPr>
            <w:r w:rsidRPr="001D200B">
              <w:rPr>
                <w:sz w:val="22"/>
                <w:szCs w:val="22"/>
              </w:rPr>
              <w:t xml:space="preserve">Liczba odbiorców domowych </w:t>
            </w:r>
          </w:p>
        </w:tc>
        <w:tc>
          <w:tcPr>
            <w:tcW w:w="1623" w:type="dxa"/>
          </w:tcPr>
          <w:p w:rsidR="004E333A" w:rsidRPr="001D200B" w:rsidRDefault="004E333A" w:rsidP="00F63D51">
            <w:pPr>
              <w:spacing w:before="0" w:after="0" w:line="240" w:lineRule="auto"/>
              <w:jc w:val="center"/>
              <w:rPr>
                <w:sz w:val="22"/>
                <w:szCs w:val="22"/>
              </w:rPr>
            </w:pPr>
            <w:r w:rsidRPr="001D200B">
              <w:rPr>
                <w:sz w:val="22"/>
                <w:szCs w:val="22"/>
              </w:rPr>
              <w:t>Szt.</w:t>
            </w:r>
          </w:p>
        </w:tc>
        <w:tc>
          <w:tcPr>
            <w:tcW w:w="1011" w:type="dxa"/>
            <w:vAlign w:val="center"/>
          </w:tcPr>
          <w:p w:rsidR="004E333A" w:rsidRPr="001D200B" w:rsidRDefault="00773A9C" w:rsidP="00F63D51">
            <w:pPr>
              <w:spacing w:before="0" w:after="0" w:line="240" w:lineRule="auto"/>
              <w:jc w:val="center"/>
              <w:rPr>
                <w:sz w:val="22"/>
                <w:szCs w:val="22"/>
              </w:rPr>
            </w:pPr>
            <w:r w:rsidRPr="001D200B">
              <w:rPr>
                <w:sz w:val="22"/>
                <w:szCs w:val="22"/>
              </w:rPr>
              <w:t>54</w:t>
            </w:r>
          </w:p>
        </w:tc>
        <w:tc>
          <w:tcPr>
            <w:tcW w:w="1012" w:type="dxa"/>
            <w:vAlign w:val="center"/>
          </w:tcPr>
          <w:p w:rsidR="004E333A" w:rsidRPr="001D200B" w:rsidRDefault="00773A9C" w:rsidP="00F63D51">
            <w:pPr>
              <w:spacing w:before="0" w:after="0" w:line="240" w:lineRule="auto"/>
              <w:jc w:val="center"/>
              <w:rPr>
                <w:sz w:val="22"/>
                <w:szCs w:val="22"/>
              </w:rPr>
            </w:pPr>
            <w:r w:rsidRPr="001D200B">
              <w:rPr>
                <w:sz w:val="22"/>
                <w:szCs w:val="22"/>
              </w:rPr>
              <w:t>65</w:t>
            </w:r>
          </w:p>
        </w:tc>
        <w:tc>
          <w:tcPr>
            <w:tcW w:w="1011" w:type="dxa"/>
            <w:vAlign w:val="center"/>
          </w:tcPr>
          <w:p w:rsidR="004E333A" w:rsidRPr="001D200B" w:rsidRDefault="00773A9C" w:rsidP="00F63D51">
            <w:pPr>
              <w:spacing w:before="0" w:after="0" w:line="240" w:lineRule="auto"/>
              <w:jc w:val="center"/>
              <w:rPr>
                <w:sz w:val="22"/>
                <w:szCs w:val="22"/>
              </w:rPr>
            </w:pPr>
            <w:r w:rsidRPr="001D200B">
              <w:rPr>
                <w:sz w:val="22"/>
                <w:szCs w:val="22"/>
              </w:rPr>
              <w:t>73</w:t>
            </w:r>
          </w:p>
        </w:tc>
        <w:tc>
          <w:tcPr>
            <w:tcW w:w="1012" w:type="dxa"/>
            <w:vAlign w:val="center"/>
          </w:tcPr>
          <w:p w:rsidR="004E333A" w:rsidRPr="001D200B" w:rsidRDefault="00773A9C" w:rsidP="00F63D51">
            <w:pPr>
              <w:spacing w:before="0" w:after="0" w:line="240" w:lineRule="auto"/>
              <w:jc w:val="center"/>
              <w:rPr>
                <w:sz w:val="22"/>
                <w:szCs w:val="22"/>
              </w:rPr>
            </w:pPr>
            <w:r w:rsidRPr="001D200B">
              <w:rPr>
                <w:sz w:val="22"/>
                <w:szCs w:val="22"/>
              </w:rPr>
              <w:t>77</w:t>
            </w:r>
          </w:p>
        </w:tc>
      </w:tr>
      <w:tr w:rsidR="004E333A" w:rsidRPr="001D200B" w:rsidTr="00F63D51">
        <w:tc>
          <w:tcPr>
            <w:tcW w:w="3617" w:type="dxa"/>
          </w:tcPr>
          <w:p w:rsidR="004E333A" w:rsidRPr="001D200B" w:rsidRDefault="004E333A" w:rsidP="00F63D51">
            <w:pPr>
              <w:spacing w:before="0" w:after="0" w:line="240" w:lineRule="auto"/>
              <w:jc w:val="right"/>
              <w:rPr>
                <w:sz w:val="22"/>
                <w:szCs w:val="22"/>
              </w:rPr>
            </w:pPr>
            <w:r w:rsidRPr="001D200B">
              <w:rPr>
                <w:sz w:val="22"/>
                <w:szCs w:val="22"/>
              </w:rPr>
              <w:t xml:space="preserve">w tym ogrzewający mieszkania </w:t>
            </w:r>
          </w:p>
        </w:tc>
        <w:tc>
          <w:tcPr>
            <w:tcW w:w="1623" w:type="dxa"/>
          </w:tcPr>
          <w:p w:rsidR="004E333A" w:rsidRPr="001D200B" w:rsidRDefault="004E333A" w:rsidP="00F63D51">
            <w:pPr>
              <w:spacing w:before="0" w:after="0" w:line="240" w:lineRule="auto"/>
              <w:jc w:val="center"/>
              <w:rPr>
                <w:sz w:val="22"/>
                <w:szCs w:val="22"/>
              </w:rPr>
            </w:pPr>
            <w:r w:rsidRPr="001D200B">
              <w:rPr>
                <w:sz w:val="22"/>
                <w:szCs w:val="22"/>
              </w:rPr>
              <w:t>Szt.</w:t>
            </w:r>
          </w:p>
        </w:tc>
        <w:tc>
          <w:tcPr>
            <w:tcW w:w="1011" w:type="dxa"/>
            <w:vAlign w:val="center"/>
          </w:tcPr>
          <w:p w:rsidR="004E333A" w:rsidRPr="001D200B" w:rsidRDefault="00773A9C" w:rsidP="00F63D51">
            <w:pPr>
              <w:spacing w:before="0" w:after="0" w:line="240" w:lineRule="auto"/>
              <w:jc w:val="center"/>
              <w:rPr>
                <w:sz w:val="22"/>
                <w:szCs w:val="22"/>
              </w:rPr>
            </w:pPr>
            <w:r w:rsidRPr="001D200B">
              <w:rPr>
                <w:sz w:val="22"/>
                <w:szCs w:val="22"/>
              </w:rPr>
              <w:t>53</w:t>
            </w:r>
          </w:p>
        </w:tc>
        <w:tc>
          <w:tcPr>
            <w:tcW w:w="1012" w:type="dxa"/>
            <w:vAlign w:val="center"/>
          </w:tcPr>
          <w:p w:rsidR="004E333A" w:rsidRPr="001D200B" w:rsidRDefault="00773A9C" w:rsidP="00F63D51">
            <w:pPr>
              <w:spacing w:before="0" w:after="0" w:line="240" w:lineRule="auto"/>
              <w:jc w:val="center"/>
              <w:rPr>
                <w:sz w:val="22"/>
                <w:szCs w:val="22"/>
              </w:rPr>
            </w:pPr>
            <w:r w:rsidRPr="001D200B">
              <w:rPr>
                <w:sz w:val="22"/>
                <w:szCs w:val="22"/>
              </w:rPr>
              <w:t>63</w:t>
            </w:r>
          </w:p>
        </w:tc>
        <w:tc>
          <w:tcPr>
            <w:tcW w:w="1011" w:type="dxa"/>
            <w:vAlign w:val="center"/>
          </w:tcPr>
          <w:p w:rsidR="004E333A" w:rsidRPr="001D200B" w:rsidRDefault="00773A9C" w:rsidP="00F63D51">
            <w:pPr>
              <w:spacing w:before="0" w:after="0" w:line="240" w:lineRule="auto"/>
              <w:jc w:val="center"/>
              <w:rPr>
                <w:sz w:val="22"/>
                <w:szCs w:val="22"/>
              </w:rPr>
            </w:pPr>
            <w:r w:rsidRPr="001D200B">
              <w:rPr>
                <w:sz w:val="22"/>
                <w:szCs w:val="22"/>
              </w:rPr>
              <w:t>70</w:t>
            </w:r>
          </w:p>
        </w:tc>
        <w:tc>
          <w:tcPr>
            <w:tcW w:w="1012" w:type="dxa"/>
            <w:vAlign w:val="center"/>
          </w:tcPr>
          <w:p w:rsidR="004E333A" w:rsidRPr="001D200B" w:rsidRDefault="00773A9C" w:rsidP="00F63D51">
            <w:pPr>
              <w:spacing w:before="0" w:after="0" w:line="240" w:lineRule="auto"/>
              <w:jc w:val="center"/>
              <w:rPr>
                <w:sz w:val="22"/>
                <w:szCs w:val="22"/>
              </w:rPr>
            </w:pPr>
            <w:r w:rsidRPr="001D200B">
              <w:rPr>
                <w:sz w:val="22"/>
                <w:szCs w:val="22"/>
              </w:rPr>
              <w:t>74</w:t>
            </w:r>
          </w:p>
        </w:tc>
      </w:tr>
      <w:tr w:rsidR="004E333A" w:rsidRPr="001D200B" w:rsidTr="00F63D51">
        <w:tc>
          <w:tcPr>
            <w:tcW w:w="3617" w:type="dxa"/>
          </w:tcPr>
          <w:p w:rsidR="004E333A" w:rsidRPr="001D200B" w:rsidRDefault="004E333A" w:rsidP="00F63D51">
            <w:pPr>
              <w:spacing w:before="0" w:after="0" w:line="240" w:lineRule="auto"/>
              <w:rPr>
                <w:sz w:val="22"/>
                <w:szCs w:val="22"/>
              </w:rPr>
            </w:pPr>
            <w:r w:rsidRPr="001D200B">
              <w:rPr>
                <w:sz w:val="22"/>
                <w:szCs w:val="22"/>
              </w:rPr>
              <w:t>Zużycie gazu przez gospodarstwa domowe ogółem</w:t>
            </w:r>
          </w:p>
        </w:tc>
        <w:tc>
          <w:tcPr>
            <w:tcW w:w="1623" w:type="dxa"/>
            <w:vAlign w:val="center"/>
          </w:tcPr>
          <w:p w:rsidR="004E333A" w:rsidRPr="001D200B" w:rsidRDefault="004E333A" w:rsidP="00F63D51">
            <w:pPr>
              <w:spacing w:before="0" w:after="0" w:line="240" w:lineRule="auto"/>
              <w:jc w:val="center"/>
              <w:rPr>
                <w:sz w:val="22"/>
                <w:szCs w:val="22"/>
              </w:rPr>
            </w:pPr>
            <w:r w:rsidRPr="001D200B">
              <w:rPr>
                <w:sz w:val="22"/>
                <w:szCs w:val="22"/>
              </w:rPr>
              <w:t>tys. m</w:t>
            </w:r>
            <w:r w:rsidRPr="001D200B">
              <w:rPr>
                <w:sz w:val="22"/>
                <w:szCs w:val="22"/>
                <w:vertAlign w:val="superscript"/>
              </w:rPr>
              <w:t>3</w:t>
            </w:r>
          </w:p>
        </w:tc>
        <w:tc>
          <w:tcPr>
            <w:tcW w:w="1011" w:type="dxa"/>
            <w:vAlign w:val="center"/>
          </w:tcPr>
          <w:p w:rsidR="004E333A" w:rsidRPr="001D200B" w:rsidRDefault="003E51E2" w:rsidP="00F63D51">
            <w:pPr>
              <w:spacing w:before="0" w:after="0" w:line="240" w:lineRule="auto"/>
              <w:jc w:val="center"/>
              <w:rPr>
                <w:sz w:val="22"/>
                <w:szCs w:val="22"/>
              </w:rPr>
            </w:pPr>
            <w:r w:rsidRPr="001D200B">
              <w:rPr>
                <w:sz w:val="22"/>
                <w:szCs w:val="22"/>
              </w:rPr>
              <w:t>54,7</w:t>
            </w:r>
          </w:p>
        </w:tc>
        <w:tc>
          <w:tcPr>
            <w:tcW w:w="1012" w:type="dxa"/>
            <w:vAlign w:val="center"/>
          </w:tcPr>
          <w:p w:rsidR="004E333A" w:rsidRPr="001D200B" w:rsidRDefault="003E51E2" w:rsidP="00F63D51">
            <w:pPr>
              <w:spacing w:before="0" w:after="0" w:line="240" w:lineRule="auto"/>
              <w:jc w:val="center"/>
              <w:rPr>
                <w:sz w:val="22"/>
                <w:szCs w:val="22"/>
              </w:rPr>
            </w:pPr>
            <w:r w:rsidRPr="001D200B">
              <w:rPr>
                <w:sz w:val="22"/>
                <w:szCs w:val="22"/>
              </w:rPr>
              <w:t>72,5</w:t>
            </w:r>
          </w:p>
        </w:tc>
        <w:tc>
          <w:tcPr>
            <w:tcW w:w="1011" w:type="dxa"/>
            <w:vAlign w:val="center"/>
          </w:tcPr>
          <w:p w:rsidR="004E333A" w:rsidRPr="001D200B" w:rsidRDefault="003E51E2" w:rsidP="00F63D51">
            <w:pPr>
              <w:spacing w:before="0" w:after="0" w:line="240" w:lineRule="auto"/>
              <w:jc w:val="center"/>
              <w:rPr>
                <w:sz w:val="22"/>
                <w:szCs w:val="22"/>
              </w:rPr>
            </w:pPr>
            <w:r w:rsidRPr="001D200B">
              <w:rPr>
                <w:sz w:val="22"/>
                <w:szCs w:val="22"/>
              </w:rPr>
              <w:t>97,6</w:t>
            </w:r>
          </w:p>
        </w:tc>
        <w:tc>
          <w:tcPr>
            <w:tcW w:w="1012" w:type="dxa"/>
            <w:vAlign w:val="center"/>
          </w:tcPr>
          <w:p w:rsidR="004E333A" w:rsidRPr="001D200B" w:rsidRDefault="003E51E2" w:rsidP="00F63D51">
            <w:pPr>
              <w:spacing w:before="0" w:after="0" w:line="240" w:lineRule="auto"/>
              <w:jc w:val="center"/>
              <w:rPr>
                <w:sz w:val="22"/>
                <w:szCs w:val="22"/>
              </w:rPr>
            </w:pPr>
            <w:r w:rsidRPr="001D200B">
              <w:rPr>
                <w:sz w:val="22"/>
                <w:szCs w:val="22"/>
              </w:rPr>
              <w:t>103,3</w:t>
            </w:r>
          </w:p>
        </w:tc>
      </w:tr>
      <w:tr w:rsidR="004E333A" w:rsidRPr="001D200B" w:rsidTr="00F63D51">
        <w:tc>
          <w:tcPr>
            <w:tcW w:w="3617" w:type="dxa"/>
          </w:tcPr>
          <w:p w:rsidR="004E333A" w:rsidRPr="001D200B" w:rsidRDefault="004E333A" w:rsidP="00F63D51">
            <w:pPr>
              <w:spacing w:before="0" w:after="0" w:line="240" w:lineRule="auto"/>
              <w:jc w:val="right"/>
              <w:rPr>
                <w:sz w:val="22"/>
                <w:szCs w:val="22"/>
              </w:rPr>
            </w:pPr>
            <w:r w:rsidRPr="001D200B">
              <w:rPr>
                <w:sz w:val="22"/>
                <w:szCs w:val="22"/>
              </w:rPr>
              <w:t xml:space="preserve">w tym na cele grzewcze mieszkań </w:t>
            </w:r>
          </w:p>
        </w:tc>
        <w:tc>
          <w:tcPr>
            <w:tcW w:w="1623" w:type="dxa"/>
            <w:vAlign w:val="center"/>
          </w:tcPr>
          <w:p w:rsidR="004E333A" w:rsidRPr="001D200B" w:rsidRDefault="004E333A" w:rsidP="00F63D51">
            <w:pPr>
              <w:spacing w:before="0" w:after="0" w:line="240" w:lineRule="auto"/>
              <w:jc w:val="center"/>
              <w:rPr>
                <w:sz w:val="22"/>
                <w:szCs w:val="22"/>
              </w:rPr>
            </w:pPr>
            <w:r w:rsidRPr="001D200B">
              <w:rPr>
                <w:sz w:val="22"/>
                <w:szCs w:val="22"/>
              </w:rPr>
              <w:t>tys. m</w:t>
            </w:r>
            <w:r w:rsidRPr="001D200B">
              <w:rPr>
                <w:sz w:val="22"/>
                <w:szCs w:val="22"/>
                <w:vertAlign w:val="superscript"/>
              </w:rPr>
              <w:t>3</w:t>
            </w:r>
          </w:p>
        </w:tc>
        <w:tc>
          <w:tcPr>
            <w:tcW w:w="1011" w:type="dxa"/>
            <w:vAlign w:val="center"/>
          </w:tcPr>
          <w:p w:rsidR="004E333A" w:rsidRPr="001D200B" w:rsidRDefault="003E51E2" w:rsidP="00F63D51">
            <w:pPr>
              <w:spacing w:before="0" w:after="0" w:line="240" w:lineRule="auto"/>
              <w:jc w:val="center"/>
              <w:rPr>
                <w:sz w:val="22"/>
                <w:szCs w:val="22"/>
              </w:rPr>
            </w:pPr>
            <w:r w:rsidRPr="001D200B">
              <w:rPr>
                <w:sz w:val="22"/>
                <w:szCs w:val="22"/>
              </w:rPr>
              <w:t>54,3</w:t>
            </w:r>
          </w:p>
        </w:tc>
        <w:tc>
          <w:tcPr>
            <w:tcW w:w="1012" w:type="dxa"/>
            <w:vAlign w:val="center"/>
          </w:tcPr>
          <w:p w:rsidR="004E333A" w:rsidRPr="001D200B" w:rsidRDefault="003E51E2" w:rsidP="00F63D51">
            <w:pPr>
              <w:spacing w:before="0" w:after="0" w:line="240" w:lineRule="auto"/>
              <w:jc w:val="center"/>
              <w:rPr>
                <w:sz w:val="22"/>
                <w:szCs w:val="22"/>
              </w:rPr>
            </w:pPr>
            <w:r w:rsidRPr="001D200B">
              <w:rPr>
                <w:sz w:val="22"/>
                <w:szCs w:val="22"/>
              </w:rPr>
              <w:t>71,8</w:t>
            </w:r>
          </w:p>
        </w:tc>
        <w:tc>
          <w:tcPr>
            <w:tcW w:w="1011" w:type="dxa"/>
            <w:vAlign w:val="center"/>
          </w:tcPr>
          <w:p w:rsidR="004E333A" w:rsidRPr="001D200B" w:rsidRDefault="003E51E2" w:rsidP="00F63D51">
            <w:pPr>
              <w:spacing w:before="0" w:after="0" w:line="240" w:lineRule="auto"/>
              <w:jc w:val="center"/>
              <w:rPr>
                <w:sz w:val="22"/>
                <w:szCs w:val="22"/>
              </w:rPr>
            </w:pPr>
            <w:r w:rsidRPr="001D200B">
              <w:rPr>
                <w:sz w:val="22"/>
                <w:szCs w:val="22"/>
              </w:rPr>
              <w:t>96,0</w:t>
            </w:r>
          </w:p>
        </w:tc>
        <w:tc>
          <w:tcPr>
            <w:tcW w:w="1012" w:type="dxa"/>
            <w:vAlign w:val="center"/>
          </w:tcPr>
          <w:p w:rsidR="004E333A" w:rsidRPr="001D200B" w:rsidRDefault="003E51E2" w:rsidP="00F63D51">
            <w:pPr>
              <w:spacing w:before="0" w:after="0" w:line="240" w:lineRule="auto"/>
              <w:jc w:val="center"/>
              <w:rPr>
                <w:sz w:val="22"/>
                <w:szCs w:val="22"/>
              </w:rPr>
            </w:pPr>
            <w:r w:rsidRPr="001D200B">
              <w:rPr>
                <w:sz w:val="22"/>
                <w:szCs w:val="22"/>
              </w:rPr>
              <w:t>100,7</w:t>
            </w:r>
          </w:p>
        </w:tc>
      </w:tr>
      <w:tr w:rsidR="004E333A" w:rsidRPr="001D200B" w:rsidTr="00F63D51">
        <w:tc>
          <w:tcPr>
            <w:tcW w:w="3617" w:type="dxa"/>
          </w:tcPr>
          <w:p w:rsidR="004E333A" w:rsidRPr="001D200B" w:rsidRDefault="004E333A" w:rsidP="00F63D51">
            <w:pPr>
              <w:spacing w:before="0" w:after="0" w:line="240" w:lineRule="auto"/>
              <w:rPr>
                <w:sz w:val="22"/>
                <w:szCs w:val="22"/>
              </w:rPr>
            </w:pPr>
            <w:r w:rsidRPr="001D200B">
              <w:rPr>
                <w:sz w:val="22"/>
                <w:szCs w:val="22"/>
              </w:rPr>
              <w:t>Zużycie gazu przez gospodarstwa domowe ogółem</w:t>
            </w:r>
          </w:p>
        </w:tc>
        <w:tc>
          <w:tcPr>
            <w:tcW w:w="1623" w:type="dxa"/>
            <w:vAlign w:val="center"/>
          </w:tcPr>
          <w:p w:rsidR="004E333A" w:rsidRPr="001D200B" w:rsidRDefault="004E333A" w:rsidP="00F63D51">
            <w:pPr>
              <w:spacing w:before="0" w:after="0" w:line="240" w:lineRule="auto"/>
              <w:jc w:val="center"/>
              <w:rPr>
                <w:sz w:val="22"/>
                <w:szCs w:val="22"/>
              </w:rPr>
            </w:pPr>
            <w:r w:rsidRPr="001D200B">
              <w:rPr>
                <w:sz w:val="22"/>
                <w:szCs w:val="22"/>
              </w:rPr>
              <w:t>MWh</w:t>
            </w:r>
          </w:p>
        </w:tc>
        <w:tc>
          <w:tcPr>
            <w:tcW w:w="1011" w:type="dxa"/>
            <w:vAlign w:val="center"/>
          </w:tcPr>
          <w:p w:rsidR="004E333A" w:rsidRPr="001D200B" w:rsidRDefault="003E51E2" w:rsidP="00F63D51">
            <w:pPr>
              <w:spacing w:before="0" w:after="0" w:line="240" w:lineRule="auto"/>
              <w:jc w:val="center"/>
              <w:rPr>
                <w:sz w:val="22"/>
                <w:szCs w:val="22"/>
              </w:rPr>
            </w:pPr>
            <w:r w:rsidRPr="001D200B">
              <w:rPr>
                <w:sz w:val="22"/>
                <w:szCs w:val="22"/>
              </w:rPr>
              <w:t>610,7</w:t>
            </w:r>
          </w:p>
        </w:tc>
        <w:tc>
          <w:tcPr>
            <w:tcW w:w="1012" w:type="dxa"/>
            <w:vAlign w:val="center"/>
          </w:tcPr>
          <w:p w:rsidR="004E333A" w:rsidRPr="001D200B" w:rsidRDefault="003E51E2" w:rsidP="00F63D51">
            <w:pPr>
              <w:spacing w:before="0" w:after="0" w:line="240" w:lineRule="auto"/>
              <w:jc w:val="center"/>
              <w:rPr>
                <w:sz w:val="22"/>
                <w:szCs w:val="22"/>
              </w:rPr>
            </w:pPr>
            <w:r w:rsidRPr="001D200B">
              <w:rPr>
                <w:sz w:val="22"/>
                <w:szCs w:val="22"/>
              </w:rPr>
              <w:t>816,4</w:t>
            </w:r>
          </w:p>
        </w:tc>
        <w:tc>
          <w:tcPr>
            <w:tcW w:w="1011" w:type="dxa"/>
            <w:vAlign w:val="center"/>
          </w:tcPr>
          <w:p w:rsidR="004E333A" w:rsidRPr="001D200B" w:rsidRDefault="003E51E2" w:rsidP="00F63D51">
            <w:pPr>
              <w:spacing w:before="0" w:after="0" w:line="240" w:lineRule="auto"/>
              <w:jc w:val="center"/>
              <w:rPr>
                <w:sz w:val="22"/>
                <w:szCs w:val="22"/>
              </w:rPr>
            </w:pPr>
            <w:r w:rsidRPr="001D200B">
              <w:rPr>
                <w:sz w:val="22"/>
                <w:szCs w:val="22"/>
              </w:rPr>
              <w:t>1092,9</w:t>
            </w:r>
          </w:p>
        </w:tc>
        <w:tc>
          <w:tcPr>
            <w:tcW w:w="1012" w:type="dxa"/>
            <w:vAlign w:val="center"/>
          </w:tcPr>
          <w:p w:rsidR="004E333A" w:rsidRPr="001D200B" w:rsidRDefault="003E51E2" w:rsidP="00F63D51">
            <w:pPr>
              <w:spacing w:before="0" w:after="0" w:line="240" w:lineRule="auto"/>
              <w:jc w:val="center"/>
              <w:rPr>
                <w:sz w:val="22"/>
                <w:szCs w:val="22"/>
              </w:rPr>
            </w:pPr>
            <w:r w:rsidRPr="001D200B">
              <w:rPr>
                <w:sz w:val="22"/>
                <w:szCs w:val="22"/>
              </w:rPr>
              <w:t>1160,3</w:t>
            </w:r>
          </w:p>
        </w:tc>
      </w:tr>
      <w:tr w:rsidR="004E333A" w:rsidRPr="001D200B" w:rsidTr="00F63D51">
        <w:tc>
          <w:tcPr>
            <w:tcW w:w="3617" w:type="dxa"/>
          </w:tcPr>
          <w:p w:rsidR="004E333A" w:rsidRPr="001D200B" w:rsidRDefault="004E333A" w:rsidP="00F63D51">
            <w:pPr>
              <w:spacing w:before="0" w:after="0" w:line="240" w:lineRule="auto"/>
              <w:jc w:val="right"/>
              <w:rPr>
                <w:sz w:val="22"/>
                <w:szCs w:val="22"/>
              </w:rPr>
            </w:pPr>
            <w:r w:rsidRPr="001D200B">
              <w:rPr>
                <w:sz w:val="22"/>
                <w:szCs w:val="22"/>
              </w:rPr>
              <w:t>w tym na cele grzewcze mieszkań</w:t>
            </w:r>
          </w:p>
        </w:tc>
        <w:tc>
          <w:tcPr>
            <w:tcW w:w="1623" w:type="dxa"/>
          </w:tcPr>
          <w:p w:rsidR="004E333A" w:rsidRPr="001D200B" w:rsidRDefault="004E333A" w:rsidP="00F63D51">
            <w:pPr>
              <w:spacing w:before="0" w:after="0" w:line="240" w:lineRule="auto"/>
              <w:jc w:val="center"/>
              <w:rPr>
                <w:sz w:val="22"/>
                <w:szCs w:val="22"/>
              </w:rPr>
            </w:pPr>
            <w:r w:rsidRPr="001D200B">
              <w:rPr>
                <w:sz w:val="22"/>
                <w:szCs w:val="22"/>
              </w:rPr>
              <w:t>MWh</w:t>
            </w:r>
          </w:p>
        </w:tc>
        <w:tc>
          <w:tcPr>
            <w:tcW w:w="1011" w:type="dxa"/>
            <w:vAlign w:val="center"/>
          </w:tcPr>
          <w:p w:rsidR="004E333A" w:rsidRPr="001D200B" w:rsidRDefault="003E51E2" w:rsidP="00F63D51">
            <w:pPr>
              <w:spacing w:before="0" w:after="0" w:line="240" w:lineRule="auto"/>
              <w:jc w:val="center"/>
              <w:rPr>
                <w:sz w:val="22"/>
                <w:szCs w:val="22"/>
              </w:rPr>
            </w:pPr>
            <w:r w:rsidRPr="001D200B">
              <w:rPr>
                <w:sz w:val="22"/>
                <w:szCs w:val="22"/>
              </w:rPr>
              <w:t>605,6</w:t>
            </w:r>
          </w:p>
        </w:tc>
        <w:tc>
          <w:tcPr>
            <w:tcW w:w="1012" w:type="dxa"/>
            <w:vAlign w:val="center"/>
          </w:tcPr>
          <w:p w:rsidR="004E333A" w:rsidRPr="001D200B" w:rsidRDefault="003E51E2" w:rsidP="00F63D51">
            <w:pPr>
              <w:spacing w:before="0" w:after="0" w:line="240" w:lineRule="auto"/>
              <w:jc w:val="center"/>
              <w:rPr>
                <w:sz w:val="22"/>
                <w:szCs w:val="22"/>
              </w:rPr>
            </w:pPr>
            <w:r w:rsidRPr="001D200B">
              <w:rPr>
                <w:sz w:val="22"/>
                <w:szCs w:val="22"/>
              </w:rPr>
              <w:t>808,8</w:t>
            </w:r>
          </w:p>
        </w:tc>
        <w:tc>
          <w:tcPr>
            <w:tcW w:w="1011" w:type="dxa"/>
            <w:vAlign w:val="center"/>
          </w:tcPr>
          <w:p w:rsidR="004E333A" w:rsidRPr="001D200B" w:rsidRDefault="003E51E2" w:rsidP="00F63D51">
            <w:pPr>
              <w:spacing w:before="0" w:after="0" w:line="240" w:lineRule="auto"/>
              <w:jc w:val="center"/>
              <w:rPr>
                <w:sz w:val="22"/>
                <w:szCs w:val="22"/>
              </w:rPr>
            </w:pPr>
            <w:r w:rsidRPr="001D200B">
              <w:rPr>
                <w:sz w:val="22"/>
                <w:szCs w:val="22"/>
              </w:rPr>
              <w:t>1075,6</w:t>
            </w:r>
          </w:p>
        </w:tc>
        <w:tc>
          <w:tcPr>
            <w:tcW w:w="1012" w:type="dxa"/>
            <w:vAlign w:val="center"/>
          </w:tcPr>
          <w:p w:rsidR="004E333A" w:rsidRPr="001D200B" w:rsidRDefault="003E51E2" w:rsidP="00F63D51">
            <w:pPr>
              <w:spacing w:before="0" w:after="0" w:line="240" w:lineRule="auto"/>
              <w:jc w:val="center"/>
              <w:rPr>
                <w:sz w:val="22"/>
                <w:szCs w:val="22"/>
              </w:rPr>
            </w:pPr>
            <w:r w:rsidRPr="001D200B">
              <w:rPr>
                <w:sz w:val="22"/>
                <w:szCs w:val="22"/>
              </w:rPr>
              <w:t>1134,1</w:t>
            </w:r>
          </w:p>
        </w:tc>
      </w:tr>
      <w:tr w:rsidR="004E333A" w:rsidRPr="001D200B" w:rsidTr="00F63D51">
        <w:tc>
          <w:tcPr>
            <w:tcW w:w="3617" w:type="dxa"/>
            <w:vMerge w:val="restart"/>
            <w:vAlign w:val="center"/>
          </w:tcPr>
          <w:p w:rsidR="004E333A" w:rsidRPr="001D200B" w:rsidRDefault="004E333A" w:rsidP="00F63D51">
            <w:pPr>
              <w:jc w:val="right"/>
              <w:rPr>
                <w:rFonts w:cs="Calibri"/>
                <w:sz w:val="22"/>
                <w:szCs w:val="22"/>
              </w:rPr>
            </w:pPr>
            <w:r w:rsidRPr="001D200B">
              <w:rPr>
                <w:rFonts w:cs="Calibri"/>
                <w:sz w:val="22"/>
                <w:szCs w:val="22"/>
              </w:rPr>
              <w:t>Średnie zużycie na cele grzewcze przez 1 odbiorcę</w:t>
            </w:r>
          </w:p>
        </w:tc>
        <w:tc>
          <w:tcPr>
            <w:tcW w:w="1623" w:type="dxa"/>
          </w:tcPr>
          <w:p w:rsidR="004E333A" w:rsidRPr="001D200B" w:rsidRDefault="004E333A" w:rsidP="00F63D51">
            <w:pPr>
              <w:jc w:val="center"/>
              <w:rPr>
                <w:rFonts w:cs="Calibri"/>
                <w:sz w:val="22"/>
                <w:szCs w:val="22"/>
              </w:rPr>
            </w:pPr>
            <w:r w:rsidRPr="001D200B">
              <w:rPr>
                <w:rFonts w:cs="Calibri"/>
                <w:sz w:val="22"/>
                <w:szCs w:val="22"/>
              </w:rPr>
              <w:t>m</w:t>
            </w:r>
            <w:r w:rsidRPr="001D200B">
              <w:rPr>
                <w:rFonts w:cs="Calibri"/>
                <w:sz w:val="22"/>
                <w:szCs w:val="22"/>
                <w:vertAlign w:val="superscript"/>
              </w:rPr>
              <w:t>3</w:t>
            </w:r>
            <w:r w:rsidRPr="001D200B">
              <w:rPr>
                <w:rFonts w:cs="Calibri"/>
                <w:sz w:val="22"/>
                <w:szCs w:val="22"/>
              </w:rPr>
              <w:t>/odbiorcę</w:t>
            </w:r>
          </w:p>
        </w:tc>
        <w:tc>
          <w:tcPr>
            <w:tcW w:w="1011" w:type="dxa"/>
            <w:vAlign w:val="bottom"/>
          </w:tcPr>
          <w:p w:rsidR="004E333A" w:rsidRPr="001D200B" w:rsidRDefault="003E51E2" w:rsidP="00F63D51">
            <w:pPr>
              <w:jc w:val="center"/>
              <w:rPr>
                <w:rFonts w:cstheme="minorHAnsi"/>
                <w:sz w:val="22"/>
                <w:szCs w:val="22"/>
              </w:rPr>
            </w:pPr>
            <w:r w:rsidRPr="001D200B">
              <w:rPr>
                <w:rFonts w:cstheme="minorHAnsi"/>
                <w:sz w:val="22"/>
                <w:szCs w:val="22"/>
              </w:rPr>
              <w:t>1025</w:t>
            </w:r>
          </w:p>
        </w:tc>
        <w:tc>
          <w:tcPr>
            <w:tcW w:w="1012" w:type="dxa"/>
            <w:vAlign w:val="bottom"/>
          </w:tcPr>
          <w:p w:rsidR="004E333A" w:rsidRPr="001D200B" w:rsidRDefault="003E51E2" w:rsidP="00F63D51">
            <w:pPr>
              <w:jc w:val="center"/>
              <w:rPr>
                <w:rFonts w:cstheme="minorHAnsi"/>
                <w:sz w:val="22"/>
                <w:szCs w:val="22"/>
              </w:rPr>
            </w:pPr>
            <w:r w:rsidRPr="001D200B">
              <w:rPr>
                <w:rFonts w:cstheme="minorHAnsi"/>
                <w:sz w:val="22"/>
                <w:szCs w:val="22"/>
              </w:rPr>
              <w:t>1140</w:t>
            </w:r>
          </w:p>
        </w:tc>
        <w:tc>
          <w:tcPr>
            <w:tcW w:w="1011" w:type="dxa"/>
            <w:vAlign w:val="bottom"/>
          </w:tcPr>
          <w:p w:rsidR="004E333A" w:rsidRPr="001D200B" w:rsidRDefault="003E51E2" w:rsidP="00F63D51">
            <w:pPr>
              <w:jc w:val="center"/>
              <w:rPr>
                <w:rFonts w:cstheme="minorHAnsi"/>
                <w:sz w:val="22"/>
                <w:szCs w:val="22"/>
              </w:rPr>
            </w:pPr>
            <w:r w:rsidRPr="001D200B">
              <w:rPr>
                <w:rFonts w:cstheme="minorHAnsi"/>
                <w:sz w:val="22"/>
                <w:szCs w:val="22"/>
              </w:rPr>
              <w:t>1371</w:t>
            </w:r>
          </w:p>
        </w:tc>
        <w:tc>
          <w:tcPr>
            <w:tcW w:w="1012" w:type="dxa"/>
            <w:vAlign w:val="bottom"/>
          </w:tcPr>
          <w:p w:rsidR="004E333A" w:rsidRPr="001D200B" w:rsidRDefault="003E51E2" w:rsidP="00F63D51">
            <w:pPr>
              <w:jc w:val="center"/>
              <w:rPr>
                <w:rFonts w:cstheme="minorHAnsi"/>
                <w:sz w:val="22"/>
                <w:szCs w:val="22"/>
              </w:rPr>
            </w:pPr>
            <w:r w:rsidRPr="001D200B">
              <w:rPr>
                <w:rFonts w:cstheme="minorHAnsi"/>
                <w:sz w:val="22"/>
                <w:szCs w:val="22"/>
              </w:rPr>
              <w:t>1361</w:t>
            </w:r>
          </w:p>
        </w:tc>
      </w:tr>
      <w:tr w:rsidR="004E333A" w:rsidRPr="001D200B" w:rsidTr="00F63D51">
        <w:tc>
          <w:tcPr>
            <w:tcW w:w="3617" w:type="dxa"/>
            <w:vMerge/>
          </w:tcPr>
          <w:p w:rsidR="004E333A" w:rsidRPr="001D200B" w:rsidRDefault="004E333A" w:rsidP="00F63D51">
            <w:pPr>
              <w:jc w:val="right"/>
              <w:rPr>
                <w:rFonts w:cs="Calibri"/>
                <w:sz w:val="22"/>
                <w:szCs w:val="22"/>
              </w:rPr>
            </w:pPr>
          </w:p>
        </w:tc>
        <w:tc>
          <w:tcPr>
            <w:tcW w:w="1623" w:type="dxa"/>
            <w:vAlign w:val="bottom"/>
          </w:tcPr>
          <w:p w:rsidR="004E333A" w:rsidRPr="001D200B" w:rsidRDefault="004E333A" w:rsidP="00F63D51">
            <w:pPr>
              <w:jc w:val="center"/>
              <w:rPr>
                <w:rFonts w:cs="Calibri"/>
                <w:sz w:val="22"/>
                <w:szCs w:val="22"/>
              </w:rPr>
            </w:pPr>
            <w:r w:rsidRPr="001D200B">
              <w:rPr>
                <w:rFonts w:cs="Calibri"/>
                <w:sz w:val="22"/>
                <w:szCs w:val="22"/>
              </w:rPr>
              <w:t>kWh/odbiorcę</w:t>
            </w:r>
          </w:p>
        </w:tc>
        <w:tc>
          <w:tcPr>
            <w:tcW w:w="1011" w:type="dxa"/>
            <w:vAlign w:val="bottom"/>
          </w:tcPr>
          <w:p w:rsidR="004E333A" w:rsidRPr="001D200B" w:rsidRDefault="003E51E2" w:rsidP="00F63D51">
            <w:pPr>
              <w:jc w:val="center"/>
              <w:rPr>
                <w:rFonts w:cstheme="minorHAnsi"/>
                <w:sz w:val="22"/>
                <w:szCs w:val="22"/>
              </w:rPr>
            </w:pPr>
            <w:r w:rsidRPr="001D200B">
              <w:rPr>
                <w:rFonts w:cstheme="minorHAnsi"/>
                <w:sz w:val="22"/>
                <w:szCs w:val="22"/>
              </w:rPr>
              <w:t>11428</w:t>
            </w:r>
          </w:p>
        </w:tc>
        <w:tc>
          <w:tcPr>
            <w:tcW w:w="1012" w:type="dxa"/>
            <w:vAlign w:val="bottom"/>
          </w:tcPr>
          <w:p w:rsidR="004E333A" w:rsidRPr="001D200B" w:rsidRDefault="003E51E2" w:rsidP="00F63D51">
            <w:pPr>
              <w:jc w:val="center"/>
              <w:rPr>
                <w:rFonts w:cstheme="minorHAnsi"/>
                <w:sz w:val="22"/>
                <w:szCs w:val="22"/>
              </w:rPr>
            </w:pPr>
            <w:r w:rsidRPr="001D200B">
              <w:rPr>
                <w:rFonts w:cstheme="minorHAnsi"/>
                <w:sz w:val="22"/>
                <w:szCs w:val="22"/>
              </w:rPr>
              <w:t>12838</w:t>
            </w:r>
          </w:p>
        </w:tc>
        <w:tc>
          <w:tcPr>
            <w:tcW w:w="1011" w:type="dxa"/>
            <w:vAlign w:val="bottom"/>
          </w:tcPr>
          <w:p w:rsidR="004E333A" w:rsidRPr="001D200B" w:rsidRDefault="003E51E2" w:rsidP="00E6255E">
            <w:pPr>
              <w:jc w:val="center"/>
              <w:rPr>
                <w:rFonts w:cstheme="minorHAnsi"/>
                <w:sz w:val="22"/>
                <w:szCs w:val="22"/>
              </w:rPr>
            </w:pPr>
            <w:r w:rsidRPr="001D200B">
              <w:rPr>
                <w:rFonts w:cstheme="minorHAnsi"/>
                <w:sz w:val="22"/>
                <w:szCs w:val="22"/>
              </w:rPr>
              <w:t>15366</w:t>
            </w:r>
          </w:p>
        </w:tc>
        <w:tc>
          <w:tcPr>
            <w:tcW w:w="1012" w:type="dxa"/>
            <w:vAlign w:val="bottom"/>
          </w:tcPr>
          <w:p w:rsidR="004E333A" w:rsidRPr="001D200B" w:rsidRDefault="00E6255E" w:rsidP="00E6255E">
            <w:pPr>
              <w:jc w:val="center"/>
              <w:rPr>
                <w:rFonts w:cstheme="minorHAnsi"/>
                <w:sz w:val="22"/>
                <w:szCs w:val="22"/>
              </w:rPr>
            </w:pPr>
            <w:r w:rsidRPr="001D200B">
              <w:rPr>
                <w:rFonts w:cstheme="minorHAnsi"/>
                <w:sz w:val="22"/>
                <w:szCs w:val="22"/>
              </w:rPr>
              <w:t>15326</w:t>
            </w:r>
          </w:p>
        </w:tc>
      </w:tr>
    </w:tbl>
    <w:p w:rsidR="00E6255E" w:rsidRPr="001D200B" w:rsidRDefault="00E6255E" w:rsidP="00E6255E">
      <w:pPr>
        <w:pStyle w:val="podtabelk"/>
      </w:pPr>
      <w:r w:rsidRPr="001D200B">
        <w:t>* obliczenia własne na podstawie informacji PGNiG Obrót Detaliczny sp. z o.o. oraz GUS</w:t>
      </w:r>
    </w:p>
    <w:p w:rsidR="00E6255E" w:rsidRPr="001D200B" w:rsidRDefault="007F0DA3" w:rsidP="00E6255E">
      <w:r w:rsidRPr="001D200B">
        <w:lastRenderedPageBreak/>
        <w:t>Na terenie gminy Połaniec,</w:t>
      </w:r>
      <w:r w:rsidR="00B06B8D" w:rsidRPr="001D200B">
        <w:t xml:space="preserve"> </w:t>
      </w:r>
      <w:r w:rsidRPr="001D200B">
        <w:t xml:space="preserve">w celach socjalno-bytowych, wykorzystywany jest gaz propan – butan. </w:t>
      </w:r>
      <w:r w:rsidR="00B06B8D" w:rsidRPr="001D200B">
        <w:t>Powszechno</w:t>
      </w:r>
      <w:r w:rsidR="00B06B8D" w:rsidRPr="001D200B">
        <w:rPr>
          <w:rFonts w:eastAsia="TTE2E1A008t00"/>
        </w:rPr>
        <w:t xml:space="preserve">ść </w:t>
      </w:r>
      <w:r w:rsidR="00B06B8D" w:rsidRPr="001D200B">
        <w:t xml:space="preserve">tego </w:t>
      </w:r>
      <w:r w:rsidR="00B06B8D" w:rsidRPr="001D200B">
        <w:rPr>
          <w:rFonts w:eastAsia="TTE2E1A008t00"/>
        </w:rPr>
        <w:t>ź</w:t>
      </w:r>
      <w:r w:rsidR="00B06B8D" w:rsidRPr="001D200B">
        <w:t>ródła energii wynika z dobrze rozwini</w:t>
      </w:r>
      <w:r w:rsidR="00B06B8D" w:rsidRPr="001D200B">
        <w:rPr>
          <w:rFonts w:eastAsia="TTE2E1A008t00"/>
        </w:rPr>
        <w:t>ę</w:t>
      </w:r>
      <w:r w:rsidRPr="001D200B">
        <w:t xml:space="preserve">tej sieci punktów </w:t>
      </w:r>
      <w:r w:rsidR="00B06B8D" w:rsidRPr="001D200B">
        <w:t>dystrybucji</w:t>
      </w:r>
      <w:r w:rsidRPr="001D200B">
        <w:t xml:space="preserve"> </w:t>
      </w:r>
      <w:r w:rsidR="00B06B8D" w:rsidRPr="001D200B">
        <w:t>tego paliwa</w:t>
      </w:r>
      <w:r w:rsidRPr="001D200B">
        <w:t xml:space="preserve">. </w:t>
      </w:r>
    </w:p>
    <w:p w:rsidR="003D2340" w:rsidRPr="001D200B" w:rsidRDefault="003D2340" w:rsidP="003D2340">
      <w:pPr>
        <w:pStyle w:val="Nagwek2"/>
        <w:rPr>
          <w:rFonts w:cstheme="minorHAnsi"/>
        </w:rPr>
      </w:pPr>
      <w:bookmarkStart w:id="76" w:name="_Toc31972836"/>
      <w:r w:rsidRPr="001D200B">
        <w:rPr>
          <w:rFonts w:cstheme="minorHAnsi"/>
        </w:rPr>
        <w:t>2. Ocena stanu obecnego. Cele podstawowe.</w:t>
      </w:r>
      <w:bookmarkEnd w:id="76"/>
    </w:p>
    <w:p w:rsidR="00E8470A" w:rsidRPr="001D200B" w:rsidRDefault="005311D2" w:rsidP="005311D2">
      <w:pPr>
        <w:pStyle w:val="Tytu"/>
        <w:rPr>
          <w:rFonts w:cstheme="minorHAnsi"/>
          <w:b/>
        </w:rPr>
      </w:pPr>
      <w:bookmarkStart w:id="77" w:name="_Toc39476582"/>
      <w:r w:rsidRPr="001D200B">
        <w:rPr>
          <w:rFonts w:cstheme="minorHAnsi"/>
          <w:b/>
        </w:rPr>
        <w:t xml:space="preserve">Tabela </w:t>
      </w:r>
      <w:r w:rsidR="005B7234" w:rsidRPr="001D200B">
        <w:rPr>
          <w:rFonts w:cstheme="minorHAnsi"/>
          <w:b/>
        </w:rPr>
        <w:fldChar w:fldCharType="begin"/>
      </w:r>
      <w:r w:rsidR="00F200FE" w:rsidRPr="001D200B">
        <w:rPr>
          <w:rFonts w:cstheme="minorHAnsi"/>
          <w:b/>
        </w:rPr>
        <w:instrText xml:space="preserve"> SEQ Tabela \* ARABIC </w:instrText>
      </w:r>
      <w:r w:rsidR="005B7234" w:rsidRPr="001D200B">
        <w:rPr>
          <w:rFonts w:cstheme="minorHAnsi"/>
          <w:b/>
        </w:rPr>
        <w:fldChar w:fldCharType="separate"/>
      </w:r>
      <w:r w:rsidR="00D2721B" w:rsidRPr="001D200B">
        <w:rPr>
          <w:rFonts w:cstheme="minorHAnsi"/>
          <w:b/>
          <w:noProof/>
        </w:rPr>
        <w:t>30</w:t>
      </w:r>
      <w:r w:rsidR="005B7234" w:rsidRPr="001D200B">
        <w:rPr>
          <w:rFonts w:cstheme="minorHAnsi"/>
          <w:b/>
        </w:rPr>
        <w:fldChar w:fldCharType="end"/>
      </w:r>
      <w:r w:rsidRPr="001D200B">
        <w:rPr>
          <w:rFonts w:cstheme="minorHAnsi"/>
          <w:b/>
        </w:rPr>
        <w:t xml:space="preserve">. </w:t>
      </w:r>
      <w:r w:rsidR="003D2340" w:rsidRPr="001D200B">
        <w:rPr>
          <w:rFonts w:cstheme="minorHAnsi"/>
          <w:b/>
        </w:rPr>
        <w:t xml:space="preserve">Ocena stanu obecnego systemu gazowniczego na terenie </w:t>
      </w:r>
      <w:r w:rsidR="00A102F7" w:rsidRPr="001D200B">
        <w:rPr>
          <w:rFonts w:cstheme="minorHAnsi"/>
          <w:b/>
        </w:rPr>
        <w:t>gminy Połaniec</w:t>
      </w:r>
      <w:bookmarkEnd w:id="77"/>
      <w:r w:rsidR="003D2340" w:rsidRPr="001D200B">
        <w:rPr>
          <w:rFonts w:cstheme="minorHAnsi"/>
          <w:b/>
        </w:rPr>
        <w:t xml:space="preserve"> </w:t>
      </w:r>
    </w:p>
    <w:tbl>
      <w:tblPr>
        <w:tblW w:w="0" w:type="auto"/>
        <w:tblBorders>
          <w:top w:val="single" w:sz="4" w:space="0" w:color="000000"/>
          <w:bottom w:val="single" w:sz="4" w:space="0" w:color="000000"/>
          <w:insideH w:val="single" w:sz="4" w:space="0" w:color="000000"/>
          <w:insideV w:val="single" w:sz="4" w:space="0" w:color="000000"/>
        </w:tblBorders>
        <w:tblLook w:val="04A0"/>
      </w:tblPr>
      <w:tblGrid>
        <w:gridCol w:w="9210"/>
      </w:tblGrid>
      <w:tr w:rsidR="00E6255E" w:rsidRPr="001D200B" w:rsidTr="00F63D51">
        <w:trPr>
          <w:trHeight w:hRule="exact" w:val="374"/>
        </w:trPr>
        <w:tc>
          <w:tcPr>
            <w:tcW w:w="9210" w:type="dxa"/>
            <w:shd w:val="clear" w:color="auto" w:fill="F2F2F2" w:themeFill="background1" w:themeFillShade="F2"/>
          </w:tcPr>
          <w:p w:rsidR="00E6255E" w:rsidRPr="001D200B" w:rsidRDefault="00E6255E" w:rsidP="00F63D51">
            <w:pPr>
              <w:spacing w:before="0" w:after="0" w:line="240" w:lineRule="auto"/>
              <w:jc w:val="left"/>
              <w:rPr>
                <w:b/>
              </w:rPr>
            </w:pPr>
            <w:r w:rsidRPr="001D200B">
              <w:rPr>
                <w:b/>
              </w:rPr>
              <w:t>Ocena pozytywna</w:t>
            </w:r>
          </w:p>
        </w:tc>
      </w:tr>
    </w:tbl>
    <w:p w:rsidR="00367AAB" w:rsidRPr="001D200B" w:rsidRDefault="00367AAB" w:rsidP="00F21741">
      <w:pPr>
        <w:pStyle w:val="Punktatory1"/>
      </w:pPr>
      <w:r w:rsidRPr="001D200B">
        <w:t xml:space="preserve">Warunki techniczne dogodne dla dalszej rozbudowy sieci i przyłączania odbiorców </w:t>
      </w:r>
    </w:p>
    <w:p w:rsidR="00367AAB" w:rsidRPr="001D200B" w:rsidRDefault="00367AAB" w:rsidP="00F21741">
      <w:pPr>
        <w:pStyle w:val="Punktatory1"/>
      </w:pPr>
      <w:r w:rsidRPr="001D200B">
        <w:t xml:space="preserve">Krótki okres eksploatacji rozdzielczych sieci gazowych – infrastruktura gazowa rozbudowywana sukcesywnie od 2004 roku - dobry stan techniczny istniejącej sieci </w:t>
      </w:r>
    </w:p>
    <w:p w:rsidR="00367AAB" w:rsidRPr="001D200B" w:rsidRDefault="00367AAB" w:rsidP="00F21741">
      <w:pPr>
        <w:pStyle w:val="Punktatory1"/>
      </w:pPr>
      <w:r w:rsidRPr="001D200B">
        <w:t>Sieć gazowa doprowadzona do terenów przemysłowych gminy</w:t>
      </w:r>
    </w:p>
    <w:p w:rsidR="00367AAB" w:rsidRPr="001D200B" w:rsidRDefault="00367AAB" w:rsidP="00F21741">
      <w:pPr>
        <w:pStyle w:val="Punktatory1"/>
      </w:pPr>
      <w:r w:rsidRPr="001D200B">
        <w:t>Wysoki wskaźnik wykorzystania gazu sieciowego na cele grzewcze wśród użytkowników domowych wyposażonych w przyłącze gazowe</w:t>
      </w:r>
    </w:p>
    <w:tbl>
      <w:tblPr>
        <w:tblW w:w="0" w:type="auto"/>
        <w:tblBorders>
          <w:top w:val="single" w:sz="4" w:space="0" w:color="000000"/>
          <w:bottom w:val="single" w:sz="4" w:space="0" w:color="000000"/>
          <w:insideH w:val="single" w:sz="4" w:space="0" w:color="000000"/>
          <w:insideV w:val="single" w:sz="4" w:space="0" w:color="000000"/>
        </w:tblBorders>
        <w:tblLook w:val="04A0"/>
      </w:tblPr>
      <w:tblGrid>
        <w:gridCol w:w="9210"/>
      </w:tblGrid>
      <w:tr w:rsidR="00E6255E" w:rsidRPr="001D200B" w:rsidTr="00F63D51">
        <w:trPr>
          <w:trHeight w:hRule="exact" w:val="374"/>
        </w:trPr>
        <w:tc>
          <w:tcPr>
            <w:tcW w:w="9210" w:type="dxa"/>
            <w:shd w:val="clear" w:color="auto" w:fill="F2F2F2" w:themeFill="background1" w:themeFillShade="F2"/>
          </w:tcPr>
          <w:p w:rsidR="00E6255E" w:rsidRPr="001D200B" w:rsidRDefault="00E6255E" w:rsidP="00F63D51">
            <w:pPr>
              <w:spacing w:before="0" w:after="0" w:line="240" w:lineRule="auto"/>
              <w:rPr>
                <w:b/>
              </w:rPr>
            </w:pPr>
            <w:r w:rsidRPr="001D200B">
              <w:rPr>
                <w:b/>
              </w:rPr>
              <w:t>Ocena negatywna</w:t>
            </w:r>
          </w:p>
        </w:tc>
      </w:tr>
      <w:tr w:rsidR="00E6255E" w:rsidRPr="001D200B" w:rsidTr="00F63D51">
        <w:tc>
          <w:tcPr>
            <w:tcW w:w="9210" w:type="dxa"/>
          </w:tcPr>
          <w:p w:rsidR="00367AAB" w:rsidRPr="001D200B" w:rsidRDefault="00367AAB" w:rsidP="00F21741">
            <w:pPr>
              <w:pStyle w:val="Punktatory1"/>
            </w:pPr>
            <w:r w:rsidRPr="001D200B">
              <w:t>Niski wskaźnik gazyfikacji gminy</w:t>
            </w:r>
          </w:p>
          <w:p w:rsidR="00E6255E" w:rsidRPr="001D200B" w:rsidRDefault="00367AAB" w:rsidP="00F21741">
            <w:pPr>
              <w:pStyle w:val="Punktatory1"/>
            </w:pPr>
            <w:r w:rsidRPr="001D200B">
              <w:t>Budowa nowych odcinków sieci gazowej uzależniona od wskaźników efektywności ekonomicznej, które są niekorzystne w obszarach mało zurbanizowanych</w:t>
            </w:r>
          </w:p>
        </w:tc>
      </w:tr>
      <w:tr w:rsidR="00E6255E" w:rsidRPr="001D200B" w:rsidTr="00F63D51">
        <w:trPr>
          <w:trHeight w:hRule="exact" w:val="374"/>
        </w:trPr>
        <w:tc>
          <w:tcPr>
            <w:tcW w:w="9210" w:type="dxa"/>
            <w:tcBorders>
              <w:top w:val="single" w:sz="4" w:space="0" w:color="000000"/>
              <w:bottom w:val="single" w:sz="4" w:space="0" w:color="000000"/>
            </w:tcBorders>
            <w:shd w:val="clear" w:color="auto" w:fill="F2F2F2" w:themeFill="background1" w:themeFillShade="F2"/>
          </w:tcPr>
          <w:p w:rsidR="00E6255E" w:rsidRPr="001D200B" w:rsidRDefault="00E6255E" w:rsidP="00F63D51">
            <w:pPr>
              <w:spacing w:before="0" w:after="0" w:line="240" w:lineRule="auto"/>
              <w:rPr>
                <w:b/>
              </w:rPr>
            </w:pPr>
            <w:r w:rsidRPr="001D200B">
              <w:rPr>
                <w:b/>
              </w:rPr>
              <w:t>Oczekiwane wsparcie</w:t>
            </w:r>
          </w:p>
        </w:tc>
      </w:tr>
      <w:tr w:rsidR="00E6255E" w:rsidRPr="001D200B" w:rsidTr="00F63D51">
        <w:tc>
          <w:tcPr>
            <w:tcW w:w="9210" w:type="dxa"/>
            <w:tcBorders>
              <w:top w:val="single" w:sz="4" w:space="0" w:color="000000"/>
              <w:bottom w:val="single" w:sz="4" w:space="0" w:color="000000"/>
            </w:tcBorders>
            <w:shd w:val="clear" w:color="auto" w:fill="auto"/>
          </w:tcPr>
          <w:p w:rsidR="00FF01A7" w:rsidRPr="001D200B" w:rsidRDefault="00FF01A7" w:rsidP="00F21741">
            <w:pPr>
              <w:pStyle w:val="Punktatory1"/>
            </w:pPr>
            <w:r w:rsidRPr="001D200B">
              <w:t>Współpraca samorządu lokalnego z przedsiębiorstwem gazowniczym w zakresie planowania dalszej gazyfikacji gminy</w:t>
            </w:r>
          </w:p>
          <w:p w:rsidR="00FF01A7" w:rsidRPr="001D200B" w:rsidRDefault="00FF01A7" w:rsidP="00F21741">
            <w:pPr>
              <w:pStyle w:val="Punktatory1"/>
            </w:pPr>
            <w:r w:rsidRPr="001D200B">
              <w:t>Rozbudowa sieci dystrybucji gazu ziemnego</w:t>
            </w:r>
          </w:p>
          <w:p w:rsidR="00E6255E" w:rsidRPr="001D200B" w:rsidRDefault="00FF01A7" w:rsidP="00F21741">
            <w:pPr>
              <w:pStyle w:val="Punktatory1"/>
            </w:pPr>
            <w:r w:rsidRPr="001D200B">
              <w:t>Promocja wykorzystania gazu sieciowego do ogrzewania mieszkań</w:t>
            </w:r>
          </w:p>
        </w:tc>
      </w:tr>
      <w:tr w:rsidR="00E6255E" w:rsidRPr="001D200B" w:rsidTr="00F63D51">
        <w:tc>
          <w:tcPr>
            <w:tcW w:w="9210" w:type="dxa"/>
            <w:tcBorders>
              <w:top w:val="single" w:sz="4" w:space="0" w:color="000000"/>
              <w:bottom w:val="single" w:sz="4" w:space="0" w:color="000000"/>
            </w:tcBorders>
            <w:shd w:val="clear" w:color="auto" w:fill="F2F2F2" w:themeFill="background1" w:themeFillShade="F2"/>
          </w:tcPr>
          <w:p w:rsidR="00E6255E" w:rsidRPr="001D200B" w:rsidRDefault="00E6255E" w:rsidP="00F63D51">
            <w:pPr>
              <w:spacing w:before="0" w:after="0" w:line="240" w:lineRule="auto"/>
              <w:rPr>
                <w:b/>
              </w:rPr>
            </w:pPr>
            <w:r w:rsidRPr="001D200B">
              <w:rPr>
                <w:b/>
              </w:rPr>
              <w:t>Czynniki hamujące rozwój</w:t>
            </w:r>
          </w:p>
        </w:tc>
      </w:tr>
      <w:tr w:rsidR="00E6255E" w:rsidRPr="001D200B" w:rsidTr="00F63D51">
        <w:tc>
          <w:tcPr>
            <w:tcW w:w="9210" w:type="dxa"/>
            <w:tcBorders>
              <w:top w:val="single" w:sz="4" w:space="0" w:color="000000"/>
              <w:bottom w:val="single" w:sz="4" w:space="0" w:color="000000"/>
            </w:tcBorders>
            <w:shd w:val="clear" w:color="auto" w:fill="auto"/>
          </w:tcPr>
          <w:p w:rsidR="00FF01A7" w:rsidRPr="001D200B" w:rsidRDefault="00FF01A7" w:rsidP="00F21741">
            <w:pPr>
              <w:pStyle w:val="Punktatory1"/>
            </w:pPr>
            <w:r w:rsidRPr="001D200B">
              <w:t xml:space="preserve">Niekorzystne relacje cenowe paliwa gazowego w stosunku do paliw </w:t>
            </w:r>
            <w:r w:rsidR="00E13020" w:rsidRPr="001D200B">
              <w:t>stałych</w:t>
            </w:r>
            <w:r w:rsidRPr="001D200B">
              <w:t xml:space="preserve"> (porównani</w:t>
            </w:r>
            <w:r w:rsidR="00E13020" w:rsidRPr="001D200B">
              <w:t>e</w:t>
            </w:r>
            <w:r w:rsidRPr="001D200B">
              <w:t xml:space="preserve"> cen </w:t>
            </w:r>
            <w:r w:rsidR="00E13020" w:rsidRPr="001D200B">
              <w:t>w</w:t>
            </w:r>
            <w:r w:rsidRPr="001D200B">
              <w:t xml:space="preserve"> tabel</w:t>
            </w:r>
            <w:r w:rsidR="00E13020" w:rsidRPr="001D200B">
              <w:t>i</w:t>
            </w:r>
            <w:r w:rsidRPr="001D200B">
              <w:t xml:space="preserve"> 3</w:t>
            </w:r>
            <w:r w:rsidR="00D2721B" w:rsidRPr="001D200B">
              <w:t>2</w:t>
            </w:r>
            <w:r w:rsidRPr="001D200B">
              <w:t xml:space="preserve">) </w:t>
            </w:r>
          </w:p>
          <w:p w:rsidR="00FF01A7" w:rsidRPr="001D200B" w:rsidRDefault="00FF01A7" w:rsidP="00F21741">
            <w:pPr>
              <w:pStyle w:val="Punktatory1"/>
            </w:pPr>
            <w:r w:rsidRPr="001D200B">
              <w:t>Brak zainteresowania społecznego przyłączaniem do sieci i wykorzystania gazu na potrzeby gospodarstw domowych</w:t>
            </w:r>
          </w:p>
          <w:p w:rsidR="00915383" w:rsidRPr="001D200B" w:rsidRDefault="00E13020" w:rsidP="00102E81">
            <w:pPr>
              <w:pStyle w:val="Punktatory1"/>
            </w:pPr>
            <w:r w:rsidRPr="001D200B">
              <w:t>K</w:t>
            </w:r>
            <w:r w:rsidR="00E6255E" w:rsidRPr="001D200B">
              <w:t xml:space="preserve">oszty inwestycyjne </w:t>
            </w:r>
            <w:r w:rsidRPr="001D200B">
              <w:t xml:space="preserve">montażu </w:t>
            </w:r>
            <w:r w:rsidR="00FF01A7" w:rsidRPr="001D200B">
              <w:t>ogrzewania gazowego (</w:t>
            </w:r>
            <w:r w:rsidRPr="001D200B">
              <w:t xml:space="preserve">podwyższone o koszt </w:t>
            </w:r>
            <w:r w:rsidR="00FF01A7" w:rsidRPr="001D200B">
              <w:t>budow</w:t>
            </w:r>
            <w:r w:rsidR="00102E81" w:rsidRPr="001D200B">
              <w:t xml:space="preserve">y </w:t>
            </w:r>
            <w:r w:rsidR="00FF01A7" w:rsidRPr="001D200B">
              <w:t>przyłącza</w:t>
            </w:r>
            <w:r w:rsidRPr="001D200B">
              <w:t>)</w:t>
            </w:r>
          </w:p>
        </w:tc>
      </w:tr>
      <w:tr w:rsidR="00E6255E" w:rsidRPr="001D200B" w:rsidTr="00F63D51">
        <w:tc>
          <w:tcPr>
            <w:tcW w:w="9210" w:type="dxa"/>
            <w:tcBorders>
              <w:top w:val="single" w:sz="4" w:space="0" w:color="000000"/>
              <w:bottom w:val="single" w:sz="4" w:space="0" w:color="000000"/>
            </w:tcBorders>
            <w:shd w:val="clear" w:color="auto" w:fill="F2F2F2" w:themeFill="background1" w:themeFillShade="F2"/>
          </w:tcPr>
          <w:p w:rsidR="00E6255E" w:rsidRPr="001D200B" w:rsidRDefault="00E6255E" w:rsidP="008A3F77">
            <w:pPr>
              <w:spacing w:before="0" w:after="0" w:line="240" w:lineRule="auto"/>
              <w:rPr>
                <w:b/>
              </w:rPr>
            </w:pPr>
            <w:r w:rsidRPr="001D200B">
              <w:rPr>
                <w:b/>
              </w:rPr>
              <w:t xml:space="preserve">Cele podstawowe </w:t>
            </w:r>
            <w:r w:rsidR="00F75CFA" w:rsidRPr="001D200B">
              <w:rPr>
                <w:b/>
              </w:rPr>
              <w:t xml:space="preserve">gminy w </w:t>
            </w:r>
            <w:r w:rsidRPr="001D200B">
              <w:rPr>
                <w:b/>
              </w:rPr>
              <w:t xml:space="preserve">zakresie zaopatrzenia w </w:t>
            </w:r>
            <w:r w:rsidR="00F75CFA" w:rsidRPr="001D200B">
              <w:rPr>
                <w:b/>
              </w:rPr>
              <w:t>gaz ziemny</w:t>
            </w:r>
          </w:p>
        </w:tc>
      </w:tr>
    </w:tbl>
    <w:p w:rsidR="00897C69" w:rsidRPr="001D200B" w:rsidRDefault="00897C69" w:rsidP="00F21741">
      <w:pPr>
        <w:pStyle w:val="Punktatory1"/>
      </w:pPr>
      <w:r w:rsidRPr="001D200B">
        <w:t>Prowadzenie monitoringu zapotrzebowania na inwestycje gazociągowe</w:t>
      </w:r>
    </w:p>
    <w:p w:rsidR="005311D2" w:rsidRPr="001D200B" w:rsidRDefault="00897C69" w:rsidP="00F21741">
      <w:pPr>
        <w:pStyle w:val="Punktatory1"/>
      </w:pPr>
      <w:r w:rsidRPr="001D200B">
        <w:lastRenderedPageBreak/>
        <w:t>Podjęcie starań w kierunku dalszej rozbudowy sieci gazowej w szczególności w</w:t>
      </w:r>
      <w:r w:rsidR="008A3F77" w:rsidRPr="001D200B">
        <w:t> </w:t>
      </w:r>
      <w:r w:rsidRPr="001D200B">
        <w:t xml:space="preserve">obszarach gęsto zabudowanych </w:t>
      </w:r>
    </w:p>
    <w:p w:rsidR="00F339DA" w:rsidRPr="001D200B" w:rsidRDefault="00F339DA" w:rsidP="001A71AF">
      <w:pPr>
        <w:pStyle w:val="Nagwek2"/>
        <w:rPr>
          <w:rFonts w:cstheme="minorHAnsi"/>
        </w:rPr>
      </w:pPr>
      <w:bookmarkStart w:id="78" w:name="_Toc31972837"/>
      <w:r w:rsidRPr="001D200B">
        <w:rPr>
          <w:rFonts w:cstheme="minorHAnsi"/>
        </w:rPr>
        <w:t>3. Prognoza zapotrzebowania na paliwa gazowe i możliwości rozwoju sieci gazociągowej</w:t>
      </w:r>
      <w:bookmarkEnd w:id="78"/>
    </w:p>
    <w:p w:rsidR="00F46281" w:rsidRPr="001D200B" w:rsidRDefault="00F46281" w:rsidP="00F46281">
      <w:pPr>
        <w:rPr>
          <w:rFonts w:cstheme="minorHAnsi"/>
        </w:rPr>
      </w:pPr>
      <w:r w:rsidRPr="001D200B">
        <w:rPr>
          <w:rFonts w:cstheme="minorHAnsi"/>
        </w:rPr>
        <w:t>Dane wyjściowe dla ustalenia szacunkowych wielkości zapotrzebowania na gaz ziemny na terenie gminy Połaniec do 203</w:t>
      </w:r>
      <w:r w:rsidR="008A3F77" w:rsidRPr="001D200B">
        <w:rPr>
          <w:rFonts w:cstheme="minorHAnsi"/>
        </w:rPr>
        <w:t>5</w:t>
      </w:r>
      <w:r w:rsidRPr="001D200B">
        <w:rPr>
          <w:rFonts w:cstheme="minorHAnsi"/>
        </w:rPr>
        <w:t xml:space="preserve"> roku:</w:t>
      </w:r>
    </w:p>
    <w:p w:rsidR="00C8240C" w:rsidRPr="001D200B" w:rsidRDefault="00C8240C" w:rsidP="00F21741">
      <w:pPr>
        <w:pStyle w:val="Punktatory1"/>
      </w:pPr>
      <w:r w:rsidRPr="001D200B">
        <w:t xml:space="preserve">zużycie gazu w stanie obecnym </w:t>
      </w:r>
      <w:r w:rsidR="00BF5954" w:rsidRPr="001D200B">
        <w:t xml:space="preserve">na terenie gminy Połaniec </w:t>
      </w:r>
      <w:r w:rsidRPr="001D200B">
        <w:t xml:space="preserve">kształtuje się na poziomie </w:t>
      </w:r>
      <w:r w:rsidR="00BF5954" w:rsidRPr="001D200B">
        <w:t xml:space="preserve">około </w:t>
      </w:r>
      <w:r w:rsidR="00BF5954" w:rsidRPr="001D200B">
        <w:rPr>
          <w:b/>
        </w:rPr>
        <w:t>142,9</w:t>
      </w:r>
      <w:r w:rsidR="000A4909" w:rsidRPr="001D200B">
        <w:rPr>
          <w:b/>
        </w:rPr>
        <w:t xml:space="preserve"> tys. m</w:t>
      </w:r>
      <w:r w:rsidR="000A4909" w:rsidRPr="001D200B">
        <w:rPr>
          <w:b/>
          <w:vertAlign w:val="superscript"/>
        </w:rPr>
        <w:t>3</w:t>
      </w:r>
      <w:r w:rsidR="00BF5954" w:rsidRPr="001D200B">
        <w:rPr>
          <w:b/>
        </w:rPr>
        <w:t>/rok [1614,1MWh/rok]</w:t>
      </w:r>
      <w:r w:rsidR="007B4AD0" w:rsidRPr="001D200B">
        <w:rPr>
          <w:b/>
        </w:rPr>
        <w:t>;</w:t>
      </w:r>
    </w:p>
    <w:p w:rsidR="006365E1" w:rsidRPr="001D200B" w:rsidRDefault="006365E1" w:rsidP="00F47855">
      <w:pPr>
        <w:pStyle w:val="Punktatory1"/>
      </w:pPr>
      <w:r w:rsidRPr="001D200B">
        <w:t>największy odbiór paliwa gazowego jest po stronie użytkowników domowych;</w:t>
      </w:r>
    </w:p>
    <w:p w:rsidR="006365E1" w:rsidRPr="001D200B" w:rsidRDefault="006365E1" w:rsidP="00F47855">
      <w:pPr>
        <w:pStyle w:val="Punktatory1"/>
      </w:pPr>
      <w:r w:rsidRPr="001D200B">
        <w:t xml:space="preserve">aktualnie roczne zużycie gazu w grupie gospodarstw domowych kształtuje się na poziomie około 102,7 tys. m3 [około 1160,3 MWh]. Użytkowanie gazu ziemnego do celów grzewczych mieszkań w skali istniejących odbiorców jest znaczące – wskaźniki przeciętnego poboru określono na poziomie około </w:t>
      </w:r>
      <w:r w:rsidR="0042062B" w:rsidRPr="001D200B">
        <w:t>1360</w:t>
      </w:r>
      <w:r w:rsidRPr="001D200B">
        <w:t>m3/rok/ odbiorcę.</w:t>
      </w:r>
    </w:p>
    <w:p w:rsidR="00337584" w:rsidRPr="001D200B" w:rsidRDefault="00337584" w:rsidP="00337584">
      <w:pPr>
        <w:rPr>
          <w:rFonts w:cstheme="minorHAnsi"/>
        </w:rPr>
      </w:pPr>
      <w:r w:rsidRPr="001D200B">
        <w:rPr>
          <w:rFonts w:cstheme="minorHAnsi"/>
        </w:rPr>
        <w:t>Dodatkowo przyjęto założenia:</w:t>
      </w:r>
    </w:p>
    <w:p w:rsidR="00337584" w:rsidRPr="001D200B" w:rsidRDefault="0016030D" w:rsidP="00412E46">
      <w:pPr>
        <w:pStyle w:val="Punktatory2"/>
        <w:numPr>
          <w:ilvl w:val="0"/>
          <w:numId w:val="26"/>
        </w:numPr>
        <w:rPr>
          <w:i/>
        </w:rPr>
      </w:pPr>
      <w:r w:rsidRPr="001D200B">
        <w:rPr>
          <w:rFonts w:cstheme="minorHAnsi"/>
        </w:rPr>
        <w:t>z</w:t>
      </w:r>
      <w:r w:rsidR="00337584" w:rsidRPr="001D200B">
        <w:rPr>
          <w:rFonts w:cstheme="minorHAnsi"/>
        </w:rPr>
        <w:t xml:space="preserve">miany demograficzne przyjęto zgodnie z prognozą przedstawioną w tabeli </w:t>
      </w:r>
      <w:r w:rsidRPr="001D200B">
        <w:rPr>
          <w:rFonts w:cstheme="minorHAnsi"/>
        </w:rPr>
        <w:t xml:space="preserve">3 </w:t>
      </w:r>
      <w:r w:rsidRPr="001D200B">
        <w:rPr>
          <w:i/>
        </w:rPr>
        <w:t>Prognoza liczby ludności do 2035 roku – Gmina Połaniec;</w:t>
      </w:r>
    </w:p>
    <w:p w:rsidR="0016030D" w:rsidRPr="001D200B" w:rsidRDefault="0016030D" w:rsidP="00F21741">
      <w:pPr>
        <w:pStyle w:val="Punktatory1"/>
      </w:pPr>
      <w:r w:rsidRPr="001D200B">
        <w:t>w okresie prognozy nie przewiduje się istotnych ograniczeń wynikających z dostępu do zasobów gazu ziemnego;</w:t>
      </w:r>
    </w:p>
    <w:p w:rsidR="0016030D" w:rsidRPr="001D200B" w:rsidRDefault="0016030D" w:rsidP="00F21741">
      <w:pPr>
        <w:pStyle w:val="Punktatory1"/>
      </w:pPr>
      <w:r w:rsidRPr="001D200B">
        <w:t>na stałym poziomie pozostawiono zapotrzebowanie gazu ziemnego po stronie odbiorców ujętych jako „przemysł i budownictwo” oraz „handel i usługi” (biorąc pod uwagę zużycie w 2018 roku). Prognoza w tej grupie użytkowników gazu obarczona jest znacznym marginesem błędu, co wynika z wielu zależności w kształtowaniu wielkości zapotrzebowania, w tym z braku sprecyzowanych planów rozwojowych (charakteru inwestycji) w obszarach strefy gospodarczej gminy.</w:t>
      </w:r>
    </w:p>
    <w:p w:rsidR="00BC0B17" w:rsidRPr="001D200B" w:rsidRDefault="00337584" w:rsidP="00F21741">
      <w:pPr>
        <w:pStyle w:val="Punktatory1"/>
      </w:pPr>
      <w:r w:rsidRPr="001D200B">
        <w:t xml:space="preserve">nastąpi sukcesywna rozbudowa sieci gazowej, która </w:t>
      </w:r>
      <w:r w:rsidR="000171EA" w:rsidRPr="001D200B">
        <w:t xml:space="preserve">obejmie </w:t>
      </w:r>
      <w:r w:rsidR="00454FB5" w:rsidRPr="001D200B">
        <w:t xml:space="preserve">w szczególności </w:t>
      </w:r>
      <w:r w:rsidR="000171EA" w:rsidRPr="001D200B">
        <w:t xml:space="preserve">miasto Połaniec oraz </w:t>
      </w:r>
      <w:r w:rsidR="00BC0B17" w:rsidRPr="001D200B">
        <w:t>miejscowości Łęg, Tursko Małe i Zawada</w:t>
      </w:r>
      <w:r w:rsidR="00B458E1" w:rsidRPr="001D200B">
        <w:t>;</w:t>
      </w:r>
    </w:p>
    <w:p w:rsidR="00EF42FB" w:rsidRPr="001D200B" w:rsidRDefault="00B458E1" w:rsidP="00F21741">
      <w:pPr>
        <w:pStyle w:val="Punktatory1"/>
      </w:pPr>
      <w:r w:rsidRPr="001D200B">
        <w:t xml:space="preserve">z analiz prognostycznych i prawdopodobnych kierunków rozwoju sieci gazowej wyłączono </w:t>
      </w:r>
      <w:r w:rsidR="00EF42FB" w:rsidRPr="001D200B">
        <w:t xml:space="preserve">budownictwo mieszkaniowe wielorodzinne, które obecnie w 100% zasilane jest w ciepło z sieci </w:t>
      </w:r>
      <w:r w:rsidR="008C191C" w:rsidRPr="001D200B">
        <w:t>ciepłowniczej</w:t>
      </w:r>
      <w:r w:rsidRPr="001D200B">
        <w:t xml:space="preserve">. </w:t>
      </w:r>
      <w:r w:rsidR="008C191C" w:rsidRPr="001D200B">
        <w:t xml:space="preserve">Budowa sieci gazowej wyłącznie dla potrzeby przygotowania posiłków </w:t>
      </w:r>
      <w:r w:rsidRPr="001D200B">
        <w:t xml:space="preserve">z reguły </w:t>
      </w:r>
      <w:r w:rsidR="008C191C" w:rsidRPr="001D200B">
        <w:t>nie spełnia wymogów opłacalności ekonomicznej przedsięwzi</w:t>
      </w:r>
      <w:r w:rsidRPr="001D200B">
        <w:t>ęcia;</w:t>
      </w:r>
    </w:p>
    <w:p w:rsidR="00337584" w:rsidRPr="001D200B" w:rsidRDefault="00B458E1" w:rsidP="000A308D">
      <w:pPr>
        <w:pStyle w:val="wypunktowanie"/>
      </w:pPr>
      <w:r w:rsidRPr="001D200B">
        <w:t>l</w:t>
      </w:r>
      <w:r w:rsidR="00BF267D" w:rsidRPr="001D200B">
        <w:t>iczba gospodarstw domowych, korzystających z gazu do celów grzewczych zwiększy się m.in. dzięki ograniczeniu potrzeb energetycznych budynków po termomodernizacji</w:t>
      </w:r>
      <w:r w:rsidR="000A3997" w:rsidRPr="001D200B">
        <w:t>.</w:t>
      </w:r>
    </w:p>
    <w:p w:rsidR="00235108" w:rsidRPr="001D200B" w:rsidRDefault="00235108">
      <w:pPr>
        <w:spacing w:before="0" w:after="0" w:line="240" w:lineRule="auto"/>
        <w:jc w:val="left"/>
      </w:pPr>
      <w:r w:rsidRPr="001D200B">
        <w:br w:type="page"/>
      </w:r>
    </w:p>
    <w:p w:rsidR="00E033C9" w:rsidRPr="001D200B" w:rsidRDefault="00E033C9" w:rsidP="00E033C9">
      <w:pPr>
        <w:rPr>
          <w:rFonts w:cstheme="minorHAnsi"/>
        </w:rPr>
      </w:pPr>
      <w:r w:rsidRPr="001D200B">
        <w:lastRenderedPageBreak/>
        <w:t>Prognozę przedstawiono wariantowo, przyjmując opisane wyżej założenia wyjściowe:</w:t>
      </w:r>
    </w:p>
    <w:p w:rsidR="000A3997" w:rsidRPr="001D200B" w:rsidRDefault="00E92ABC" w:rsidP="000A3997">
      <w:r w:rsidRPr="001D200B">
        <w:rPr>
          <w:rFonts w:cstheme="minorHAnsi"/>
          <w:b/>
        </w:rPr>
        <w:t>Wariant I</w:t>
      </w:r>
      <w:r w:rsidR="00D0308C" w:rsidRPr="001D200B">
        <w:rPr>
          <w:rFonts w:cstheme="minorHAnsi"/>
        </w:rPr>
        <w:t xml:space="preserve"> </w:t>
      </w:r>
      <w:r w:rsidR="00015E6D" w:rsidRPr="001D200B">
        <w:rPr>
          <w:rFonts w:cstheme="minorHAnsi"/>
        </w:rPr>
        <w:t>–</w:t>
      </w:r>
      <w:r w:rsidR="00E033C9" w:rsidRPr="001D200B">
        <w:rPr>
          <w:rFonts w:cstheme="minorHAnsi"/>
        </w:rPr>
        <w:t xml:space="preserve"> </w:t>
      </w:r>
      <w:r w:rsidR="00015E6D" w:rsidRPr="001D200B">
        <w:t>założono, sukcesywną rozbudowę sieci dystrybucji gazu ziemnego do 2035 roku</w:t>
      </w:r>
      <w:r w:rsidR="000A3997" w:rsidRPr="001D200B">
        <w:t>, biorąc pod uwagę</w:t>
      </w:r>
      <w:r w:rsidR="00F437AB" w:rsidRPr="001D200B">
        <w:t xml:space="preserve"> tempo </w:t>
      </w:r>
      <w:r w:rsidR="000A3997" w:rsidRPr="001D200B">
        <w:t>przyrost</w:t>
      </w:r>
      <w:r w:rsidR="00F437AB" w:rsidRPr="001D200B">
        <w:t>u</w:t>
      </w:r>
      <w:r w:rsidR="000A3997" w:rsidRPr="001D200B">
        <w:t xml:space="preserve"> nowych odbiorców indywidualnych na terenie gminy z lat 2010-2018. W analizie uwzględniono notowany w 2018 roku przeciętny pobór gazu ziemnego przez odbiorców domowych. Wskaźnik gazyfikacji gminy w 2035 roku określono na </w:t>
      </w:r>
      <w:r w:rsidR="00F437AB" w:rsidRPr="001D200B">
        <w:t>poziomie</w:t>
      </w:r>
      <w:r w:rsidR="00C75CA5" w:rsidRPr="001D200B">
        <w:t xml:space="preserve"> około</w:t>
      </w:r>
      <w:r w:rsidR="00F437AB" w:rsidRPr="001D200B">
        <w:t xml:space="preserve"> </w:t>
      </w:r>
      <w:r w:rsidR="00C75CA5" w:rsidRPr="001D200B">
        <w:t>9</w:t>
      </w:r>
      <w:r w:rsidR="00F437AB" w:rsidRPr="001D200B">
        <w:t>%.</w:t>
      </w:r>
    </w:p>
    <w:p w:rsidR="00413C46" w:rsidRPr="001D200B" w:rsidRDefault="00413C46" w:rsidP="00413C46">
      <w:r w:rsidRPr="001D200B">
        <w:rPr>
          <w:b/>
        </w:rPr>
        <w:t>Wariant II</w:t>
      </w:r>
      <w:r w:rsidRPr="001D200B">
        <w:t xml:space="preserve"> – zakłada się, że warunki techniczne i ekonomiczne sprzyjać będą rozbudowie sieci gazowej. W wariancie tym założono, że wskaźnik gazyfikacji gminy wzrośnie do poziomu 20% w okresie prognozy, jednocześnie sukcesywnie wzrastać będzie komfort użytkowania gazu przez odbiorców domowych, tj.: </w:t>
      </w:r>
    </w:p>
    <w:p w:rsidR="00413C46" w:rsidRPr="001D200B" w:rsidRDefault="00413C46" w:rsidP="00F006D6">
      <w:pPr>
        <w:pStyle w:val="Akapitzlist"/>
      </w:pPr>
      <w:r w:rsidRPr="001D200B">
        <w:rPr>
          <w:bCs/>
        </w:rPr>
        <w:t xml:space="preserve">wskaźniki wielkości zużycia </w:t>
      </w:r>
      <w:r w:rsidRPr="001D200B">
        <w:t>gazu ziemnego dla poszczególnego odbioru przyjęto na poziomie:</w:t>
      </w:r>
    </w:p>
    <w:p w:rsidR="00413C46" w:rsidRPr="001D200B" w:rsidRDefault="00413C46" w:rsidP="00F21741">
      <w:pPr>
        <w:pStyle w:val="Punktatory1"/>
      </w:pPr>
      <w:r w:rsidRPr="001D200B">
        <w:t>przygotowanie posiłków – 50m</w:t>
      </w:r>
      <w:r w:rsidRPr="001D200B">
        <w:rPr>
          <w:vertAlign w:val="superscript"/>
        </w:rPr>
        <w:t>3</w:t>
      </w:r>
      <w:r w:rsidRPr="001D200B">
        <w:t>/osob./rok;</w:t>
      </w:r>
    </w:p>
    <w:p w:rsidR="00413C46" w:rsidRPr="001D200B" w:rsidRDefault="00413C46" w:rsidP="00F21741">
      <w:pPr>
        <w:pStyle w:val="Punktatory1"/>
      </w:pPr>
      <w:r w:rsidRPr="001D200B">
        <w:t>przygotowanie c.w.u. – 100 m</w:t>
      </w:r>
      <w:r w:rsidRPr="001D200B">
        <w:rPr>
          <w:vertAlign w:val="superscript"/>
        </w:rPr>
        <w:t>3</w:t>
      </w:r>
      <w:r w:rsidRPr="001D200B">
        <w:t>/osob./rok;</w:t>
      </w:r>
    </w:p>
    <w:p w:rsidR="00413C46" w:rsidRPr="001D200B" w:rsidRDefault="00413C46" w:rsidP="00F21741">
      <w:pPr>
        <w:pStyle w:val="Punktatory1"/>
      </w:pPr>
      <w:r w:rsidRPr="001D200B">
        <w:t>ogrzewanie pomieszczeń - budownictwo jednorodzinne i zagrodowe – 15m</w:t>
      </w:r>
      <w:r w:rsidRPr="001D200B">
        <w:rPr>
          <w:vertAlign w:val="superscript"/>
        </w:rPr>
        <w:t>3</w:t>
      </w:r>
      <w:r w:rsidRPr="001D200B">
        <w:t>/m</w:t>
      </w:r>
      <w:r w:rsidRPr="001D200B">
        <w:rPr>
          <w:vertAlign w:val="superscript"/>
        </w:rPr>
        <w:t>2</w:t>
      </w:r>
      <w:r w:rsidRPr="001D200B">
        <w:t xml:space="preserve"> powierzchni użytkowej/rok.</w:t>
      </w:r>
    </w:p>
    <w:p w:rsidR="00413C46" w:rsidRPr="001D200B" w:rsidRDefault="00413C46" w:rsidP="00F006D6">
      <w:pPr>
        <w:pStyle w:val="Akapitzlist"/>
      </w:pPr>
      <w:r w:rsidRPr="001D200B">
        <w:t xml:space="preserve">wskaźniki wykorzystania gazu w 2035 roku osiągną poziomy: </w:t>
      </w:r>
    </w:p>
    <w:p w:rsidR="00413C46" w:rsidRPr="001D200B" w:rsidRDefault="00413C46" w:rsidP="00F006D6">
      <w:pPr>
        <w:pStyle w:val="Akapitzlist"/>
      </w:pPr>
      <w:r w:rsidRPr="001D200B">
        <w:t>-</w:t>
      </w:r>
      <w:r w:rsidRPr="001D200B">
        <w:tab/>
        <w:t>95% udział gazu ziemnego w zakresie przygotowania posiłków,</w:t>
      </w:r>
    </w:p>
    <w:p w:rsidR="00413C46" w:rsidRPr="001D200B" w:rsidRDefault="00413C46" w:rsidP="00F006D6">
      <w:pPr>
        <w:pStyle w:val="Akapitzlist"/>
      </w:pPr>
      <w:r w:rsidRPr="001D200B">
        <w:t>-</w:t>
      </w:r>
      <w:r w:rsidRPr="001D200B">
        <w:tab/>
        <w:t>70% w zakresie przygotowania ciep</w:t>
      </w:r>
      <w:r w:rsidR="00DC52F8" w:rsidRPr="001D200B">
        <w:t>ł</w:t>
      </w:r>
      <w:r w:rsidRPr="001D200B">
        <w:t>ej wody użytkowej,</w:t>
      </w:r>
    </w:p>
    <w:p w:rsidR="00413C46" w:rsidRPr="001D200B" w:rsidRDefault="00413C46" w:rsidP="00F006D6">
      <w:pPr>
        <w:pStyle w:val="Akapitzlist"/>
      </w:pPr>
      <w:r w:rsidRPr="001D200B">
        <w:t>-</w:t>
      </w:r>
      <w:r w:rsidRPr="001D200B">
        <w:tab/>
        <w:t>95% udział gazu ziemnego w zakresie ogrzewania mieszkań.</w:t>
      </w:r>
    </w:p>
    <w:p w:rsidR="00F339DA" w:rsidRPr="001D200B" w:rsidRDefault="00122D79" w:rsidP="0006532F">
      <w:pPr>
        <w:pStyle w:val="Tytu"/>
        <w:ind w:left="1276" w:hanging="1276"/>
        <w:rPr>
          <w:rFonts w:cstheme="minorHAnsi"/>
          <w:b/>
          <w:bCs/>
          <w:szCs w:val="28"/>
        </w:rPr>
      </w:pPr>
      <w:bookmarkStart w:id="79" w:name="_Toc39476583"/>
      <w:r w:rsidRPr="001D200B">
        <w:rPr>
          <w:rFonts w:cstheme="minorHAnsi"/>
          <w:b/>
        </w:rPr>
        <w:t xml:space="preserve">Tabela </w:t>
      </w:r>
      <w:r w:rsidR="005B7234" w:rsidRPr="001D200B">
        <w:rPr>
          <w:rFonts w:cstheme="minorHAnsi"/>
          <w:b/>
        </w:rPr>
        <w:fldChar w:fldCharType="begin"/>
      </w:r>
      <w:r w:rsidR="00F200FE" w:rsidRPr="001D200B">
        <w:rPr>
          <w:rFonts w:cstheme="minorHAnsi"/>
          <w:b/>
        </w:rPr>
        <w:instrText xml:space="preserve"> SEQ Tabela \* ARABIC </w:instrText>
      </w:r>
      <w:r w:rsidR="005B7234" w:rsidRPr="001D200B">
        <w:rPr>
          <w:rFonts w:cstheme="minorHAnsi"/>
          <w:b/>
        </w:rPr>
        <w:fldChar w:fldCharType="separate"/>
      </w:r>
      <w:r w:rsidR="00D2721B" w:rsidRPr="001D200B">
        <w:rPr>
          <w:rFonts w:cstheme="minorHAnsi"/>
          <w:b/>
          <w:noProof/>
        </w:rPr>
        <w:t>31</w:t>
      </w:r>
      <w:r w:rsidR="005B7234" w:rsidRPr="001D200B">
        <w:rPr>
          <w:rFonts w:cstheme="minorHAnsi"/>
          <w:b/>
        </w:rPr>
        <w:fldChar w:fldCharType="end"/>
      </w:r>
      <w:r w:rsidRPr="001D200B">
        <w:rPr>
          <w:rFonts w:cstheme="minorHAnsi"/>
          <w:b/>
        </w:rPr>
        <w:t xml:space="preserve">. Docelowe zapotrzebowanie gazu </w:t>
      </w:r>
      <w:r w:rsidR="004579CE" w:rsidRPr="001D200B">
        <w:rPr>
          <w:rFonts w:cstheme="minorHAnsi"/>
          <w:b/>
        </w:rPr>
        <w:t xml:space="preserve">ziemnego </w:t>
      </w:r>
      <w:r w:rsidRPr="001D200B">
        <w:rPr>
          <w:rFonts w:cstheme="minorHAnsi"/>
          <w:b/>
        </w:rPr>
        <w:t xml:space="preserve">dla gminy Połaniec w </w:t>
      </w:r>
      <w:r w:rsidR="004579CE" w:rsidRPr="001D200B">
        <w:rPr>
          <w:rFonts w:cstheme="minorHAnsi"/>
          <w:b/>
        </w:rPr>
        <w:t xml:space="preserve">okresie prognozy </w:t>
      </w:r>
      <w:r w:rsidRPr="001D200B">
        <w:rPr>
          <w:rFonts w:cstheme="minorHAnsi"/>
          <w:b/>
        </w:rPr>
        <w:t>(w tys.m</w:t>
      </w:r>
      <w:r w:rsidRPr="001D200B">
        <w:rPr>
          <w:rFonts w:cstheme="minorHAnsi"/>
          <w:b/>
          <w:vertAlign w:val="superscript"/>
        </w:rPr>
        <w:t>3</w:t>
      </w:r>
      <w:r w:rsidRPr="001D200B">
        <w:rPr>
          <w:rFonts w:cstheme="minorHAnsi"/>
          <w:b/>
        </w:rPr>
        <w:t>/rok)</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10"/>
        <w:gridCol w:w="2196"/>
        <w:gridCol w:w="48"/>
        <w:gridCol w:w="2244"/>
        <w:gridCol w:w="2244"/>
      </w:tblGrid>
      <w:tr w:rsidR="00BB0180" w:rsidRPr="001D200B" w:rsidTr="00DC52F8">
        <w:tc>
          <w:tcPr>
            <w:tcW w:w="2410" w:type="dxa"/>
            <w:vMerge w:val="restart"/>
            <w:shd w:val="clear" w:color="auto" w:fill="auto"/>
          </w:tcPr>
          <w:p w:rsidR="00BB0180" w:rsidRPr="001D200B" w:rsidRDefault="00BB0180" w:rsidP="00DC52F8">
            <w:pPr>
              <w:spacing w:before="100" w:beforeAutospacing="1" w:after="100" w:afterAutospacing="1"/>
              <w:jc w:val="center"/>
              <w:rPr>
                <w:b/>
                <w:sz w:val="20"/>
              </w:rPr>
            </w:pPr>
            <w:r w:rsidRPr="001D200B">
              <w:rPr>
                <w:b/>
              </w:rPr>
              <w:t>Perspektywiczne zapotrzebowanie gazu</w:t>
            </w:r>
          </w:p>
        </w:tc>
        <w:tc>
          <w:tcPr>
            <w:tcW w:w="2244" w:type="dxa"/>
            <w:gridSpan w:val="2"/>
            <w:shd w:val="clear" w:color="auto" w:fill="auto"/>
            <w:vAlign w:val="center"/>
          </w:tcPr>
          <w:p w:rsidR="00BB0180" w:rsidRPr="001D200B" w:rsidRDefault="00BB0180" w:rsidP="00DC52F8">
            <w:pPr>
              <w:spacing w:before="100" w:beforeAutospacing="1" w:after="100" w:afterAutospacing="1"/>
              <w:jc w:val="center"/>
              <w:rPr>
                <w:b/>
              </w:rPr>
            </w:pPr>
            <w:r w:rsidRPr="001D200B">
              <w:rPr>
                <w:b/>
              </w:rPr>
              <w:t>do roku 2025</w:t>
            </w:r>
          </w:p>
        </w:tc>
        <w:tc>
          <w:tcPr>
            <w:tcW w:w="2244" w:type="dxa"/>
            <w:shd w:val="clear" w:color="auto" w:fill="auto"/>
            <w:vAlign w:val="center"/>
          </w:tcPr>
          <w:p w:rsidR="00BB0180" w:rsidRPr="001D200B" w:rsidRDefault="00BB0180" w:rsidP="00DC52F8">
            <w:pPr>
              <w:spacing w:before="100" w:beforeAutospacing="1" w:after="100" w:afterAutospacing="1"/>
              <w:jc w:val="center"/>
              <w:rPr>
                <w:b/>
              </w:rPr>
            </w:pPr>
            <w:r w:rsidRPr="001D200B">
              <w:rPr>
                <w:b/>
              </w:rPr>
              <w:t>do roku 2030</w:t>
            </w:r>
          </w:p>
        </w:tc>
        <w:tc>
          <w:tcPr>
            <w:tcW w:w="2244" w:type="dxa"/>
            <w:shd w:val="clear" w:color="auto" w:fill="auto"/>
            <w:vAlign w:val="center"/>
          </w:tcPr>
          <w:p w:rsidR="00BB0180" w:rsidRPr="001D200B" w:rsidRDefault="00BB0180" w:rsidP="00DC52F8">
            <w:pPr>
              <w:spacing w:before="100" w:beforeAutospacing="1" w:after="100" w:afterAutospacing="1"/>
              <w:jc w:val="center"/>
              <w:rPr>
                <w:b/>
              </w:rPr>
            </w:pPr>
            <w:r w:rsidRPr="001D200B">
              <w:rPr>
                <w:b/>
              </w:rPr>
              <w:t>do roku 2035</w:t>
            </w:r>
          </w:p>
        </w:tc>
      </w:tr>
      <w:tr w:rsidR="00BB0180" w:rsidRPr="001D200B" w:rsidTr="00DC52F8">
        <w:trPr>
          <w:trHeight w:val="283"/>
        </w:trPr>
        <w:tc>
          <w:tcPr>
            <w:tcW w:w="2410" w:type="dxa"/>
            <w:vMerge/>
            <w:shd w:val="clear" w:color="auto" w:fill="auto"/>
          </w:tcPr>
          <w:p w:rsidR="00BB0180" w:rsidRPr="001D200B" w:rsidRDefault="00BB0180" w:rsidP="00DC52F8">
            <w:pPr>
              <w:spacing w:before="100" w:beforeAutospacing="1" w:after="100" w:afterAutospacing="1"/>
              <w:rPr>
                <w:highlight w:val="yellow"/>
              </w:rPr>
            </w:pPr>
          </w:p>
        </w:tc>
        <w:tc>
          <w:tcPr>
            <w:tcW w:w="6732" w:type="dxa"/>
            <w:gridSpan w:val="4"/>
            <w:shd w:val="clear" w:color="auto" w:fill="auto"/>
          </w:tcPr>
          <w:p w:rsidR="00BB0180" w:rsidRPr="001D200B" w:rsidRDefault="00BB0180" w:rsidP="00DC52F8">
            <w:pPr>
              <w:spacing w:before="100" w:beforeAutospacing="1" w:after="100" w:afterAutospacing="1"/>
              <w:jc w:val="center"/>
            </w:pPr>
            <w:r w:rsidRPr="001D200B">
              <w:t>(w tys. Nm</w:t>
            </w:r>
            <w:r w:rsidRPr="001D200B">
              <w:rPr>
                <w:vertAlign w:val="superscript"/>
              </w:rPr>
              <w:t>3</w:t>
            </w:r>
            <w:r w:rsidRPr="001D200B">
              <w:t>)</w:t>
            </w:r>
          </w:p>
        </w:tc>
      </w:tr>
      <w:tr w:rsidR="00DC52F8" w:rsidRPr="001D200B" w:rsidTr="00DC52F8">
        <w:trPr>
          <w:trHeight w:val="562"/>
        </w:trPr>
        <w:tc>
          <w:tcPr>
            <w:tcW w:w="2410" w:type="dxa"/>
            <w:shd w:val="clear" w:color="auto" w:fill="D6E3BC" w:themeFill="accent3" w:themeFillTint="66"/>
            <w:vAlign w:val="center"/>
          </w:tcPr>
          <w:p w:rsidR="00DC52F8" w:rsidRPr="001D200B" w:rsidRDefault="00DC52F8" w:rsidP="00DC52F8">
            <w:pPr>
              <w:spacing w:before="100" w:beforeAutospacing="1" w:after="100" w:afterAutospacing="1"/>
              <w:jc w:val="left"/>
              <w:rPr>
                <w:b/>
              </w:rPr>
            </w:pPr>
            <w:r w:rsidRPr="001D200B">
              <w:rPr>
                <w:b/>
              </w:rPr>
              <w:t xml:space="preserve">WARIANT I </w:t>
            </w:r>
          </w:p>
        </w:tc>
        <w:tc>
          <w:tcPr>
            <w:tcW w:w="2196" w:type="dxa"/>
            <w:shd w:val="clear" w:color="auto" w:fill="auto"/>
            <w:vAlign w:val="bottom"/>
          </w:tcPr>
          <w:p w:rsidR="00DC52F8" w:rsidRPr="001D200B" w:rsidRDefault="00DC52F8">
            <w:pPr>
              <w:jc w:val="center"/>
              <w:rPr>
                <w:rFonts w:cstheme="minorHAnsi"/>
                <w:szCs w:val="24"/>
              </w:rPr>
            </w:pPr>
            <w:r w:rsidRPr="001D200B">
              <w:rPr>
                <w:rFonts w:cstheme="minorHAnsi"/>
                <w:szCs w:val="24"/>
              </w:rPr>
              <w:t>255,0</w:t>
            </w:r>
          </w:p>
        </w:tc>
        <w:tc>
          <w:tcPr>
            <w:tcW w:w="2292" w:type="dxa"/>
            <w:gridSpan w:val="2"/>
            <w:shd w:val="clear" w:color="auto" w:fill="auto"/>
            <w:vAlign w:val="bottom"/>
          </w:tcPr>
          <w:p w:rsidR="00DC52F8" w:rsidRPr="001D200B" w:rsidRDefault="00DC52F8">
            <w:pPr>
              <w:jc w:val="center"/>
              <w:rPr>
                <w:rFonts w:cstheme="minorHAnsi"/>
                <w:szCs w:val="24"/>
              </w:rPr>
            </w:pPr>
            <w:r w:rsidRPr="001D200B">
              <w:rPr>
                <w:rFonts w:cstheme="minorHAnsi"/>
                <w:szCs w:val="24"/>
              </w:rPr>
              <w:t>335,0</w:t>
            </w:r>
          </w:p>
        </w:tc>
        <w:tc>
          <w:tcPr>
            <w:tcW w:w="2244" w:type="dxa"/>
            <w:shd w:val="clear" w:color="auto" w:fill="auto"/>
            <w:vAlign w:val="bottom"/>
          </w:tcPr>
          <w:p w:rsidR="00DC52F8" w:rsidRPr="001D200B" w:rsidRDefault="00DC52F8">
            <w:pPr>
              <w:jc w:val="center"/>
              <w:rPr>
                <w:rFonts w:cstheme="minorHAnsi"/>
                <w:szCs w:val="24"/>
              </w:rPr>
            </w:pPr>
            <w:r w:rsidRPr="001D200B">
              <w:rPr>
                <w:rFonts w:cstheme="minorHAnsi"/>
                <w:szCs w:val="24"/>
              </w:rPr>
              <w:t>415,0</w:t>
            </w:r>
          </w:p>
        </w:tc>
      </w:tr>
      <w:tr w:rsidR="00DC52F8" w:rsidRPr="001D200B" w:rsidTr="005B1D14">
        <w:trPr>
          <w:trHeight w:val="667"/>
        </w:trPr>
        <w:tc>
          <w:tcPr>
            <w:tcW w:w="2410" w:type="dxa"/>
            <w:shd w:val="clear" w:color="auto" w:fill="E5B8B7" w:themeFill="accent2" w:themeFillTint="66"/>
            <w:vAlign w:val="center"/>
          </w:tcPr>
          <w:p w:rsidR="00DC52F8" w:rsidRPr="001D200B" w:rsidRDefault="00DC52F8" w:rsidP="00DC52F8">
            <w:pPr>
              <w:spacing w:before="100" w:beforeAutospacing="1" w:after="100" w:afterAutospacing="1"/>
              <w:jc w:val="left"/>
              <w:rPr>
                <w:b/>
              </w:rPr>
            </w:pPr>
            <w:r w:rsidRPr="001D200B">
              <w:rPr>
                <w:b/>
              </w:rPr>
              <w:t>WARIANT II</w:t>
            </w:r>
          </w:p>
        </w:tc>
        <w:tc>
          <w:tcPr>
            <w:tcW w:w="2196" w:type="dxa"/>
            <w:shd w:val="clear" w:color="auto" w:fill="auto"/>
            <w:vAlign w:val="bottom"/>
          </w:tcPr>
          <w:p w:rsidR="00DC52F8" w:rsidRPr="001D200B" w:rsidRDefault="00DC52F8">
            <w:pPr>
              <w:jc w:val="center"/>
              <w:rPr>
                <w:rFonts w:cstheme="minorHAnsi"/>
                <w:szCs w:val="24"/>
              </w:rPr>
            </w:pPr>
            <w:r w:rsidRPr="001D200B">
              <w:rPr>
                <w:rFonts w:cstheme="minorHAnsi"/>
                <w:szCs w:val="24"/>
              </w:rPr>
              <w:t>468,0</w:t>
            </w:r>
          </w:p>
        </w:tc>
        <w:tc>
          <w:tcPr>
            <w:tcW w:w="2292" w:type="dxa"/>
            <w:gridSpan w:val="2"/>
            <w:shd w:val="clear" w:color="auto" w:fill="auto"/>
            <w:vAlign w:val="bottom"/>
          </w:tcPr>
          <w:p w:rsidR="00DC52F8" w:rsidRPr="001D200B" w:rsidRDefault="00DC52F8">
            <w:pPr>
              <w:jc w:val="center"/>
              <w:rPr>
                <w:rFonts w:cstheme="minorHAnsi"/>
                <w:szCs w:val="24"/>
              </w:rPr>
            </w:pPr>
            <w:r w:rsidRPr="001D200B">
              <w:rPr>
                <w:rFonts w:cstheme="minorHAnsi"/>
                <w:szCs w:val="24"/>
              </w:rPr>
              <w:t>756,0</w:t>
            </w:r>
          </w:p>
        </w:tc>
        <w:tc>
          <w:tcPr>
            <w:tcW w:w="2244" w:type="dxa"/>
            <w:shd w:val="clear" w:color="auto" w:fill="auto"/>
            <w:vAlign w:val="bottom"/>
          </w:tcPr>
          <w:p w:rsidR="00DC52F8" w:rsidRPr="001D200B" w:rsidRDefault="00DC52F8">
            <w:pPr>
              <w:jc w:val="center"/>
              <w:rPr>
                <w:rFonts w:cstheme="minorHAnsi"/>
                <w:szCs w:val="24"/>
              </w:rPr>
            </w:pPr>
            <w:r w:rsidRPr="001D200B">
              <w:rPr>
                <w:rFonts w:cstheme="minorHAnsi"/>
                <w:szCs w:val="24"/>
              </w:rPr>
              <w:t>1122,0</w:t>
            </w:r>
          </w:p>
        </w:tc>
      </w:tr>
    </w:tbl>
    <w:p w:rsidR="00E73DD5" w:rsidRPr="001D200B" w:rsidRDefault="00E73DD5" w:rsidP="00F339DA">
      <w:pPr>
        <w:pStyle w:val="Tekstpodstawowy2"/>
        <w:rPr>
          <w:rFonts w:cstheme="minorHAnsi"/>
          <w:highlight w:val="yellow"/>
        </w:rPr>
      </w:pPr>
    </w:p>
    <w:p w:rsidR="00DF1DE3" w:rsidRPr="001D200B" w:rsidRDefault="00DF1DE3">
      <w:pPr>
        <w:spacing w:before="0" w:after="0" w:line="240" w:lineRule="auto"/>
        <w:jc w:val="left"/>
        <w:rPr>
          <w:rFonts w:cstheme="minorHAnsi"/>
          <w:highlight w:val="yellow"/>
        </w:rPr>
      </w:pPr>
      <w:r w:rsidRPr="001D200B">
        <w:rPr>
          <w:rFonts w:cstheme="minorHAnsi"/>
          <w:highlight w:val="yellow"/>
        </w:rPr>
        <w:br w:type="page"/>
      </w:r>
    </w:p>
    <w:p w:rsidR="00983289" w:rsidRPr="001D200B" w:rsidRDefault="001435B7" w:rsidP="001435B7">
      <w:pPr>
        <w:pStyle w:val="Tytu"/>
        <w:rPr>
          <w:rFonts w:cstheme="minorHAnsi"/>
          <w:b/>
        </w:rPr>
      </w:pPr>
      <w:bookmarkStart w:id="80" w:name="_Toc31371913"/>
      <w:r w:rsidRPr="001D200B">
        <w:rPr>
          <w:rFonts w:cstheme="minorHAnsi"/>
          <w:b/>
        </w:rPr>
        <w:lastRenderedPageBreak/>
        <w:t xml:space="preserve">Wykres </w:t>
      </w:r>
      <w:r w:rsidR="005B7234" w:rsidRPr="001D200B">
        <w:rPr>
          <w:rFonts w:cstheme="minorHAnsi"/>
          <w:b/>
        </w:rPr>
        <w:fldChar w:fldCharType="begin"/>
      </w:r>
      <w:r w:rsidR="00F200FE" w:rsidRPr="001D200B">
        <w:rPr>
          <w:rFonts w:cstheme="minorHAnsi"/>
          <w:b/>
        </w:rPr>
        <w:instrText xml:space="preserve"> SEQ Wykres \* ARABIC </w:instrText>
      </w:r>
      <w:r w:rsidR="005B7234" w:rsidRPr="001D200B">
        <w:rPr>
          <w:rFonts w:cstheme="minorHAnsi"/>
          <w:b/>
        </w:rPr>
        <w:fldChar w:fldCharType="separate"/>
      </w:r>
      <w:r w:rsidR="00975320" w:rsidRPr="001D200B">
        <w:rPr>
          <w:rFonts w:cstheme="minorHAnsi"/>
          <w:b/>
          <w:noProof/>
        </w:rPr>
        <w:t>11</w:t>
      </w:r>
      <w:r w:rsidR="005B7234" w:rsidRPr="001D200B">
        <w:rPr>
          <w:rFonts w:cstheme="minorHAnsi"/>
          <w:b/>
        </w:rPr>
        <w:fldChar w:fldCharType="end"/>
      </w:r>
      <w:r w:rsidRPr="001D200B">
        <w:rPr>
          <w:rFonts w:cstheme="minorHAnsi"/>
          <w:b/>
        </w:rPr>
        <w:t>. Prognozowane zużycie gazu ziemnego na terenie gminy Połaniec w</w:t>
      </w:r>
      <w:r w:rsidR="00DF1DE3" w:rsidRPr="001D200B">
        <w:rPr>
          <w:rFonts w:cstheme="minorHAnsi"/>
          <w:b/>
        </w:rPr>
        <w:t>edług wariantów [w tys. Nm</w:t>
      </w:r>
      <w:r w:rsidR="00DF1DE3" w:rsidRPr="001D200B">
        <w:rPr>
          <w:rFonts w:cstheme="minorHAnsi"/>
          <w:b/>
          <w:vertAlign w:val="superscript"/>
        </w:rPr>
        <w:t>3</w:t>
      </w:r>
      <w:r w:rsidR="00DF1DE3" w:rsidRPr="001D200B">
        <w:rPr>
          <w:rFonts w:cstheme="minorHAnsi"/>
          <w:b/>
        </w:rPr>
        <w:t>]</w:t>
      </w:r>
      <w:bookmarkEnd w:id="80"/>
    </w:p>
    <w:p w:rsidR="001435B7" w:rsidRPr="001D200B" w:rsidRDefault="00697088" w:rsidP="001435B7">
      <w:pPr>
        <w:rPr>
          <w:rFonts w:cstheme="minorHAnsi"/>
          <w:highlight w:val="yellow"/>
        </w:rPr>
      </w:pPr>
      <w:r w:rsidRPr="001D200B">
        <w:rPr>
          <w:rFonts w:cstheme="minorHAnsi"/>
          <w:noProof/>
          <w:highlight w:val="yellow"/>
        </w:rPr>
        <w:drawing>
          <wp:anchor distT="0" distB="0" distL="114300" distR="114300" simplePos="0" relativeHeight="251667456" behindDoc="0" locked="0" layoutInCell="1" allowOverlap="1">
            <wp:simplePos x="0" y="0"/>
            <wp:positionH relativeFrom="column">
              <wp:posOffset>-5080</wp:posOffset>
            </wp:positionH>
            <wp:positionV relativeFrom="paragraph">
              <wp:posOffset>2540</wp:posOffset>
            </wp:positionV>
            <wp:extent cx="5800725" cy="2790825"/>
            <wp:effectExtent l="0" t="0" r="0" b="0"/>
            <wp:wrapTight wrapText="bothSides">
              <wp:wrapPolygon edited="0">
                <wp:start x="1135" y="590"/>
                <wp:lineTo x="1135" y="1180"/>
                <wp:lineTo x="2128" y="2949"/>
                <wp:lineTo x="1277" y="3096"/>
                <wp:lineTo x="638" y="3981"/>
                <wp:lineTo x="780" y="15334"/>
                <wp:lineTo x="1632" y="17103"/>
                <wp:lineTo x="1915" y="17103"/>
                <wp:lineTo x="1915" y="17840"/>
                <wp:lineTo x="3972" y="19462"/>
                <wp:lineTo x="4895" y="19610"/>
                <wp:lineTo x="8300" y="20494"/>
                <wp:lineTo x="8583" y="20494"/>
                <wp:lineTo x="13691" y="20494"/>
                <wp:lineTo x="14045" y="20494"/>
                <wp:lineTo x="17592" y="19610"/>
                <wp:lineTo x="18018" y="19462"/>
                <wp:lineTo x="20075" y="17545"/>
                <wp:lineTo x="20075" y="2949"/>
                <wp:lineTo x="20004" y="885"/>
                <wp:lineTo x="19933" y="590"/>
                <wp:lineTo x="1135" y="590"/>
              </wp:wrapPolygon>
            </wp:wrapTight>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anchor>
        </w:drawing>
      </w:r>
    </w:p>
    <w:p w:rsidR="001435B7" w:rsidRPr="001D200B" w:rsidRDefault="001435B7" w:rsidP="001435B7">
      <w:pPr>
        <w:rPr>
          <w:rFonts w:cstheme="minorHAnsi"/>
          <w:highlight w:val="yellow"/>
        </w:rPr>
      </w:pPr>
    </w:p>
    <w:p w:rsidR="001435B7" w:rsidRPr="001D200B" w:rsidRDefault="001435B7" w:rsidP="001435B7">
      <w:pPr>
        <w:rPr>
          <w:rFonts w:cstheme="minorHAnsi"/>
          <w:highlight w:val="yellow"/>
        </w:rPr>
      </w:pPr>
    </w:p>
    <w:p w:rsidR="001435B7" w:rsidRPr="001D200B" w:rsidRDefault="001435B7" w:rsidP="001435B7">
      <w:pPr>
        <w:rPr>
          <w:rFonts w:cstheme="minorHAnsi"/>
          <w:highlight w:val="yellow"/>
        </w:rPr>
      </w:pPr>
    </w:p>
    <w:p w:rsidR="001435B7" w:rsidRPr="001D200B" w:rsidRDefault="001435B7" w:rsidP="001435B7">
      <w:pPr>
        <w:rPr>
          <w:rFonts w:cstheme="minorHAnsi"/>
          <w:highlight w:val="yellow"/>
        </w:rPr>
      </w:pPr>
    </w:p>
    <w:p w:rsidR="001435B7" w:rsidRPr="001D200B" w:rsidRDefault="001435B7" w:rsidP="001435B7">
      <w:pPr>
        <w:rPr>
          <w:rFonts w:cstheme="minorHAnsi"/>
          <w:highlight w:val="yellow"/>
        </w:rPr>
      </w:pPr>
    </w:p>
    <w:p w:rsidR="001435B7" w:rsidRPr="001D200B" w:rsidRDefault="001435B7" w:rsidP="001435B7">
      <w:pPr>
        <w:rPr>
          <w:rFonts w:cstheme="minorHAnsi"/>
          <w:highlight w:val="yellow"/>
        </w:rPr>
      </w:pPr>
    </w:p>
    <w:p w:rsidR="001435B7" w:rsidRPr="001D200B" w:rsidRDefault="001435B7" w:rsidP="001435B7">
      <w:pPr>
        <w:rPr>
          <w:rFonts w:cstheme="minorHAnsi"/>
          <w:highlight w:val="yellow"/>
        </w:rPr>
      </w:pPr>
    </w:p>
    <w:p w:rsidR="001435B7" w:rsidRPr="001D200B" w:rsidRDefault="001435B7" w:rsidP="001435B7">
      <w:pPr>
        <w:rPr>
          <w:rFonts w:cstheme="minorHAnsi"/>
          <w:highlight w:val="yellow"/>
        </w:rPr>
      </w:pPr>
    </w:p>
    <w:p w:rsidR="001435B7" w:rsidRPr="001D200B" w:rsidRDefault="001435B7" w:rsidP="001435B7">
      <w:pPr>
        <w:rPr>
          <w:rFonts w:cstheme="minorHAnsi"/>
          <w:highlight w:val="yellow"/>
        </w:rPr>
      </w:pPr>
    </w:p>
    <w:p w:rsidR="00F339DA" w:rsidRPr="001D200B" w:rsidRDefault="00DF1DE3" w:rsidP="001C3911">
      <w:pPr>
        <w:pStyle w:val="Nagwek2"/>
        <w:rPr>
          <w:rFonts w:cstheme="minorHAnsi"/>
        </w:rPr>
      </w:pPr>
      <w:bookmarkStart w:id="81" w:name="_Toc31972838"/>
      <w:r w:rsidRPr="001D200B">
        <w:rPr>
          <w:rFonts w:cstheme="minorHAnsi"/>
        </w:rPr>
        <w:t>4</w:t>
      </w:r>
      <w:r w:rsidR="00F339DA" w:rsidRPr="001D200B">
        <w:rPr>
          <w:rFonts w:cstheme="minorHAnsi"/>
        </w:rPr>
        <w:t>. Zamierzenia inwestycyjne</w:t>
      </w:r>
      <w:bookmarkEnd w:id="81"/>
    </w:p>
    <w:p w:rsidR="00E271A2" w:rsidRPr="001D200B" w:rsidRDefault="00E271A2" w:rsidP="00E271A2">
      <w:r w:rsidRPr="001D200B">
        <w:t>Istniejąca sieć dystrybucyjna jest w dobrym stanie technicznym, zapewnia bezpieczne dostawy paliwa dla istniejących odbiorców.</w:t>
      </w:r>
    </w:p>
    <w:p w:rsidR="00E271A2" w:rsidRPr="001D200B" w:rsidRDefault="00E271A2" w:rsidP="00E271A2">
      <w:r w:rsidRPr="001D200B">
        <w:t>Przedsiębiorstwo gazownicze PSG sp. z o.o. Oddział Zakład Gazowniczy w Kielcach, prace modernizacyjne na istniejącej sieci gazowej prowadzi sukcesywnie w uzależnieniu od stanu technicznego infrastruktury gazowej.</w:t>
      </w:r>
    </w:p>
    <w:p w:rsidR="00E271A2" w:rsidRPr="001D200B" w:rsidRDefault="00E271A2" w:rsidP="00E271A2">
      <w:r w:rsidRPr="001D200B">
        <w:t xml:space="preserve">Rozbudowa sieci dla potrzeb przyłączenia nowych odbiorców ma charakter komercyjny i uwarunkowana jest wynikiem rachunku ekonomicznej opłacalności przeprowadzenia inwestycji przez przedsiębiorstwo gazownicze. Zgodnie z informacjami przedsiębiorstwa gazowniczego PSG sp. z o.o. Oddział Zakład Gazowniczy w Kielcach rozbudowa sieci dla gminy Połaniec może nastąpić po uprzednim zawarciu umowy o przyłączenie do sieci gazowej, pod warunkiem spełnienia kryteriów technicznych i ekonomicznych inwestycji (zgodnie z ustawą </w:t>
      </w:r>
      <w:r w:rsidRPr="001D200B">
        <w:rPr>
          <w:i/>
        </w:rPr>
        <w:t>prawo energetyczne</w:t>
      </w:r>
      <w:r w:rsidRPr="001D200B">
        <w:t xml:space="preserve"> Dz. U. z 2019, poz. 755 ze zm.). </w:t>
      </w:r>
    </w:p>
    <w:p w:rsidR="00E271A2" w:rsidRPr="001D200B" w:rsidRDefault="00E271A2" w:rsidP="00E271A2">
      <w:r w:rsidRPr="001D200B">
        <w:t>Rachunek ekonomiczny w przypadku mieszkalnictwa nierzadko daje wynik na pograniczu opłacalności, w szczególności w obszarach słabiej zurbanizowanych, gdzie konieczna jest realizacja długich odcinków sieci przy stosunkowo niewielkiej liczbie odbiorców. Niem</w:t>
      </w:r>
      <w:r w:rsidR="00FB104C" w:rsidRPr="001D200B">
        <w:t xml:space="preserve">niej w zakresie sieci gazowej </w:t>
      </w:r>
      <w:r w:rsidRPr="001D200B">
        <w:t>należy założyć rozbudowę istniejącego układu dystrybucyjnego</w:t>
      </w:r>
      <w:r w:rsidR="00FB104C" w:rsidRPr="001D200B">
        <w:t xml:space="preserve"> na ternie miasta oraz w obszarach zwartych zespołów zabudowy wsi.</w:t>
      </w:r>
      <w:r w:rsidRPr="001D200B">
        <w:t xml:space="preserve"> </w:t>
      </w:r>
    </w:p>
    <w:p w:rsidR="00FB104C" w:rsidRPr="001D200B" w:rsidRDefault="00FB104C" w:rsidP="00E271A2"/>
    <w:p w:rsidR="00FB104C" w:rsidRPr="001D200B" w:rsidRDefault="00FB104C" w:rsidP="00FB104C">
      <w:pPr>
        <w:pStyle w:val="Nagwek2"/>
      </w:pPr>
      <w:bookmarkStart w:id="82" w:name="_Toc26346412"/>
      <w:bookmarkStart w:id="83" w:name="_Toc31972839"/>
      <w:r w:rsidRPr="001D200B">
        <w:lastRenderedPageBreak/>
        <w:t>5. Lokalne nadwyżki oraz zasoby paliw gazowych</w:t>
      </w:r>
      <w:bookmarkEnd w:id="82"/>
      <w:bookmarkEnd w:id="83"/>
    </w:p>
    <w:p w:rsidR="00FB104C" w:rsidRPr="001D200B" w:rsidRDefault="00FB104C" w:rsidP="00E271A2">
      <w:r w:rsidRPr="001D200B">
        <w:t xml:space="preserve">Przedsiębiorstwo gazownicze PSG sp. z o.o. Oddział Zakład Gazowniczy w Kielcach posiada rezerwę gazu dla potrzeb dalszej gazyfikacji gminy Połaniec. </w:t>
      </w:r>
    </w:p>
    <w:p w:rsidR="00A96FC2" w:rsidRPr="001D200B" w:rsidRDefault="00A96FC2" w:rsidP="00A96FC2">
      <w:pPr>
        <w:rPr>
          <w:rFonts w:cstheme="minorHAnsi"/>
          <w:highlight w:val="yellow"/>
        </w:rPr>
      </w:pPr>
    </w:p>
    <w:p w:rsidR="00E931B6" w:rsidRPr="001D200B" w:rsidRDefault="00E931B6" w:rsidP="00A96FC2">
      <w:pPr>
        <w:rPr>
          <w:rFonts w:cstheme="minorHAnsi"/>
          <w:bCs/>
          <w:highlight w:val="yellow"/>
        </w:rPr>
        <w:sectPr w:rsidR="00E931B6" w:rsidRPr="001D200B" w:rsidSect="00E931B6">
          <w:pgSz w:w="11906" w:h="16838"/>
          <w:pgMar w:top="1418" w:right="1418" w:bottom="1418" w:left="1418" w:header="709" w:footer="709" w:gutter="0"/>
          <w:cols w:space="708"/>
          <w:docGrid w:linePitch="360"/>
        </w:sectPr>
      </w:pPr>
    </w:p>
    <w:p w:rsidR="00993A71" w:rsidRPr="001D200B" w:rsidRDefault="00993A71" w:rsidP="0092622E">
      <w:pPr>
        <w:pStyle w:val="Nagwek1"/>
        <w:rPr>
          <w:rFonts w:cstheme="minorHAnsi"/>
          <w:snapToGrid w:val="0"/>
        </w:rPr>
      </w:pPr>
      <w:bookmarkStart w:id="84" w:name="_Toc31972840"/>
      <w:bookmarkEnd w:id="35"/>
      <w:r w:rsidRPr="001D200B">
        <w:rPr>
          <w:rFonts w:cstheme="minorHAnsi"/>
        </w:rPr>
        <w:lastRenderedPageBreak/>
        <w:t xml:space="preserve">VI. </w:t>
      </w:r>
      <w:r w:rsidRPr="001D200B">
        <w:rPr>
          <w:rFonts w:cstheme="minorHAnsi"/>
          <w:snapToGrid w:val="0"/>
        </w:rPr>
        <w:t>Przedsięwzięcia racjonalizujące użytkowanie ciepła, energii elektrycznej i</w:t>
      </w:r>
      <w:r w:rsidR="0092622E" w:rsidRPr="001D200B">
        <w:rPr>
          <w:rFonts w:cstheme="minorHAnsi"/>
          <w:snapToGrid w:val="0"/>
        </w:rPr>
        <w:t xml:space="preserve"> </w:t>
      </w:r>
      <w:r w:rsidRPr="001D200B">
        <w:rPr>
          <w:rFonts w:cstheme="minorHAnsi"/>
          <w:snapToGrid w:val="0"/>
        </w:rPr>
        <w:t>paliw gazowych</w:t>
      </w:r>
      <w:r w:rsidR="0072448C" w:rsidRPr="001D200B">
        <w:rPr>
          <w:rFonts w:cstheme="minorHAnsi"/>
          <w:snapToGrid w:val="0"/>
        </w:rPr>
        <w:t xml:space="preserve"> oraz ocena możliwości stosowania środków poprawy efektywności energetycznej</w:t>
      </w:r>
      <w:bookmarkEnd w:id="84"/>
    </w:p>
    <w:p w:rsidR="0072448C" w:rsidRPr="001D200B" w:rsidRDefault="0072448C" w:rsidP="0072448C">
      <w:pPr>
        <w:pStyle w:val="Nagwek2"/>
        <w:rPr>
          <w:rFonts w:cstheme="minorHAnsi"/>
        </w:rPr>
      </w:pPr>
      <w:bookmarkStart w:id="85" w:name="_Toc31972841"/>
      <w:r w:rsidRPr="001D200B">
        <w:rPr>
          <w:rFonts w:cstheme="minorHAnsi"/>
        </w:rPr>
        <w:t>1. Przedsięwzięcia racjonalizujące użytkowanie ciepła, energii elektrycznej i paliw gazowych</w:t>
      </w:r>
      <w:bookmarkEnd w:id="85"/>
    </w:p>
    <w:p w:rsidR="006C3AC2" w:rsidRPr="001D200B" w:rsidRDefault="006C3AC2" w:rsidP="006C3AC2">
      <w:r w:rsidRPr="001D200B">
        <w:t>Racjonalizacja użytkowania ciepła, energii elektrycznej i paliw gazowych sprowadza się do poprawy efektywności ekonomicznej wykorzystania nośników energii przy jednoczesnej minimalizacji szkodliwego oddziaływania na środowisko. Cel ten może zostać osiągnięty poprzez podejmowanie określonych działań w następujących obszarach:</w:t>
      </w:r>
    </w:p>
    <w:p w:rsidR="000A308D" w:rsidRPr="001D200B" w:rsidRDefault="000A308D" w:rsidP="00F47855">
      <w:pPr>
        <w:shd w:val="clear" w:color="auto" w:fill="F2F2F2" w:themeFill="background1" w:themeFillShade="F2"/>
        <w:rPr>
          <w:b/>
        </w:rPr>
      </w:pPr>
      <w:r w:rsidRPr="001D200B">
        <w:rPr>
          <w:b/>
        </w:rPr>
        <w:t>Źródła ciepła</w:t>
      </w:r>
    </w:p>
    <w:p w:rsidR="000A308D" w:rsidRPr="001D200B" w:rsidRDefault="000A308D" w:rsidP="000A308D">
      <w:r w:rsidRPr="001D200B">
        <w:t>W części budynków na terenie gminy funkcjonują indywidualne instalacje grzewcze bazujące na paliwach stałych (paliwa węglowe) oraz innych paliwach (w tym na paliwach gazowych). Źródła ciepła, które z uwagi na długi okres eksploatacji są przestarzałe i charakteryzują się niską sprawnością winny być wymieniane na kotły tzw. nowej generacji. Sprawność urządzeń grzewczych w zależności od rodzaju przedstawia się następująco:</w:t>
      </w:r>
    </w:p>
    <w:p w:rsidR="000A308D" w:rsidRPr="001D200B" w:rsidRDefault="000A308D" w:rsidP="00F006D6">
      <w:pPr>
        <w:pStyle w:val="Punktory"/>
        <w:rPr>
          <w:lang w:val="pl-PL"/>
        </w:rPr>
      </w:pPr>
      <w:r w:rsidRPr="001D200B">
        <w:rPr>
          <w:lang w:val="pl-PL"/>
        </w:rPr>
        <w:t xml:space="preserve">20-25% dla pieców węglowych, </w:t>
      </w:r>
    </w:p>
    <w:p w:rsidR="000A308D" w:rsidRPr="001D200B" w:rsidRDefault="000A308D" w:rsidP="00F006D6">
      <w:pPr>
        <w:pStyle w:val="Punktory"/>
        <w:rPr>
          <w:lang w:val="pl-PL"/>
        </w:rPr>
      </w:pPr>
      <w:r w:rsidRPr="001D200B">
        <w:rPr>
          <w:lang w:val="pl-PL"/>
        </w:rPr>
        <w:t xml:space="preserve">50-70% dla kotłów węglowych, </w:t>
      </w:r>
    </w:p>
    <w:p w:rsidR="000A308D" w:rsidRPr="001D200B" w:rsidRDefault="000A308D" w:rsidP="00F006D6">
      <w:pPr>
        <w:pStyle w:val="Punktory"/>
        <w:rPr>
          <w:lang w:val="pl-PL"/>
        </w:rPr>
      </w:pPr>
      <w:r w:rsidRPr="001D200B">
        <w:rPr>
          <w:lang w:val="pl-PL"/>
        </w:rPr>
        <w:t>do 95% dla kotłów gazowych tradycyjnych,</w:t>
      </w:r>
    </w:p>
    <w:p w:rsidR="000A308D" w:rsidRPr="001D200B" w:rsidRDefault="000A308D" w:rsidP="00F006D6">
      <w:pPr>
        <w:pStyle w:val="Punktory"/>
        <w:rPr>
          <w:lang w:val="pl-PL"/>
        </w:rPr>
      </w:pPr>
      <w:r w:rsidRPr="001D200B">
        <w:rPr>
          <w:lang w:val="pl-PL"/>
        </w:rPr>
        <w:t>do 108% dla kotłów gazowych kondensacyjnych,</w:t>
      </w:r>
    </w:p>
    <w:p w:rsidR="000A308D" w:rsidRPr="001D200B" w:rsidRDefault="000A308D" w:rsidP="00F006D6">
      <w:pPr>
        <w:pStyle w:val="Punktory"/>
        <w:rPr>
          <w:lang w:val="pl-PL"/>
        </w:rPr>
      </w:pPr>
      <w:r w:rsidRPr="001D200B">
        <w:rPr>
          <w:lang w:val="pl-PL"/>
        </w:rPr>
        <w:t>90%- 95% dla kotłów olejowych tradycyjnych,</w:t>
      </w:r>
    </w:p>
    <w:p w:rsidR="000A308D" w:rsidRPr="001D200B" w:rsidRDefault="000A308D" w:rsidP="00F006D6">
      <w:pPr>
        <w:pStyle w:val="Punktory"/>
        <w:rPr>
          <w:lang w:val="pl-PL"/>
        </w:rPr>
      </w:pPr>
      <w:r w:rsidRPr="001D200B">
        <w:rPr>
          <w:lang w:val="pl-PL"/>
        </w:rPr>
        <w:t>do 98% dla kotłów olejowych kondensacyjnych,</w:t>
      </w:r>
    </w:p>
    <w:p w:rsidR="000A308D" w:rsidRPr="001D200B" w:rsidRDefault="000A308D" w:rsidP="00F006D6">
      <w:pPr>
        <w:pStyle w:val="Punktory"/>
        <w:rPr>
          <w:lang w:val="pl-PL"/>
        </w:rPr>
      </w:pPr>
      <w:r w:rsidRPr="001D200B">
        <w:rPr>
          <w:lang w:val="pl-PL"/>
        </w:rPr>
        <w:t>85 – 95% dla kotłów na pellet drzewny.</w:t>
      </w:r>
    </w:p>
    <w:p w:rsidR="000A308D" w:rsidRPr="001D200B" w:rsidRDefault="000A308D" w:rsidP="000A308D">
      <w:r w:rsidRPr="001D200B">
        <w:t xml:space="preserve">Wymiana źródeł ciepła przynosi nie tylko efekt ekonomiczny (wyższa sprawność urządzenia przyczyni się do ograniczenia ilość spalanego paliwa), ale również znacząco wpływa na emisję zanieczyszczeń gazowych i pyłowych do atmosfery. </w:t>
      </w:r>
    </w:p>
    <w:p w:rsidR="00B23A7C" w:rsidRPr="001D200B" w:rsidRDefault="00B23A7C" w:rsidP="00B23A7C">
      <w:pPr>
        <w:pStyle w:val="Legenda"/>
        <w:rPr>
          <w:rFonts w:cstheme="minorHAnsi"/>
          <w:color w:val="auto"/>
        </w:rPr>
      </w:pPr>
      <w:bookmarkStart w:id="86" w:name="_Toc39476584"/>
      <w:r w:rsidRPr="001D200B">
        <w:rPr>
          <w:color w:val="auto"/>
        </w:rPr>
        <w:t xml:space="preserve">Tabela </w:t>
      </w:r>
      <w:r w:rsidR="005B7234" w:rsidRPr="001D200B">
        <w:rPr>
          <w:color w:val="auto"/>
        </w:rPr>
        <w:fldChar w:fldCharType="begin"/>
      </w:r>
      <w:r w:rsidR="005B7234" w:rsidRPr="001D200B">
        <w:rPr>
          <w:color w:val="auto"/>
        </w:rPr>
        <w:instrText xml:space="preserve"> SEQ Tabela \* ARABIC </w:instrText>
      </w:r>
      <w:r w:rsidR="005B7234" w:rsidRPr="001D200B">
        <w:rPr>
          <w:color w:val="auto"/>
        </w:rPr>
        <w:fldChar w:fldCharType="separate"/>
      </w:r>
      <w:r w:rsidR="00D2721B" w:rsidRPr="001D200B">
        <w:rPr>
          <w:noProof/>
          <w:color w:val="auto"/>
        </w:rPr>
        <w:t>32</w:t>
      </w:r>
      <w:r w:rsidR="005B7234" w:rsidRPr="001D200B">
        <w:rPr>
          <w:color w:val="auto"/>
        </w:rPr>
        <w:fldChar w:fldCharType="end"/>
      </w:r>
      <w:r w:rsidRPr="001D200B">
        <w:rPr>
          <w:rFonts w:cstheme="minorHAnsi"/>
          <w:color w:val="auto"/>
        </w:rPr>
        <w:t>. Porównanie przeciętnych kosztów wytworzenia 1kWh ciepła dla różnych rodzajów nośnika energii (przy założonym zapotrzebowaniu 15 kW)</w:t>
      </w:r>
      <w:bookmarkEnd w:id="86"/>
    </w:p>
    <w:tbl>
      <w:tblPr>
        <w:tblStyle w:val="Tabela-Siatka"/>
        <w:tblW w:w="9606" w:type="dxa"/>
        <w:tblLook w:val="04A0"/>
      </w:tblPr>
      <w:tblGrid>
        <w:gridCol w:w="2605"/>
        <w:gridCol w:w="1614"/>
        <w:gridCol w:w="1469"/>
        <w:gridCol w:w="1366"/>
        <w:gridCol w:w="1367"/>
        <w:gridCol w:w="1185"/>
      </w:tblGrid>
      <w:tr w:rsidR="00B23A7C" w:rsidRPr="00DC79E0" w:rsidTr="00EE5C38">
        <w:tc>
          <w:tcPr>
            <w:tcW w:w="0" w:type="auto"/>
            <w:shd w:val="clear" w:color="auto" w:fill="F2F2F2" w:themeFill="background1" w:themeFillShade="F2"/>
            <w:vAlign w:val="center"/>
          </w:tcPr>
          <w:p w:rsidR="00B23A7C" w:rsidRPr="00DC79E0" w:rsidRDefault="00B23A7C" w:rsidP="00EE5C38">
            <w:pPr>
              <w:spacing w:before="0" w:after="0" w:line="240" w:lineRule="auto"/>
              <w:jc w:val="center"/>
              <w:rPr>
                <w:rFonts w:cstheme="minorHAnsi"/>
                <w:b/>
                <w:bCs/>
                <w:sz w:val="22"/>
                <w:szCs w:val="22"/>
              </w:rPr>
            </w:pPr>
            <w:r w:rsidRPr="00DC79E0">
              <w:rPr>
                <w:rFonts w:cstheme="minorHAnsi"/>
                <w:b/>
                <w:bCs/>
                <w:sz w:val="22"/>
                <w:szCs w:val="22"/>
              </w:rPr>
              <w:t>Paliwo</w:t>
            </w:r>
          </w:p>
        </w:tc>
        <w:tc>
          <w:tcPr>
            <w:tcW w:w="1614" w:type="dxa"/>
            <w:shd w:val="clear" w:color="auto" w:fill="F2F2F2" w:themeFill="background1" w:themeFillShade="F2"/>
            <w:vAlign w:val="center"/>
          </w:tcPr>
          <w:p w:rsidR="00B23A7C" w:rsidRPr="00DC79E0" w:rsidRDefault="00B23A7C" w:rsidP="00EE5C38">
            <w:pPr>
              <w:spacing w:before="0" w:after="0" w:line="240" w:lineRule="auto"/>
              <w:jc w:val="center"/>
              <w:rPr>
                <w:rFonts w:cstheme="minorHAnsi"/>
                <w:b/>
                <w:bCs/>
                <w:sz w:val="22"/>
                <w:szCs w:val="22"/>
              </w:rPr>
            </w:pPr>
            <w:r w:rsidRPr="00DC79E0">
              <w:rPr>
                <w:rFonts w:cstheme="minorHAnsi"/>
                <w:b/>
                <w:bCs/>
                <w:sz w:val="22"/>
                <w:szCs w:val="22"/>
              </w:rPr>
              <w:t>Wartość opałowa (uśredniona)</w:t>
            </w:r>
          </w:p>
        </w:tc>
        <w:tc>
          <w:tcPr>
            <w:tcW w:w="1469" w:type="dxa"/>
            <w:shd w:val="clear" w:color="auto" w:fill="F2F2F2" w:themeFill="background1" w:themeFillShade="F2"/>
            <w:vAlign w:val="center"/>
          </w:tcPr>
          <w:p w:rsidR="00B23A7C" w:rsidRPr="00DC79E0" w:rsidRDefault="00B23A7C" w:rsidP="00EE5C38">
            <w:pPr>
              <w:spacing w:before="0" w:after="0" w:line="240" w:lineRule="auto"/>
              <w:jc w:val="center"/>
              <w:rPr>
                <w:rFonts w:cstheme="minorHAnsi"/>
                <w:b/>
                <w:bCs/>
                <w:sz w:val="22"/>
                <w:szCs w:val="22"/>
              </w:rPr>
            </w:pPr>
            <w:r w:rsidRPr="00DC79E0">
              <w:rPr>
                <w:rFonts w:cstheme="minorHAnsi"/>
                <w:b/>
                <w:bCs/>
                <w:sz w:val="22"/>
                <w:szCs w:val="22"/>
              </w:rPr>
              <w:t>Cena jednostkowa</w:t>
            </w:r>
          </w:p>
        </w:tc>
        <w:tc>
          <w:tcPr>
            <w:tcW w:w="1366" w:type="dxa"/>
            <w:shd w:val="clear" w:color="auto" w:fill="F2F2F2" w:themeFill="background1" w:themeFillShade="F2"/>
            <w:vAlign w:val="center"/>
          </w:tcPr>
          <w:p w:rsidR="00B23A7C" w:rsidRPr="00DC79E0" w:rsidRDefault="00B23A7C" w:rsidP="00EE5C38">
            <w:pPr>
              <w:spacing w:before="0" w:after="0" w:line="240" w:lineRule="auto"/>
              <w:jc w:val="center"/>
              <w:rPr>
                <w:rFonts w:cstheme="minorHAnsi"/>
                <w:b/>
                <w:bCs/>
                <w:sz w:val="22"/>
                <w:szCs w:val="22"/>
              </w:rPr>
            </w:pPr>
            <w:r w:rsidRPr="00DC79E0">
              <w:rPr>
                <w:rFonts w:cstheme="minorHAnsi"/>
                <w:b/>
                <w:bCs/>
                <w:sz w:val="22"/>
                <w:szCs w:val="22"/>
              </w:rPr>
              <w:t>Cena za</w:t>
            </w:r>
          </w:p>
          <w:p w:rsidR="00B23A7C" w:rsidRPr="00DC79E0" w:rsidRDefault="00B23A7C" w:rsidP="00EE5C38">
            <w:pPr>
              <w:spacing w:before="0" w:after="0" w:line="240" w:lineRule="auto"/>
              <w:jc w:val="center"/>
              <w:rPr>
                <w:rFonts w:cstheme="minorHAnsi"/>
                <w:b/>
                <w:bCs/>
                <w:sz w:val="22"/>
                <w:szCs w:val="22"/>
              </w:rPr>
            </w:pPr>
            <w:r w:rsidRPr="00DC79E0">
              <w:rPr>
                <w:rFonts w:cstheme="minorHAnsi"/>
                <w:b/>
                <w:bCs/>
                <w:sz w:val="22"/>
                <w:szCs w:val="22"/>
              </w:rPr>
              <w:t>1 kWh</w:t>
            </w:r>
          </w:p>
          <w:p w:rsidR="00B23A7C" w:rsidRPr="00DC79E0" w:rsidRDefault="00B23A7C" w:rsidP="00EE5C38">
            <w:pPr>
              <w:spacing w:before="0" w:after="0" w:line="240" w:lineRule="auto"/>
              <w:jc w:val="center"/>
              <w:rPr>
                <w:rFonts w:cstheme="minorHAnsi"/>
                <w:b/>
                <w:bCs/>
                <w:sz w:val="22"/>
                <w:szCs w:val="22"/>
              </w:rPr>
            </w:pPr>
            <w:r w:rsidRPr="00DC79E0">
              <w:rPr>
                <w:rFonts w:cstheme="minorHAnsi"/>
                <w:b/>
                <w:bCs/>
                <w:sz w:val="22"/>
                <w:szCs w:val="22"/>
              </w:rPr>
              <w:t>[zł]</w:t>
            </w:r>
          </w:p>
        </w:tc>
        <w:tc>
          <w:tcPr>
            <w:tcW w:w="1367" w:type="dxa"/>
            <w:shd w:val="clear" w:color="auto" w:fill="F2F2F2" w:themeFill="background1" w:themeFillShade="F2"/>
            <w:vAlign w:val="center"/>
          </w:tcPr>
          <w:p w:rsidR="00B23A7C" w:rsidRPr="00DC79E0" w:rsidRDefault="00B23A7C" w:rsidP="00EE5C38">
            <w:pPr>
              <w:spacing w:before="0" w:after="0" w:line="240" w:lineRule="auto"/>
              <w:jc w:val="center"/>
              <w:rPr>
                <w:rFonts w:cstheme="minorHAnsi"/>
                <w:b/>
                <w:bCs/>
                <w:sz w:val="22"/>
                <w:szCs w:val="22"/>
              </w:rPr>
            </w:pPr>
            <w:r w:rsidRPr="00DC79E0">
              <w:rPr>
                <w:rFonts w:cstheme="minorHAnsi"/>
                <w:b/>
                <w:bCs/>
                <w:sz w:val="22"/>
                <w:szCs w:val="22"/>
              </w:rPr>
              <w:t>Sprawność urządzenia [%]</w:t>
            </w:r>
          </w:p>
        </w:tc>
        <w:tc>
          <w:tcPr>
            <w:tcW w:w="1185" w:type="dxa"/>
            <w:shd w:val="clear" w:color="auto" w:fill="F2F2F2" w:themeFill="background1" w:themeFillShade="F2"/>
            <w:vAlign w:val="center"/>
          </w:tcPr>
          <w:p w:rsidR="00B23A7C" w:rsidRPr="00DC79E0" w:rsidRDefault="00B23A7C" w:rsidP="00EE5C38">
            <w:pPr>
              <w:spacing w:before="0" w:after="0" w:line="240" w:lineRule="auto"/>
              <w:jc w:val="center"/>
              <w:rPr>
                <w:rFonts w:cstheme="minorHAnsi"/>
                <w:b/>
                <w:bCs/>
                <w:sz w:val="22"/>
                <w:szCs w:val="22"/>
              </w:rPr>
            </w:pPr>
            <w:r w:rsidRPr="00DC79E0">
              <w:rPr>
                <w:rFonts w:cstheme="minorHAnsi"/>
                <w:b/>
                <w:bCs/>
                <w:sz w:val="22"/>
                <w:szCs w:val="22"/>
              </w:rPr>
              <w:t>Koszt</w:t>
            </w:r>
          </w:p>
          <w:p w:rsidR="00B23A7C" w:rsidRPr="00DC79E0" w:rsidRDefault="00B23A7C" w:rsidP="00EE5C38">
            <w:pPr>
              <w:spacing w:before="0" w:after="0" w:line="240" w:lineRule="auto"/>
              <w:jc w:val="center"/>
              <w:rPr>
                <w:rFonts w:cstheme="minorHAnsi"/>
                <w:b/>
                <w:bCs/>
                <w:sz w:val="22"/>
                <w:szCs w:val="22"/>
              </w:rPr>
            </w:pPr>
            <w:r w:rsidRPr="00DC79E0">
              <w:rPr>
                <w:rFonts w:cstheme="minorHAnsi"/>
                <w:b/>
                <w:bCs/>
                <w:sz w:val="22"/>
                <w:szCs w:val="22"/>
              </w:rPr>
              <w:t>1 kWh</w:t>
            </w:r>
          </w:p>
          <w:p w:rsidR="00B23A7C" w:rsidRPr="00DC79E0" w:rsidRDefault="00B23A7C" w:rsidP="00EE5C38">
            <w:pPr>
              <w:spacing w:before="0" w:after="0" w:line="240" w:lineRule="auto"/>
              <w:jc w:val="center"/>
              <w:rPr>
                <w:rFonts w:cstheme="minorHAnsi"/>
                <w:b/>
                <w:bCs/>
                <w:sz w:val="22"/>
                <w:szCs w:val="22"/>
              </w:rPr>
            </w:pPr>
            <w:r w:rsidRPr="00DC79E0">
              <w:rPr>
                <w:rFonts w:cstheme="minorHAnsi"/>
                <w:b/>
                <w:bCs/>
                <w:sz w:val="22"/>
                <w:szCs w:val="22"/>
              </w:rPr>
              <w:t>[zł]</w:t>
            </w:r>
          </w:p>
        </w:tc>
      </w:tr>
      <w:tr w:rsidR="00B23A7C" w:rsidRPr="001D200B" w:rsidTr="00EE5C38">
        <w:tc>
          <w:tcPr>
            <w:tcW w:w="0" w:type="auto"/>
          </w:tcPr>
          <w:p w:rsidR="00B23A7C" w:rsidRPr="001D200B" w:rsidRDefault="00B23A7C" w:rsidP="00EE5C38">
            <w:pPr>
              <w:spacing w:before="0" w:after="0" w:line="240" w:lineRule="auto"/>
              <w:jc w:val="left"/>
              <w:rPr>
                <w:rFonts w:cstheme="minorHAnsi"/>
                <w:bCs/>
                <w:szCs w:val="24"/>
              </w:rPr>
            </w:pPr>
            <w:r w:rsidRPr="001D200B">
              <w:rPr>
                <w:rFonts w:cstheme="minorHAnsi"/>
                <w:bCs/>
                <w:szCs w:val="24"/>
              </w:rPr>
              <w:t>Węgiel kamienny</w:t>
            </w:r>
          </w:p>
        </w:tc>
        <w:tc>
          <w:tcPr>
            <w:tcW w:w="1614" w:type="dxa"/>
            <w:vAlign w:val="center"/>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8 kWh/kg</w:t>
            </w:r>
          </w:p>
        </w:tc>
        <w:tc>
          <w:tcPr>
            <w:tcW w:w="1469" w:type="dxa"/>
            <w:vAlign w:val="center"/>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0,80 zł/kg</w:t>
            </w:r>
          </w:p>
        </w:tc>
        <w:tc>
          <w:tcPr>
            <w:tcW w:w="1366" w:type="dxa"/>
            <w:vAlign w:val="center"/>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0,10</w:t>
            </w:r>
          </w:p>
        </w:tc>
        <w:tc>
          <w:tcPr>
            <w:tcW w:w="1367" w:type="dxa"/>
            <w:vAlign w:val="center"/>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70</w:t>
            </w:r>
          </w:p>
        </w:tc>
        <w:tc>
          <w:tcPr>
            <w:tcW w:w="1185" w:type="dxa"/>
            <w:vAlign w:val="center"/>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0,14</w:t>
            </w:r>
          </w:p>
        </w:tc>
      </w:tr>
      <w:tr w:rsidR="00B23A7C" w:rsidRPr="001D200B" w:rsidTr="00EE5C38">
        <w:tc>
          <w:tcPr>
            <w:tcW w:w="0" w:type="auto"/>
          </w:tcPr>
          <w:p w:rsidR="00B23A7C" w:rsidRPr="001D200B" w:rsidRDefault="00B23A7C" w:rsidP="00EE5C38">
            <w:pPr>
              <w:spacing w:before="0" w:after="0" w:line="240" w:lineRule="auto"/>
              <w:jc w:val="left"/>
              <w:rPr>
                <w:rFonts w:cstheme="minorHAnsi"/>
                <w:bCs/>
                <w:szCs w:val="24"/>
              </w:rPr>
            </w:pPr>
            <w:r w:rsidRPr="001D200B">
              <w:rPr>
                <w:rFonts w:cstheme="minorHAnsi"/>
                <w:bCs/>
                <w:szCs w:val="24"/>
              </w:rPr>
              <w:t>Gaz ziemny W3</w:t>
            </w:r>
          </w:p>
        </w:tc>
        <w:tc>
          <w:tcPr>
            <w:tcW w:w="1614" w:type="dxa"/>
            <w:vAlign w:val="center"/>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10 kWh/m</w:t>
            </w:r>
            <w:r w:rsidRPr="001D200B">
              <w:rPr>
                <w:rFonts w:cstheme="minorHAnsi"/>
                <w:bCs/>
                <w:szCs w:val="24"/>
                <w:vertAlign w:val="superscript"/>
              </w:rPr>
              <w:t>3</w:t>
            </w:r>
          </w:p>
        </w:tc>
        <w:tc>
          <w:tcPr>
            <w:tcW w:w="1469" w:type="dxa"/>
            <w:vAlign w:val="center"/>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2,0zł /m</w:t>
            </w:r>
            <w:r w:rsidRPr="001D200B">
              <w:rPr>
                <w:rFonts w:cstheme="minorHAnsi"/>
                <w:bCs/>
                <w:szCs w:val="24"/>
                <w:vertAlign w:val="superscript"/>
              </w:rPr>
              <w:t>3*</w:t>
            </w:r>
          </w:p>
        </w:tc>
        <w:tc>
          <w:tcPr>
            <w:tcW w:w="1366" w:type="dxa"/>
            <w:vAlign w:val="center"/>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0,20</w:t>
            </w:r>
          </w:p>
        </w:tc>
        <w:tc>
          <w:tcPr>
            <w:tcW w:w="1367" w:type="dxa"/>
            <w:vAlign w:val="center"/>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100</w:t>
            </w:r>
          </w:p>
        </w:tc>
        <w:tc>
          <w:tcPr>
            <w:tcW w:w="1185" w:type="dxa"/>
            <w:vAlign w:val="center"/>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0,20</w:t>
            </w:r>
          </w:p>
        </w:tc>
      </w:tr>
      <w:tr w:rsidR="00B23A7C" w:rsidRPr="001D200B" w:rsidTr="00EE5C38">
        <w:tc>
          <w:tcPr>
            <w:tcW w:w="0" w:type="auto"/>
          </w:tcPr>
          <w:p w:rsidR="00B23A7C" w:rsidRPr="001D200B" w:rsidRDefault="00B23A7C" w:rsidP="00EE5C38">
            <w:pPr>
              <w:spacing w:before="0" w:after="0" w:line="240" w:lineRule="auto"/>
              <w:jc w:val="left"/>
              <w:rPr>
                <w:rFonts w:cstheme="minorHAnsi"/>
                <w:bCs/>
                <w:szCs w:val="24"/>
              </w:rPr>
            </w:pPr>
            <w:r w:rsidRPr="001D200B">
              <w:rPr>
                <w:rFonts w:cstheme="minorHAnsi"/>
                <w:bCs/>
                <w:szCs w:val="24"/>
              </w:rPr>
              <w:t>Energia elektryczna/pompa ciepła</w:t>
            </w:r>
          </w:p>
        </w:tc>
        <w:tc>
          <w:tcPr>
            <w:tcW w:w="1614" w:type="dxa"/>
            <w:vAlign w:val="center"/>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1kWh</w:t>
            </w:r>
          </w:p>
        </w:tc>
        <w:tc>
          <w:tcPr>
            <w:tcW w:w="1469" w:type="dxa"/>
            <w:vAlign w:val="center"/>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0,57zł/kWh</w:t>
            </w:r>
          </w:p>
        </w:tc>
        <w:tc>
          <w:tcPr>
            <w:tcW w:w="1366" w:type="dxa"/>
            <w:vAlign w:val="center"/>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0,57</w:t>
            </w:r>
          </w:p>
        </w:tc>
        <w:tc>
          <w:tcPr>
            <w:tcW w:w="1367" w:type="dxa"/>
            <w:vAlign w:val="center"/>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400</w:t>
            </w:r>
          </w:p>
        </w:tc>
        <w:tc>
          <w:tcPr>
            <w:tcW w:w="1185" w:type="dxa"/>
            <w:vAlign w:val="center"/>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0,14</w:t>
            </w:r>
          </w:p>
        </w:tc>
      </w:tr>
      <w:tr w:rsidR="00B23A7C" w:rsidRPr="001D200B" w:rsidTr="00EE5C38">
        <w:tc>
          <w:tcPr>
            <w:tcW w:w="0" w:type="auto"/>
          </w:tcPr>
          <w:p w:rsidR="00B23A7C" w:rsidRPr="001D200B" w:rsidRDefault="00B23A7C" w:rsidP="00EE5C38">
            <w:pPr>
              <w:spacing w:before="0" w:after="0" w:line="240" w:lineRule="auto"/>
              <w:jc w:val="left"/>
              <w:rPr>
                <w:rFonts w:cstheme="minorHAnsi"/>
                <w:bCs/>
                <w:szCs w:val="24"/>
              </w:rPr>
            </w:pPr>
            <w:r w:rsidRPr="001D200B">
              <w:rPr>
                <w:rFonts w:cstheme="minorHAnsi"/>
                <w:bCs/>
                <w:szCs w:val="24"/>
              </w:rPr>
              <w:lastRenderedPageBreak/>
              <w:t>Energia elektryczna/grzejniki elektryczne</w:t>
            </w:r>
          </w:p>
        </w:tc>
        <w:tc>
          <w:tcPr>
            <w:tcW w:w="1614" w:type="dxa"/>
            <w:vAlign w:val="center"/>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1kWh</w:t>
            </w:r>
          </w:p>
        </w:tc>
        <w:tc>
          <w:tcPr>
            <w:tcW w:w="1469" w:type="dxa"/>
            <w:vAlign w:val="center"/>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0,57 zł/kWh</w:t>
            </w:r>
          </w:p>
        </w:tc>
        <w:tc>
          <w:tcPr>
            <w:tcW w:w="1366" w:type="dxa"/>
            <w:vAlign w:val="center"/>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0,57</w:t>
            </w:r>
          </w:p>
        </w:tc>
        <w:tc>
          <w:tcPr>
            <w:tcW w:w="1367" w:type="dxa"/>
            <w:vAlign w:val="center"/>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100</w:t>
            </w:r>
          </w:p>
        </w:tc>
        <w:tc>
          <w:tcPr>
            <w:tcW w:w="1185" w:type="dxa"/>
            <w:vAlign w:val="center"/>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0,57</w:t>
            </w:r>
          </w:p>
        </w:tc>
      </w:tr>
      <w:tr w:rsidR="00B23A7C" w:rsidRPr="001D200B" w:rsidTr="00EE5C38">
        <w:tc>
          <w:tcPr>
            <w:tcW w:w="0" w:type="auto"/>
          </w:tcPr>
          <w:p w:rsidR="00B23A7C" w:rsidRPr="001D200B" w:rsidRDefault="00B23A7C" w:rsidP="00EE5C38">
            <w:pPr>
              <w:spacing w:before="0" w:after="0" w:line="240" w:lineRule="auto"/>
              <w:jc w:val="left"/>
              <w:rPr>
                <w:rFonts w:cstheme="minorHAnsi"/>
                <w:bCs/>
                <w:szCs w:val="24"/>
              </w:rPr>
            </w:pPr>
            <w:r w:rsidRPr="001D200B">
              <w:rPr>
                <w:rFonts w:cstheme="minorHAnsi"/>
                <w:bCs/>
                <w:szCs w:val="24"/>
              </w:rPr>
              <w:t>Olej opałowy</w:t>
            </w:r>
          </w:p>
        </w:tc>
        <w:tc>
          <w:tcPr>
            <w:tcW w:w="1614" w:type="dxa"/>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10 kWh /dm</w:t>
            </w:r>
            <w:r w:rsidRPr="001D200B">
              <w:rPr>
                <w:rFonts w:cstheme="minorHAnsi"/>
                <w:bCs/>
                <w:szCs w:val="24"/>
                <w:vertAlign w:val="superscript"/>
              </w:rPr>
              <w:t>3</w:t>
            </w:r>
          </w:p>
        </w:tc>
        <w:tc>
          <w:tcPr>
            <w:tcW w:w="1469" w:type="dxa"/>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3,0 zł/dm</w:t>
            </w:r>
            <w:r w:rsidRPr="001D200B">
              <w:rPr>
                <w:rFonts w:cstheme="minorHAnsi"/>
                <w:bCs/>
                <w:szCs w:val="24"/>
                <w:vertAlign w:val="superscript"/>
              </w:rPr>
              <w:t>3</w:t>
            </w:r>
          </w:p>
        </w:tc>
        <w:tc>
          <w:tcPr>
            <w:tcW w:w="1366" w:type="dxa"/>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0,30</w:t>
            </w:r>
          </w:p>
        </w:tc>
        <w:tc>
          <w:tcPr>
            <w:tcW w:w="1367" w:type="dxa"/>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90</w:t>
            </w:r>
          </w:p>
        </w:tc>
        <w:tc>
          <w:tcPr>
            <w:tcW w:w="1185" w:type="dxa"/>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0,33</w:t>
            </w:r>
          </w:p>
        </w:tc>
      </w:tr>
      <w:tr w:rsidR="00B23A7C" w:rsidRPr="001D200B" w:rsidTr="00EE5C38">
        <w:tc>
          <w:tcPr>
            <w:tcW w:w="0" w:type="auto"/>
          </w:tcPr>
          <w:p w:rsidR="00B23A7C" w:rsidRPr="001D200B" w:rsidRDefault="00B23A7C" w:rsidP="00EE5C38">
            <w:pPr>
              <w:spacing w:before="0" w:after="0" w:line="240" w:lineRule="auto"/>
              <w:jc w:val="left"/>
              <w:rPr>
                <w:rFonts w:cstheme="minorHAnsi"/>
                <w:bCs/>
                <w:szCs w:val="24"/>
              </w:rPr>
            </w:pPr>
            <w:r w:rsidRPr="001D200B">
              <w:rPr>
                <w:rFonts w:cstheme="minorHAnsi"/>
                <w:bCs/>
                <w:szCs w:val="24"/>
              </w:rPr>
              <w:t>Pellet</w:t>
            </w:r>
          </w:p>
        </w:tc>
        <w:tc>
          <w:tcPr>
            <w:tcW w:w="1614" w:type="dxa"/>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5 kWh/kg</w:t>
            </w:r>
          </w:p>
        </w:tc>
        <w:tc>
          <w:tcPr>
            <w:tcW w:w="1469" w:type="dxa"/>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0,80zł/kg</w:t>
            </w:r>
          </w:p>
        </w:tc>
        <w:tc>
          <w:tcPr>
            <w:tcW w:w="1366" w:type="dxa"/>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0,16</w:t>
            </w:r>
          </w:p>
        </w:tc>
        <w:tc>
          <w:tcPr>
            <w:tcW w:w="1367" w:type="dxa"/>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80</w:t>
            </w:r>
          </w:p>
        </w:tc>
        <w:tc>
          <w:tcPr>
            <w:tcW w:w="1185" w:type="dxa"/>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0,20</w:t>
            </w:r>
          </w:p>
        </w:tc>
      </w:tr>
      <w:tr w:rsidR="00B23A7C" w:rsidRPr="001D200B" w:rsidTr="00EE5C38">
        <w:tc>
          <w:tcPr>
            <w:tcW w:w="0" w:type="auto"/>
          </w:tcPr>
          <w:p w:rsidR="00B23A7C" w:rsidRPr="001D200B" w:rsidRDefault="00B23A7C" w:rsidP="00EE5C38">
            <w:pPr>
              <w:spacing w:before="0" w:after="0" w:line="240" w:lineRule="auto"/>
              <w:jc w:val="left"/>
              <w:rPr>
                <w:rFonts w:cstheme="minorHAnsi"/>
                <w:bCs/>
                <w:szCs w:val="24"/>
              </w:rPr>
            </w:pPr>
            <w:r w:rsidRPr="001D200B">
              <w:rPr>
                <w:rFonts w:cstheme="minorHAnsi"/>
                <w:bCs/>
                <w:szCs w:val="24"/>
              </w:rPr>
              <w:t>Drewno opałowe</w:t>
            </w:r>
          </w:p>
        </w:tc>
        <w:tc>
          <w:tcPr>
            <w:tcW w:w="1614" w:type="dxa"/>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4 kWh/kg</w:t>
            </w:r>
          </w:p>
        </w:tc>
        <w:tc>
          <w:tcPr>
            <w:tcW w:w="1469" w:type="dxa"/>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0,24 zł/kg</w:t>
            </w:r>
          </w:p>
        </w:tc>
        <w:tc>
          <w:tcPr>
            <w:tcW w:w="1366" w:type="dxa"/>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0,06</w:t>
            </w:r>
          </w:p>
        </w:tc>
        <w:tc>
          <w:tcPr>
            <w:tcW w:w="1367" w:type="dxa"/>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60</w:t>
            </w:r>
          </w:p>
        </w:tc>
        <w:tc>
          <w:tcPr>
            <w:tcW w:w="1185" w:type="dxa"/>
          </w:tcPr>
          <w:p w:rsidR="00B23A7C" w:rsidRPr="001D200B" w:rsidRDefault="00B23A7C" w:rsidP="00EE5C38">
            <w:pPr>
              <w:spacing w:before="0" w:after="0" w:line="240" w:lineRule="auto"/>
              <w:jc w:val="center"/>
              <w:rPr>
                <w:rFonts w:cstheme="minorHAnsi"/>
                <w:bCs/>
                <w:szCs w:val="24"/>
              </w:rPr>
            </w:pPr>
            <w:r w:rsidRPr="001D200B">
              <w:rPr>
                <w:rFonts w:cstheme="minorHAnsi"/>
                <w:bCs/>
                <w:szCs w:val="24"/>
              </w:rPr>
              <w:t>0,10</w:t>
            </w:r>
          </w:p>
        </w:tc>
      </w:tr>
    </w:tbl>
    <w:p w:rsidR="00B23A7C" w:rsidRPr="001D200B" w:rsidRDefault="00B23A7C" w:rsidP="00B23A7C">
      <w:pPr>
        <w:pStyle w:val="podtabelk"/>
        <w:spacing w:after="120"/>
        <w:jc w:val="both"/>
        <w:rPr>
          <w:sz w:val="20"/>
        </w:rPr>
      </w:pPr>
      <w:r w:rsidRPr="001D200B">
        <w:rPr>
          <w:sz w:val="20"/>
        </w:rPr>
        <w:t>* cena 1 m</w:t>
      </w:r>
      <w:r w:rsidRPr="001D200B">
        <w:rPr>
          <w:sz w:val="20"/>
          <w:vertAlign w:val="superscript"/>
        </w:rPr>
        <w:t>3</w:t>
      </w:r>
      <w:r w:rsidRPr="001D200B">
        <w:rPr>
          <w:sz w:val="20"/>
        </w:rPr>
        <w:t xml:space="preserve"> gazu ziemnego to ok. 1,30zł (cenę podwyższono biorąc pod uwagę o opłatę przesyłową, abonament do ok. 2 zł/m</w:t>
      </w:r>
      <w:r w:rsidRPr="001D200B">
        <w:rPr>
          <w:sz w:val="20"/>
          <w:vertAlign w:val="superscript"/>
        </w:rPr>
        <w:t>3</w:t>
      </w:r>
      <w:r w:rsidRPr="001D200B">
        <w:rPr>
          <w:sz w:val="20"/>
        </w:rPr>
        <w:t>)</w:t>
      </w:r>
    </w:p>
    <w:p w:rsidR="000A308D" w:rsidRPr="001D200B" w:rsidRDefault="000A308D" w:rsidP="000A308D">
      <w:pPr>
        <w:rPr>
          <w:rFonts w:cstheme="minorHAnsi"/>
          <w:highlight w:val="yellow"/>
          <w:u w:val="single"/>
        </w:rPr>
      </w:pPr>
      <w:r w:rsidRPr="001D200B">
        <w:rPr>
          <w:u w:val="single"/>
        </w:rPr>
        <w:t>Do innych działań w obszarze źródeł ciepła należy zaliczyć:</w:t>
      </w:r>
    </w:p>
    <w:p w:rsidR="000A308D" w:rsidRPr="001D200B" w:rsidRDefault="000A308D" w:rsidP="000A308D">
      <w:pPr>
        <w:pStyle w:val="wypunktowanie"/>
      </w:pPr>
      <w:r w:rsidRPr="001D200B">
        <w:t>stosowanie nowoczesnych urządzeń grzewczych np. w miejsce przestarzałych kotłów węglowych kotły na paliwa stałe co najmniej klasy 5 normy PN EN 303-5:2012; w miejsce tradycyjnych kotłów gazowych kotły gazowe kondensacyjne;</w:t>
      </w:r>
    </w:p>
    <w:p w:rsidR="000A308D" w:rsidRPr="001D200B" w:rsidRDefault="000A308D" w:rsidP="000A308D">
      <w:pPr>
        <w:pStyle w:val="wypunktowanie"/>
      </w:pPr>
      <w:r w:rsidRPr="001D200B">
        <w:t>realizacja działań modernizacyjnych kotłowni ze zmianą stosowanego paliwa na niewęglowe;</w:t>
      </w:r>
    </w:p>
    <w:p w:rsidR="000A308D" w:rsidRPr="001D200B" w:rsidRDefault="000A308D" w:rsidP="000A308D">
      <w:pPr>
        <w:pStyle w:val="wypunktowanie"/>
      </w:pPr>
      <w:r w:rsidRPr="001D200B">
        <w:t>popieranie przedsięwzięć prowadzących do wykorzystania energii odpadowej oraz skojarzonego wytwarzania ciepła;</w:t>
      </w:r>
    </w:p>
    <w:p w:rsidR="000A308D" w:rsidRPr="001D200B" w:rsidRDefault="000A308D" w:rsidP="000A308D">
      <w:pPr>
        <w:pStyle w:val="wypunktowanie"/>
      </w:pPr>
      <w:r w:rsidRPr="001D200B">
        <w:t>wykonywanie wstępnych analiz techniczno – ekonomicznych dotyczących możliwości wykorzystania lokalnych źródeł energii odnawialnej.</w:t>
      </w:r>
    </w:p>
    <w:p w:rsidR="00AC1359" w:rsidRPr="001D200B" w:rsidRDefault="00AC1359" w:rsidP="00F47855">
      <w:pPr>
        <w:shd w:val="clear" w:color="auto" w:fill="F2F2F2" w:themeFill="background1" w:themeFillShade="F2"/>
        <w:rPr>
          <w:b/>
        </w:rPr>
      </w:pPr>
      <w:r w:rsidRPr="001D200B">
        <w:rPr>
          <w:b/>
        </w:rPr>
        <w:t>Efektywne wykorzystanie wyprodukowanego ciepła</w:t>
      </w:r>
    </w:p>
    <w:p w:rsidR="00AC1359" w:rsidRPr="001D200B" w:rsidRDefault="00AC1359" w:rsidP="00AC1359">
      <w:r w:rsidRPr="001D200B">
        <w:t xml:space="preserve">Zmniejszenie zapotrzebowania na energię cieplną można osiągnąć przez modernizację systemów grzewczych, termomodernizację budynków, montaż elementów pomiarowych i regulujących zużycie energii, itp. Do zadań samorządu gminnego należeć będzie promowanie i wspieranie działań podejmowanych przez właścicieli lokali w zakresie przechodzenia na czystsze rodzaje paliw do celów grzewczych i sanitarnych, poprzez m.in. </w:t>
      </w:r>
      <w:r w:rsidR="0080480C" w:rsidRPr="001D200B">
        <w:rPr>
          <w:rFonts w:cstheme="minorHAnsi"/>
        </w:rPr>
        <w:t xml:space="preserve">dofinansowanie do wymiany przestarzałych pieców/kotłów na nowoczesne o wyższej sprawności, </w:t>
      </w:r>
      <w:r w:rsidRPr="001D200B">
        <w:t xml:space="preserve">stosowanie ulg podatkowych dla inwestorów, którzy przewidują stosowanie ekologicznych i efektywnych źródeł energii. </w:t>
      </w:r>
    </w:p>
    <w:p w:rsidR="00AC1359" w:rsidRPr="001D200B" w:rsidRDefault="00AC1359" w:rsidP="00F47855">
      <w:pPr>
        <w:shd w:val="clear" w:color="auto" w:fill="F2F2F2" w:themeFill="background1" w:themeFillShade="F2"/>
        <w:rPr>
          <w:b/>
        </w:rPr>
      </w:pPr>
      <w:r w:rsidRPr="001D200B">
        <w:rPr>
          <w:b/>
        </w:rPr>
        <w:t>Zwiększenie efektywności wykorzystania energii elektrycznej</w:t>
      </w:r>
    </w:p>
    <w:p w:rsidR="00AC1359" w:rsidRPr="001D200B" w:rsidRDefault="00AC1359" w:rsidP="00AC1359">
      <w:r w:rsidRPr="001D200B">
        <w:t>Zwiększenie efektywności wykorzystania energii elektrycznej (zmniejszenie zużycia energii elektrycznej) może być realizowane na poziomie następujących podmiotów:</w:t>
      </w:r>
    </w:p>
    <w:p w:rsidR="00AC1359" w:rsidRPr="001D200B" w:rsidRDefault="00AC1359" w:rsidP="00AC1359">
      <w:pPr>
        <w:pStyle w:val="wypunktowanie"/>
      </w:pPr>
      <w:r w:rsidRPr="001D200B">
        <w:t xml:space="preserve">Zakładu Energetycznego – modernizacja stacji transformatorowych i linii przesyłowych, </w:t>
      </w:r>
    </w:p>
    <w:p w:rsidR="00AC1359" w:rsidRPr="001D200B" w:rsidRDefault="00AC1359" w:rsidP="00AC1359">
      <w:pPr>
        <w:pStyle w:val="wypunktowanie"/>
      </w:pPr>
      <w:r w:rsidRPr="001D200B">
        <w:t>Zarządcy dróg, gmin</w:t>
      </w:r>
      <w:r w:rsidR="0080480C" w:rsidRPr="001D200B">
        <w:t>y</w:t>
      </w:r>
      <w:r w:rsidRPr="001D200B">
        <w:t xml:space="preserve"> - energooszczędne oświetlenie uliczne,</w:t>
      </w:r>
    </w:p>
    <w:p w:rsidR="00AC1359" w:rsidRPr="001D200B" w:rsidRDefault="00AC1359" w:rsidP="00AC1359">
      <w:pPr>
        <w:pStyle w:val="wypunktowanie"/>
      </w:pPr>
      <w:r w:rsidRPr="001D200B">
        <w:t>Odbiorcy – wprowadzanie energooszczędnego oświetlenia pomieszczeń, modernizacja bądź wymiana energochłonnych urządzeń gospodarstwa domowego, przesuwanie poboru energii na godziny poza szczytem energetycznym.</w:t>
      </w:r>
    </w:p>
    <w:p w:rsidR="00AC1359" w:rsidRPr="001D200B" w:rsidRDefault="00AC1359" w:rsidP="00AC1359">
      <w:r w:rsidRPr="001D200B">
        <w:lastRenderedPageBreak/>
        <w:t>Potencjał ekonomiczny racjonalizacji zużycia energii elektrycznej w gospodarstwach domowych różni się znacznie w zależności od sposobu użytkowania energii elektrycznej. Jego wielkość szacuje się następująco:</w:t>
      </w:r>
    </w:p>
    <w:p w:rsidR="00AC1359" w:rsidRPr="001D200B" w:rsidRDefault="00AC1359" w:rsidP="00AC1359">
      <w:pPr>
        <w:pStyle w:val="wypunktowanie"/>
      </w:pPr>
      <w:r w:rsidRPr="001D200B">
        <w:t>od 10% do 25% w oświetleniu, napędach sprzętu gospodarstwa domowego, pralkach, chłodziarkach i zamrażarkach, kuchniach elektrycznych;</w:t>
      </w:r>
    </w:p>
    <w:p w:rsidR="00AC1359" w:rsidRPr="001D200B" w:rsidRDefault="00AC1359" w:rsidP="00AC1359">
      <w:pPr>
        <w:pStyle w:val="wypunktowanie"/>
      </w:pPr>
      <w:r w:rsidRPr="001D200B">
        <w:t xml:space="preserve">od 25% do 40% dodatkowo dla zużycia energii elektrycznej do ogrzewania pomieszczeń. </w:t>
      </w:r>
    </w:p>
    <w:p w:rsidR="000A308D" w:rsidRPr="001D200B" w:rsidRDefault="00AC1359" w:rsidP="00AC1359">
      <w:pPr>
        <w:rPr>
          <w:rFonts w:cstheme="minorHAnsi"/>
        </w:rPr>
      </w:pPr>
      <w:r w:rsidRPr="001D200B">
        <w:t>Główne kierunki racjonalizacji to powszechna edukacja i dostęp do informacji o energooszczędnych urządzeniach elektroenergetycznych. W przypadku ogrzewania pomieszczeń potencjał tkwi w termomodernizacji budynków.</w:t>
      </w:r>
    </w:p>
    <w:p w:rsidR="00972F5C" w:rsidRPr="001D200B" w:rsidRDefault="00972F5C" w:rsidP="00972F5C">
      <w:pPr>
        <w:pStyle w:val="Nagwek2"/>
        <w:rPr>
          <w:rFonts w:cstheme="minorHAnsi"/>
        </w:rPr>
      </w:pPr>
      <w:bookmarkStart w:id="87" w:name="_Toc314831621"/>
      <w:bookmarkStart w:id="88" w:name="_Toc31972842"/>
      <w:r w:rsidRPr="001D200B">
        <w:rPr>
          <w:rFonts w:cstheme="minorHAnsi"/>
        </w:rPr>
        <w:t>2. Możliwości stosowania środków poprawy efektywności energetycznej</w:t>
      </w:r>
      <w:bookmarkEnd w:id="87"/>
      <w:bookmarkEnd w:id="88"/>
      <w:r w:rsidRPr="001D200B">
        <w:rPr>
          <w:rFonts w:cstheme="minorHAnsi"/>
        </w:rPr>
        <w:t xml:space="preserve"> </w:t>
      </w:r>
    </w:p>
    <w:p w:rsidR="00B23A7C" w:rsidRPr="001D200B" w:rsidRDefault="00B23A7C" w:rsidP="00B23A7C">
      <w:r w:rsidRPr="001D200B">
        <w:t xml:space="preserve">Efektywność energetyczna oznacza racjonalne wykorzystywanie energii, które w ogólnym bilansie przynosi korzyści przedsiębiorstwom, gospodarce kraju a także ludności, bowiem energia staje się towarem deficytowym, który należy oszczędzać i efektywnie wykorzystywać. </w:t>
      </w:r>
    </w:p>
    <w:p w:rsidR="00B23A7C" w:rsidRPr="001D200B" w:rsidRDefault="00B23A7C" w:rsidP="00B23A7C">
      <w:r w:rsidRPr="001D200B">
        <w:t>Ustawa o efektywności energetycznej jest wdrożeniem Dyrektywy WE z 2006 roku (2006/32/WE) w sprawie efektywności końcowego wykorzystania energii i usług energetycznych. Ustawa wyznacza zadania m.in. dla jednostek sektora publicznego (w tym jednostek samorządowych) w zakresie efektywności energetycznej, które zobowiązano do stosowania co najmniej jednego ze środków poprawy efektywności energetycznej z katalogu zawartego w ustawie (art. 6, ust. 2).</w:t>
      </w:r>
    </w:p>
    <w:p w:rsidR="00B23A7C" w:rsidRPr="001D200B" w:rsidRDefault="00B23A7C" w:rsidP="00B23A7C">
      <w:pPr>
        <w:rPr>
          <w:i/>
        </w:rPr>
      </w:pPr>
      <w:r w:rsidRPr="001D200B">
        <w:rPr>
          <w:i/>
        </w:rPr>
        <w:t>Środkami poprawy efektywności energetycznej są:</w:t>
      </w:r>
    </w:p>
    <w:p w:rsidR="00B23A7C" w:rsidRPr="001D200B" w:rsidRDefault="00B23A7C" w:rsidP="00B23A7C">
      <w:pPr>
        <w:rPr>
          <w:i/>
        </w:rPr>
      </w:pPr>
      <w:r w:rsidRPr="001D200B">
        <w:rPr>
          <w:i/>
        </w:rPr>
        <w:t>1) realizacja i finansowanie przedsięwzięcia służącego poprawie efektywności energetycznej;</w:t>
      </w:r>
    </w:p>
    <w:p w:rsidR="00B23A7C" w:rsidRPr="001D200B" w:rsidRDefault="00B23A7C" w:rsidP="00B23A7C">
      <w:pPr>
        <w:rPr>
          <w:i/>
        </w:rPr>
      </w:pPr>
      <w:r w:rsidRPr="001D200B">
        <w:rPr>
          <w:i/>
        </w:rPr>
        <w:t>2) nabycie urządzenia, instalacji lub pojazdu, charakteryzujących się niskim zużyciem energii oraz niskimi kosztami eksploatacji;</w:t>
      </w:r>
    </w:p>
    <w:p w:rsidR="00B23A7C" w:rsidRPr="001D200B" w:rsidRDefault="00B23A7C" w:rsidP="00B23A7C">
      <w:pPr>
        <w:rPr>
          <w:i/>
        </w:rPr>
      </w:pPr>
      <w:r w:rsidRPr="001D200B">
        <w:rPr>
          <w:i/>
        </w:rPr>
        <w:t>3) wymiana eksploatowanego urządzenia, instalacji lub pojazdu na urządzenie, instalację lub pojazd (…);</w:t>
      </w:r>
    </w:p>
    <w:p w:rsidR="00B23A7C" w:rsidRPr="001D200B" w:rsidRDefault="00B23A7C" w:rsidP="00B23A7C">
      <w:pPr>
        <w:rPr>
          <w:i/>
        </w:rPr>
      </w:pPr>
      <w:r w:rsidRPr="001D200B">
        <w:rPr>
          <w:i/>
        </w:rPr>
        <w:t>4) realizacja przedsięwzięcia termomodernizacyjnego (…);</w:t>
      </w:r>
    </w:p>
    <w:p w:rsidR="00B23A7C" w:rsidRPr="001D200B" w:rsidRDefault="00B23A7C" w:rsidP="00B23A7C">
      <w:pPr>
        <w:rPr>
          <w:i/>
        </w:rPr>
      </w:pPr>
      <w:r w:rsidRPr="001D200B">
        <w:rPr>
          <w:i/>
        </w:rPr>
        <w:t>5) wdrożenie systemu zarządzania środowiskiem (…);</w:t>
      </w:r>
    </w:p>
    <w:p w:rsidR="00B23A7C" w:rsidRPr="001D200B" w:rsidRDefault="00B23A7C" w:rsidP="00B23A7C">
      <w:pPr>
        <w:rPr>
          <w:i/>
        </w:rPr>
      </w:pPr>
      <w:r w:rsidRPr="001D200B">
        <w:rPr>
          <w:i/>
        </w:rPr>
        <w:t>6) realizacja gminnych programów niskoemisyjnych, o których mowa w ustawie z dnia 21 listopada 2008r. o wspieraniu termomodernizacji i remontów.</w:t>
      </w:r>
    </w:p>
    <w:p w:rsidR="00B23A7C" w:rsidRPr="001D200B" w:rsidRDefault="00B23A7C" w:rsidP="00B23A7C">
      <w:pPr>
        <w:rPr>
          <w:i/>
        </w:rPr>
      </w:pPr>
      <w:r w:rsidRPr="001D200B">
        <w:rPr>
          <w:i/>
        </w:rPr>
        <w:t xml:space="preserve">Art. 19. 1. ustawy o efektywności energetycznej określa rodzaje przedsięwzięć, które w szczególności służą poprawie efektywności energetycznej: </w:t>
      </w:r>
    </w:p>
    <w:p w:rsidR="00B23A7C" w:rsidRPr="001D200B" w:rsidRDefault="00B23A7C" w:rsidP="00B23A7C">
      <w:pPr>
        <w:rPr>
          <w:i/>
        </w:rPr>
      </w:pPr>
      <w:r w:rsidRPr="001D200B">
        <w:rPr>
          <w:i/>
        </w:rPr>
        <w:lastRenderedPageBreak/>
        <w:t>1) izolacja instalacji przemysłowych;</w:t>
      </w:r>
    </w:p>
    <w:p w:rsidR="00B23A7C" w:rsidRPr="001D200B" w:rsidRDefault="00B23A7C" w:rsidP="00B23A7C">
      <w:pPr>
        <w:rPr>
          <w:i/>
        </w:rPr>
      </w:pPr>
      <w:r w:rsidRPr="001D200B">
        <w:rPr>
          <w:i/>
        </w:rPr>
        <w:t>2) przebudowa lub remont budynku wraz z instalacjami i urządzeniami technicznymi;</w:t>
      </w:r>
    </w:p>
    <w:p w:rsidR="00B23A7C" w:rsidRPr="001D200B" w:rsidRDefault="00B23A7C" w:rsidP="00B23A7C">
      <w:pPr>
        <w:rPr>
          <w:i/>
        </w:rPr>
      </w:pPr>
      <w:r w:rsidRPr="001D200B">
        <w:rPr>
          <w:i/>
        </w:rPr>
        <w:t>3) modernizacja lub wymiana:</w:t>
      </w:r>
    </w:p>
    <w:p w:rsidR="00B23A7C" w:rsidRPr="001D200B" w:rsidRDefault="00B23A7C" w:rsidP="00B23A7C">
      <w:pPr>
        <w:ind w:left="567"/>
        <w:rPr>
          <w:i/>
        </w:rPr>
      </w:pPr>
      <w:r w:rsidRPr="001D200B">
        <w:rPr>
          <w:i/>
        </w:rPr>
        <w:t>a) oświetlenia,</w:t>
      </w:r>
    </w:p>
    <w:p w:rsidR="00B23A7C" w:rsidRPr="001D200B" w:rsidRDefault="00B23A7C" w:rsidP="00B23A7C">
      <w:pPr>
        <w:ind w:left="567"/>
        <w:rPr>
          <w:i/>
        </w:rPr>
      </w:pPr>
      <w:r w:rsidRPr="001D200B">
        <w:rPr>
          <w:i/>
        </w:rPr>
        <w:t>b) urządzeń i instalacji wykorzystywanych w procesach przemysłowych lub w procesach energetycznych lub telekomunikacyjnych lub informatycznych,</w:t>
      </w:r>
    </w:p>
    <w:p w:rsidR="00B23A7C" w:rsidRPr="001D200B" w:rsidRDefault="00B23A7C" w:rsidP="00B23A7C">
      <w:pPr>
        <w:ind w:left="567"/>
        <w:rPr>
          <w:i/>
        </w:rPr>
      </w:pPr>
      <w:r w:rsidRPr="001D200B">
        <w:rPr>
          <w:i/>
        </w:rPr>
        <w:t xml:space="preserve">c) lokalnych sieci ciepłowniczych i lokalnych źródeł ciepła w rozumieniu </w:t>
      </w:r>
      <w:r w:rsidRPr="001D200B">
        <w:rPr>
          <w:i/>
        </w:rPr>
        <w:br/>
        <w:t>art. 2 pkt 6 i 7 ustawy z dnia 21 listopada 2008 r. o wspieraniu termomodernizacji i remontów,</w:t>
      </w:r>
    </w:p>
    <w:p w:rsidR="00B23A7C" w:rsidRPr="001D200B" w:rsidRDefault="00B23A7C" w:rsidP="00B23A7C">
      <w:pPr>
        <w:ind w:left="567"/>
        <w:rPr>
          <w:i/>
        </w:rPr>
      </w:pPr>
      <w:r w:rsidRPr="001D200B">
        <w:rPr>
          <w:i/>
        </w:rPr>
        <w:t>d) modernizacja lub wymiana urządzeń przeznaczonych do użytku domowego;</w:t>
      </w:r>
    </w:p>
    <w:p w:rsidR="00B23A7C" w:rsidRPr="001D200B" w:rsidRDefault="00B23A7C" w:rsidP="00B23A7C">
      <w:pPr>
        <w:rPr>
          <w:i/>
        </w:rPr>
      </w:pPr>
      <w:r w:rsidRPr="001D200B">
        <w:rPr>
          <w:i/>
        </w:rPr>
        <w:t>4) odzyskiwanie energii, w tym odzyskiwanie energii w procesach przemysłowych;</w:t>
      </w:r>
    </w:p>
    <w:p w:rsidR="00B23A7C" w:rsidRPr="001D200B" w:rsidRDefault="00B23A7C" w:rsidP="00B23A7C">
      <w:pPr>
        <w:rPr>
          <w:i/>
        </w:rPr>
      </w:pPr>
      <w:r w:rsidRPr="001D200B">
        <w:rPr>
          <w:i/>
        </w:rPr>
        <w:t>5) ograniczenie strat:</w:t>
      </w:r>
    </w:p>
    <w:p w:rsidR="00B23A7C" w:rsidRPr="001D200B" w:rsidRDefault="00B23A7C" w:rsidP="00B23A7C">
      <w:pPr>
        <w:ind w:left="567"/>
        <w:rPr>
          <w:i/>
        </w:rPr>
      </w:pPr>
      <w:r w:rsidRPr="001D200B">
        <w:rPr>
          <w:i/>
        </w:rPr>
        <w:t>a) związanych z poborem energii biernej,</w:t>
      </w:r>
    </w:p>
    <w:p w:rsidR="00B23A7C" w:rsidRPr="001D200B" w:rsidRDefault="00B23A7C" w:rsidP="00B23A7C">
      <w:pPr>
        <w:ind w:left="567"/>
        <w:rPr>
          <w:i/>
        </w:rPr>
      </w:pPr>
      <w:r w:rsidRPr="001D200B">
        <w:rPr>
          <w:i/>
        </w:rPr>
        <w:t>b) sieciowych związanych z przesyłaniem lub dystrybucją energii elektrycznej lub gazu ziemnego,</w:t>
      </w:r>
    </w:p>
    <w:p w:rsidR="00B23A7C" w:rsidRPr="001D200B" w:rsidRDefault="00B23A7C" w:rsidP="00B23A7C">
      <w:pPr>
        <w:ind w:left="567"/>
        <w:rPr>
          <w:i/>
        </w:rPr>
      </w:pPr>
      <w:r w:rsidRPr="001D200B">
        <w:rPr>
          <w:i/>
        </w:rPr>
        <w:t>c) na transformacji,</w:t>
      </w:r>
    </w:p>
    <w:p w:rsidR="00B23A7C" w:rsidRPr="001D200B" w:rsidRDefault="00B23A7C" w:rsidP="00B23A7C">
      <w:pPr>
        <w:ind w:left="567"/>
        <w:rPr>
          <w:i/>
        </w:rPr>
      </w:pPr>
      <w:r w:rsidRPr="001D200B">
        <w:rPr>
          <w:i/>
        </w:rPr>
        <w:t>d) w sieciach ciepłowniczych,</w:t>
      </w:r>
    </w:p>
    <w:p w:rsidR="00B23A7C" w:rsidRPr="001D200B" w:rsidRDefault="00B23A7C" w:rsidP="00B23A7C">
      <w:pPr>
        <w:ind w:left="567"/>
        <w:rPr>
          <w:i/>
        </w:rPr>
      </w:pPr>
      <w:r w:rsidRPr="001D200B">
        <w:rPr>
          <w:i/>
        </w:rPr>
        <w:t>e) związanych z systemami zasilania urządzeń telekomunikacyjnych lub informatycznych;</w:t>
      </w:r>
    </w:p>
    <w:p w:rsidR="00B23A7C" w:rsidRPr="001D200B" w:rsidRDefault="00B23A7C" w:rsidP="00B23A7C">
      <w:pPr>
        <w:rPr>
          <w:i/>
        </w:rPr>
      </w:pPr>
      <w:r w:rsidRPr="001D200B">
        <w:rPr>
          <w:i/>
        </w:rPr>
        <w:t>6) stosowanie, do ogrzewania lub chłodzenia obiektów, energii wytwarzanej w instalacjach odnawialnego źródła energii, ciepła użytkowego w wysokosprawnej kogeneracji w rozumieniu ustawy z dnia 10 kwietnia 1997 r. – Prawo energetyczne lub ciepła odpadowego z instalacji przemysłowych.</w:t>
      </w:r>
    </w:p>
    <w:p w:rsidR="00B23A7C" w:rsidRPr="001D200B" w:rsidRDefault="00B23A7C" w:rsidP="00B23A7C">
      <w:r w:rsidRPr="001D200B">
        <w:t xml:space="preserve">Do zadań własnych gminy należy m.in. planowanie i organizacja zaopatrzenia w ciepło. Gmina realizuje to zadanie zgodnie z miejscowym planem zagospodarowania przestrzennego lub kierunkami rozwoju gminy zawartymi w studium uwarunkowań i kierunków zagospodarowania przestrzennego. Jednostki samorządu terytorialnego są właścicielami różnego rodzaju obiektów sfery publicznej (szkoły, ośrodki zdrowia, domy kultury), zasilanych w ciepło, energię elektryczną i paliwa gazowe, w odniesieniu do których możliwe jest wprowadzenie przedsięwzięć służących poprawie efektywności energetycznej. </w:t>
      </w:r>
    </w:p>
    <w:p w:rsidR="00B23A7C" w:rsidRPr="001D200B" w:rsidRDefault="00B23A7C" w:rsidP="00B23A7C">
      <w:r w:rsidRPr="001D200B">
        <w:t>Środki służące poprawie efektywności energetycznej w odniesieniu do możliwości zastosowania w budynkach należących do gminy:</w:t>
      </w:r>
    </w:p>
    <w:p w:rsidR="00B23A7C" w:rsidRPr="001D200B" w:rsidRDefault="00B23A7C" w:rsidP="00412E46">
      <w:pPr>
        <w:pStyle w:val="Default"/>
        <w:numPr>
          <w:ilvl w:val="0"/>
          <w:numId w:val="27"/>
        </w:numPr>
        <w:spacing w:line="276" w:lineRule="auto"/>
        <w:ind w:left="284" w:hanging="284"/>
        <w:rPr>
          <w:rFonts w:ascii="Calibri" w:hAnsi="Calibri" w:cs="Calibri"/>
          <w:color w:val="auto"/>
        </w:rPr>
      </w:pPr>
      <w:r w:rsidRPr="001D200B">
        <w:rPr>
          <w:rFonts w:asciiTheme="minorHAnsi" w:hAnsiTheme="minorHAnsi"/>
          <w:color w:val="auto"/>
        </w:rPr>
        <w:lastRenderedPageBreak/>
        <w:t>przebudowa lub remont użytkowanych budynków, w tym realizacja przedsięwzięcia termomodernizacyjnego w rozumieniu ustawy z dnia 21 listopada 2008r. o wspieraniu termomodernizacji i remontów</w:t>
      </w:r>
      <w:r w:rsidRPr="001D200B">
        <w:rPr>
          <w:rFonts w:ascii="Calibri" w:hAnsi="Calibri" w:cs="Calibri"/>
          <w:color w:val="auto"/>
        </w:rPr>
        <w:t>;</w:t>
      </w:r>
    </w:p>
    <w:p w:rsidR="00B23A7C" w:rsidRPr="001D200B" w:rsidRDefault="00B23A7C" w:rsidP="00412E46">
      <w:pPr>
        <w:pStyle w:val="Default"/>
        <w:numPr>
          <w:ilvl w:val="0"/>
          <w:numId w:val="27"/>
        </w:numPr>
        <w:spacing w:line="276" w:lineRule="auto"/>
        <w:ind w:left="284" w:hanging="284"/>
        <w:rPr>
          <w:rFonts w:ascii="Calibri" w:hAnsi="Calibri" w:cs="Calibri"/>
          <w:color w:val="auto"/>
        </w:rPr>
      </w:pPr>
      <w:r w:rsidRPr="001D200B">
        <w:rPr>
          <w:rFonts w:ascii="Calibri" w:hAnsi="Calibri" w:cs="Calibri"/>
          <w:color w:val="auto"/>
        </w:rPr>
        <w:t>modernizacja źródeł ciepła;</w:t>
      </w:r>
    </w:p>
    <w:p w:rsidR="00B23A7C" w:rsidRPr="001D200B" w:rsidRDefault="00B23A7C" w:rsidP="00412E46">
      <w:pPr>
        <w:pStyle w:val="Default"/>
        <w:numPr>
          <w:ilvl w:val="0"/>
          <w:numId w:val="27"/>
        </w:numPr>
        <w:spacing w:line="276" w:lineRule="auto"/>
        <w:ind w:left="284" w:hanging="284"/>
        <w:rPr>
          <w:rFonts w:ascii="Calibri" w:hAnsi="Calibri" w:cs="Calibri"/>
          <w:color w:val="auto"/>
        </w:rPr>
      </w:pPr>
      <w:r w:rsidRPr="001D200B">
        <w:rPr>
          <w:rFonts w:ascii="Calibri" w:hAnsi="Calibri" w:cs="Calibri"/>
          <w:color w:val="auto"/>
        </w:rPr>
        <w:t>rozwój odnawialnych źródeł energii.</w:t>
      </w:r>
    </w:p>
    <w:p w:rsidR="00B23A7C" w:rsidRPr="001D200B" w:rsidRDefault="00B23A7C" w:rsidP="00B23A7C">
      <w:pPr>
        <w:pStyle w:val="Default"/>
        <w:spacing w:line="276" w:lineRule="auto"/>
        <w:ind w:firstLine="0"/>
        <w:rPr>
          <w:rFonts w:asciiTheme="minorHAnsi" w:eastAsia="ArialMT" w:hAnsiTheme="minorHAnsi"/>
          <w:color w:val="auto"/>
          <w:highlight w:val="yellow"/>
        </w:rPr>
      </w:pPr>
    </w:p>
    <w:p w:rsidR="00B23A7C" w:rsidRPr="001D200B" w:rsidRDefault="00B23A7C" w:rsidP="00B23A7C">
      <w:pPr>
        <w:pStyle w:val="Default"/>
        <w:spacing w:line="276" w:lineRule="auto"/>
        <w:ind w:firstLine="0"/>
        <w:rPr>
          <w:rFonts w:ascii="Calibri" w:hAnsi="Calibri" w:cs="Calibri"/>
          <w:color w:val="auto"/>
        </w:rPr>
      </w:pPr>
      <w:r w:rsidRPr="001D200B">
        <w:rPr>
          <w:rFonts w:asciiTheme="minorHAnsi" w:eastAsia="ArialMT" w:hAnsiTheme="minorHAnsi"/>
          <w:color w:val="auto"/>
        </w:rPr>
        <w:t>Termomodernizacja obejmuje zmiany budowlane oraz zmiany w systemie ogrzewania, które w budynkach gminnych ograniczają się do:</w:t>
      </w:r>
    </w:p>
    <w:p w:rsidR="00B23A7C" w:rsidRPr="001D200B" w:rsidRDefault="00B23A7C" w:rsidP="00915383">
      <w:pPr>
        <w:pStyle w:val="Punktory"/>
        <w:rPr>
          <w:lang w:val="pl-PL"/>
        </w:rPr>
      </w:pPr>
      <w:r w:rsidRPr="001D200B">
        <w:rPr>
          <w:lang w:val="pl-PL"/>
        </w:rPr>
        <w:t>ocieplenia ścian zewnętrznych budynków, izolacji stropów i stropodachów oraz wymiany stolarki okiennej i drzwiowej,</w:t>
      </w:r>
    </w:p>
    <w:p w:rsidR="00B23A7C" w:rsidRPr="001D200B" w:rsidRDefault="00B23A7C" w:rsidP="00915383">
      <w:pPr>
        <w:pStyle w:val="Punktory"/>
        <w:rPr>
          <w:lang w:val="pl-PL"/>
        </w:rPr>
      </w:pPr>
      <w:r w:rsidRPr="001D200B">
        <w:rPr>
          <w:lang w:val="pl-PL"/>
        </w:rPr>
        <w:t>wymiany przestarzałych źródeł ciepła na jednostki o wyższej sprawności energetycznej,</w:t>
      </w:r>
    </w:p>
    <w:p w:rsidR="00B23A7C" w:rsidRPr="001D200B" w:rsidRDefault="00B23A7C" w:rsidP="00915383">
      <w:pPr>
        <w:pStyle w:val="Punktory"/>
        <w:rPr>
          <w:lang w:val="pl-PL"/>
        </w:rPr>
      </w:pPr>
      <w:r w:rsidRPr="001D200B">
        <w:rPr>
          <w:lang w:val="pl-PL"/>
        </w:rPr>
        <w:t>zwiększenia sprawności pracy instalacji centralnego ogrzewania (płukanie chemiczne instalacji w celu usunięcia osadów i przywrócenia pełnej drożności rurociągów, uszczelnienie instalacji, zastosowanie indywidualnych odpowietrzników na pionach, wymianę grzejników, dostosowanie instalacji c.o. do zmniejszonych potrzeb cieplnych pomieszczeń),</w:t>
      </w:r>
    </w:p>
    <w:p w:rsidR="00B23A7C" w:rsidRPr="001D200B" w:rsidRDefault="00B23A7C" w:rsidP="00915383">
      <w:pPr>
        <w:pStyle w:val="Punktory"/>
        <w:rPr>
          <w:lang w:val="pl-PL"/>
        </w:rPr>
      </w:pPr>
      <w:r w:rsidRPr="001D200B">
        <w:rPr>
          <w:lang w:val="pl-PL"/>
        </w:rPr>
        <w:t>zmniejszenia strat ciepła na sieci - izolowanie rur przechodzących przez pomieszczenia nieogrzewane,</w:t>
      </w:r>
    </w:p>
    <w:p w:rsidR="00B23A7C" w:rsidRPr="001D200B" w:rsidRDefault="00B23A7C" w:rsidP="00915383">
      <w:pPr>
        <w:pStyle w:val="Punktory"/>
        <w:rPr>
          <w:lang w:val="pl-PL"/>
        </w:rPr>
      </w:pPr>
      <w:r w:rsidRPr="001D200B">
        <w:rPr>
          <w:lang w:val="pl-PL"/>
        </w:rPr>
        <w:t>racjonalnego użytkowania ciepła poprzez: zainstalowanie zaworów termostatycznych przy grzejnikach, które umożliwiają regulacje temperatury w pomieszczeniach.</w:t>
      </w:r>
    </w:p>
    <w:p w:rsidR="00972F5C" w:rsidRPr="001D200B" w:rsidRDefault="000B0CDE" w:rsidP="000B0CDE">
      <w:pPr>
        <w:pStyle w:val="Tytu"/>
        <w:rPr>
          <w:rFonts w:cstheme="minorHAnsi"/>
          <w:b/>
        </w:rPr>
      </w:pPr>
      <w:bookmarkStart w:id="89" w:name="_Toc39476585"/>
      <w:r w:rsidRPr="001D200B">
        <w:rPr>
          <w:rFonts w:cstheme="minorHAnsi"/>
          <w:b/>
        </w:rPr>
        <w:t xml:space="preserve">Tabela </w:t>
      </w:r>
      <w:r w:rsidR="005B7234" w:rsidRPr="001D200B">
        <w:rPr>
          <w:rFonts w:cstheme="minorHAnsi"/>
          <w:b/>
        </w:rPr>
        <w:fldChar w:fldCharType="begin"/>
      </w:r>
      <w:r w:rsidR="00F200FE" w:rsidRPr="001D200B">
        <w:rPr>
          <w:rFonts w:cstheme="minorHAnsi"/>
          <w:b/>
        </w:rPr>
        <w:instrText xml:space="preserve"> SEQ Tabela \* ARABIC </w:instrText>
      </w:r>
      <w:r w:rsidR="005B7234" w:rsidRPr="001D200B">
        <w:rPr>
          <w:rFonts w:cstheme="minorHAnsi"/>
          <w:b/>
        </w:rPr>
        <w:fldChar w:fldCharType="separate"/>
      </w:r>
      <w:r w:rsidR="00D2721B" w:rsidRPr="001D200B">
        <w:rPr>
          <w:rFonts w:cstheme="minorHAnsi"/>
          <w:b/>
          <w:noProof/>
        </w:rPr>
        <w:t>33</w:t>
      </w:r>
      <w:r w:rsidR="005B7234" w:rsidRPr="001D200B">
        <w:rPr>
          <w:rFonts w:cstheme="minorHAnsi"/>
          <w:b/>
        </w:rPr>
        <w:fldChar w:fldCharType="end"/>
      </w:r>
      <w:r w:rsidRPr="001D200B">
        <w:rPr>
          <w:rFonts w:cstheme="minorHAnsi"/>
          <w:b/>
        </w:rPr>
        <w:t xml:space="preserve">. </w:t>
      </w:r>
      <w:r w:rsidR="00972F5C" w:rsidRPr="001D200B">
        <w:rPr>
          <w:rFonts w:cstheme="minorHAnsi"/>
          <w:b/>
        </w:rPr>
        <w:t>Przeciętne</w:t>
      </w:r>
      <w:r w:rsidR="00B23A7C" w:rsidRPr="001D200B">
        <w:rPr>
          <w:rFonts w:cstheme="minorHAnsi"/>
          <w:b/>
        </w:rPr>
        <w:t xml:space="preserve">, możliwe do osiągnięcia </w:t>
      </w:r>
      <w:r w:rsidR="00972F5C" w:rsidRPr="001D200B">
        <w:rPr>
          <w:rFonts w:cstheme="minorHAnsi"/>
          <w:b/>
        </w:rPr>
        <w:t>efekty z realizacji poszczególnych działań termomodernizacyjnych</w:t>
      </w:r>
      <w:bookmarkEnd w:id="89"/>
      <w:r w:rsidR="00972F5C" w:rsidRPr="001D200B">
        <w:rPr>
          <w:rFonts w:cstheme="minorHAnsi"/>
          <w:b/>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85"/>
        <w:gridCol w:w="1895"/>
      </w:tblGrid>
      <w:tr w:rsidR="00B23A7C" w:rsidRPr="001D200B" w:rsidTr="00EE5C38">
        <w:trPr>
          <w:jc w:val="center"/>
        </w:trPr>
        <w:tc>
          <w:tcPr>
            <w:tcW w:w="7285" w:type="dxa"/>
            <w:shd w:val="clear" w:color="auto" w:fill="F2F2F2" w:themeFill="background1" w:themeFillShade="F2"/>
            <w:vAlign w:val="center"/>
          </w:tcPr>
          <w:p w:rsidR="00B23A7C" w:rsidRPr="001D200B" w:rsidRDefault="00B23A7C" w:rsidP="00EE5C38">
            <w:pPr>
              <w:spacing w:line="240" w:lineRule="auto"/>
              <w:jc w:val="center"/>
              <w:rPr>
                <w:b/>
              </w:rPr>
            </w:pPr>
            <w:r w:rsidRPr="001D200B">
              <w:rPr>
                <w:b/>
              </w:rPr>
              <w:t>Rodzaj usprawnienia</w:t>
            </w:r>
          </w:p>
        </w:tc>
        <w:tc>
          <w:tcPr>
            <w:tcW w:w="1895" w:type="dxa"/>
            <w:shd w:val="clear" w:color="auto" w:fill="F2F2F2" w:themeFill="background1" w:themeFillShade="F2"/>
            <w:vAlign w:val="center"/>
          </w:tcPr>
          <w:p w:rsidR="00B23A7C" w:rsidRPr="001D200B" w:rsidRDefault="00B23A7C" w:rsidP="00EE5C38">
            <w:pPr>
              <w:spacing w:line="240" w:lineRule="auto"/>
              <w:rPr>
                <w:b/>
              </w:rPr>
            </w:pPr>
            <w:r w:rsidRPr="001D200B">
              <w:rPr>
                <w:b/>
              </w:rPr>
              <w:t>Oszczędność energii cieplnej</w:t>
            </w:r>
          </w:p>
        </w:tc>
      </w:tr>
      <w:tr w:rsidR="00B23A7C" w:rsidRPr="001D200B" w:rsidTr="00EE5C38">
        <w:trPr>
          <w:jc w:val="center"/>
        </w:trPr>
        <w:tc>
          <w:tcPr>
            <w:tcW w:w="7285" w:type="dxa"/>
            <w:vAlign w:val="center"/>
          </w:tcPr>
          <w:p w:rsidR="00B23A7C" w:rsidRPr="001D200B" w:rsidRDefault="00B23A7C" w:rsidP="00EE5C38">
            <w:pPr>
              <w:spacing w:before="0" w:after="0" w:line="240" w:lineRule="auto"/>
            </w:pPr>
            <w:r w:rsidRPr="001D200B">
              <w:rPr>
                <w:rFonts w:eastAsia="ArialMT"/>
              </w:rPr>
              <w:t xml:space="preserve">Wprowadzenie w węźle cieplnym automatyki pogodowej oraz urządzeń regulacyjnych </w:t>
            </w:r>
          </w:p>
        </w:tc>
        <w:tc>
          <w:tcPr>
            <w:tcW w:w="1895" w:type="dxa"/>
            <w:vAlign w:val="center"/>
          </w:tcPr>
          <w:p w:rsidR="00B23A7C" w:rsidRPr="001D200B" w:rsidRDefault="00B23A7C" w:rsidP="00EE5C38">
            <w:pPr>
              <w:spacing w:before="0" w:after="0" w:line="240" w:lineRule="auto"/>
              <w:jc w:val="center"/>
            </w:pPr>
            <w:r w:rsidRPr="001D200B">
              <w:rPr>
                <w:rFonts w:eastAsia="ArialMT"/>
              </w:rPr>
              <w:t>5-15%</w:t>
            </w:r>
          </w:p>
        </w:tc>
      </w:tr>
      <w:tr w:rsidR="00B23A7C" w:rsidRPr="001D200B" w:rsidTr="00EE5C38">
        <w:trPr>
          <w:jc w:val="center"/>
        </w:trPr>
        <w:tc>
          <w:tcPr>
            <w:tcW w:w="7285" w:type="dxa"/>
            <w:vAlign w:val="center"/>
          </w:tcPr>
          <w:p w:rsidR="00B23A7C" w:rsidRPr="001D200B" w:rsidRDefault="00B23A7C" w:rsidP="00EE5C38">
            <w:pPr>
              <w:spacing w:before="0" w:after="0" w:line="240" w:lineRule="auto"/>
              <w:rPr>
                <w:rFonts w:eastAsia="ArialMT"/>
              </w:rPr>
            </w:pPr>
            <w:r w:rsidRPr="001D200B">
              <w:rPr>
                <w:rFonts w:eastAsia="ArialMT"/>
              </w:rPr>
              <w:t>Wprowadzenie hermetyzacji instalacji i izolowanie przewodów, przeprowadzenie regulacji hydraulicznej i zamontowanie zaworów termostatycznych we wszystkich pomieszczeniach</w:t>
            </w:r>
          </w:p>
        </w:tc>
        <w:tc>
          <w:tcPr>
            <w:tcW w:w="1895" w:type="dxa"/>
            <w:vAlign w:val="center"/>
          </w:tcPr>
          <w:p w:rsidR="00B23A7C" w:rsidRPr="001D200B" w:rsidRDefault="00B23A7C" w:rsidP="00EE5C38">
            <w:pPr>
              <w:spacing w:before="0" w:after="0" w:line="240" w:lineRule="auto"/>
              <w:jc w:val="center"/>
              <w:rPr>
                <w:rFonts w:eastAsia="ArialMT"/>
              </w:rPr>
            </w:pPr>
            <w:r w:rsidRPr="001D200B">
              <w:rPr>
                <w:rFonts w:eastAsia="ArialMT"/>
              </w:rPr>
              <w:t>10-25%</w:t>
            </w:r>
          </w:p>
        </w:tc>
      </w:tr>
      <w:tr w:rsidR="00B23A7C" w:rsidRPr="001D200B" w:rsidTr="00EE5C38">
        <w:trPr>
          <w:jc w:val="center"/>
        </w:trPr>
        <w:tc>
          <w:tcPr>
            <w:tcW w:w="7285" w:type="dxa"/>
            <w:vAlign w:val="center"/>
          </w:tcPr>
          <w:p w:rsidR="00B23A7C" w:rsidRPr="001D200B" w:rsidRDefault="00B23A7C" w:rsidP="00EE5C38">
            <w:pPr>
              <w:spacing w:before="0" w:after="0" w:line="240" w:lineRule="auto"/>
              <w:rPr>
                <w:rFonts w:eastAsia="ArialMT"/>
              </w:rPr>
            </w:pPr>
            <w:r w:rsidRPr="001D200B">
              <w:rPr>
                <w:rFonts w:eastAsia="ArialMT"/>
              </w:rPr>
              <w:t>Wprowadzenie ekranów zagrzejnikowych</w:t>
            </w:r>
          </w:p>
        </w:tc>
        <w:tc>
          <w:tcPr>
            <w:tcW w:w="1895" w:type="dxa"/>
            <w:vAlign w:val="center"/>
          </w:tcPr>
          <w:p w:rsidR="00B23A7C" w:rsidRPr="001D200B" w:rsidRDefault="00B23A7C" w:rsidP="00EE5C38">
            <w:pPr>
              <w:spacing w:before="0" w:after="0" w:line="240" w:lineRule="auto"/>
              <w:jc w:val="center"/>
              <w:rPr>
                <w:rFonts w:eastAsia="ArialMT"/>
              </w:rPr>
            </w:pPr>
            <w:r w:rsidRPr="001D200B">
              <w:rPr>
                <w:rFonts w:eastAsia="ArialMT"/>
              </w:rPr>
              <w:t>2-3%</w:t>
            </w:r>
          </w:p>
        </w:tc>
      </w:tr>
      <w:tr w:rsidR="00B23A7C" w:rsidRPr="001D200B" w:rsidTr="00EE5C38">
        <w:trPr>
          <w:jc w:val="center"/>
        </w:trPr>
        <w:tc>
          <w:tcPr>
            <w:tcW w:w="7285" w:type="dxa"/>
            <w:vAlign w:val="center"/>
          </w:tcPr>
          <w:p w:rsidR="00B23A7C" w:rsidRPr="001D200B" w:rsidRDefault="00B23A7C" w:rsidP="00EE5C38">
            <w:pPr>
              <w:spacing w:before="0" w:after="0" w:line="240" w:lineRule="auto"/>
              <w:rPr>
                <w:rFonts w:eastAsia="ArialMT"/>
              </w:rPr>
            </w:pPr>
            <w:r w:rsidRPr="001D200B">
              <w:rPr>
                <w:rFonts w:eastAsia="ArialMT"/>
              </w:rPr>
              <w:t>Uszczelnienie okien i drzwi zewnętrznych</w:t>
            </w:r>
          </w:p>
        </w:tc>
        <w:tc>
          <w:tcPr>
            <w:tcW w:w="1895" w:type="dxa"/>
            <w:vAlign w:val="center"/>
          </w:tcPr>
          <w:p w:rsidR="00B23A7C" w:rsidRPr="001D200B" w:rsidRDefault="00B23A7C" w:rsidP="00EE5C38">
            <w:pPr>
              <w:spacing w:before="0" w:after="0" w:line="240" w:lineRule="auto"/>
              <w:jc w:val="center"/>
              <w:rPr>
                <w:rFonts w:eastAsia="ArialMT"/>
              </w:rPr>
            </w:pPr>
            <w:r w:rsidRPr="001D200B">
              <w:rPr>
                <w:rFonts w:eastAsia="ArialMT"/>
              </w:rPr>
              <w:t>5-8%</w:t>
            </w:r>
          </w:p>
        </w:tc>
      </w:tr>
      <w:tr w:rsidR="00B23A7C" w:rsidRPr="001D200B" w:rsidTr="00EE5C38">
        <w:trPr>
          <w:jc w:val="center"/>
        </w:trPr>
        <w:tc>
          <w:tcPr>
            <w:tcW w:w="7285" w:type="dxa"/>
            <w:vAlign w:val="center"/>
          </w:tcPr>
          <w:p w:rsidR="00B23A7C" w:rsidRPr="001D200B" w:rsidRDefault="00B23A7C" w:rsidP="00EE5C38">
            <w:pPr>
              <w:spacing w:before="0" w:after="0" w:line="240" w:lineRule="auto"/>
              <w:rPr>
                <w:rFonts w:eastAsia="ArialMT"/>
              </w:rPr>
            </w:pPr>
            <w:r w:rsidRPr="001D200B">
              <w:rPr>
                <w:rFonts w:eastAsia="ArialMT"/>
              </w:rPr>
              <w:t>Wymiana okien na okna o niższym U (współczynniki przenikania) i większej szczelności)</w:t>
            </w:r>
          </w:p>
        </w:tc>
        <w:tc>
          <w:tcPr>
            <w:tcW w:w="1895" w:type="dxa"/>
            <w:vAlign w:val="center"/>
          </w:tcPr>
          <w:p w:rsidR="00B23A7C" w:rsidRPr="001D200B" w:rsidRDefault="00B23A7C" w:rsidP="00EE5C38">
            <w:pPr>
              <w:spacing w:before="0" w:after="0" w:line="240" w:lineRule="auto"/>
              <w:jc w:val="center"/>
              <w:rPr>
                <w:rFonts w:eastAsia="ArialMT"/>
              </w:rPr>
            </w:pPr>
            <w:r w:rsidRPr="001D200B">
              <w:rPr>
                <w:rFonts w:eastAsia="ArialMT"/>
              </w:rPr>
              <w:t>10-15%</w:t>
            </w:r>
          </w:p>
        </w:tc>
      </w:tr>
      <w:tr w:rsidR="00B23A7C" w:rsidRPr="001D200B" w:rsidTr="00EE5C38">
        <w:trPr>
          <w:jc w:val="center"/>
        </w:trPr>
        <w:tc>
          <w:tcPr>
            <w:tcW w:w="7285" w:type="dxa"/>
            <w:vAlign w:val="center"/>
          </w:tcPr>
          <w:p w:rsidR="00B23A7C" w:rsidRPr="001D200B" w:rsidRDefault="00B23A7C" w:rsidP="00EE5C38">
            <w:pPr>
              <w:spacing w:before="0" w:after="0" w:line="240" w:lineRule="auto"/>
              <w:rPr>
                <w:rFonts w:eastAsia="ArialMT"/>
              </w:rPr>
            </w:pPr>
            <w:r w:rsidRPr="001D200B">
              <w:rPr>
                <w:rFonts w:eastAsia="ArialMT"/>
              </w:rPr>
              <w:t>Ocieplenie zewnętrznych przegród budowlanych (ścian, dachu, stropodachu)</w:t>
            </w:r>
          </w:p>
        </w:tc>
        <w:tc>
          <w:tcPr>
            <w:tcW w:w="1895" w:type="dxa"/>
            <w:vAlign w:val="center"/>
          </w:tcPr>
          <w:p w:rsidR="00B23A7C" w:rsidRPr="001D200B" w:rsidRDefault="00B23A7C" w:rsidP="00EE5C38">
            <w:pPr>
              <w:spacing w:before="0" w:after="0" w:line="240" w:lineRule="auto"/>
              <w:jc w:val="center"/>
              <w:rPr>
                <w:rFonts w:eastAsia="ArialMT"/>
              </w:rPr>
            </w:pPr>
            <w:r w:rsidRPr="001D200B">
              <w:rPr>
                <w:rFonts w:eastAsia="ArialMT"/>
              </w:rPr>
              <w:t>10-25%</w:t>
            </w:r>
          </w:p>
        </w:tc>
      </w:tr>
      <w:tr w:rsidR="00B23A7C" w:rsidRPr="001D200B" w:rsidTr="00EE5C38">
        <w:trPr>
          <w:jc w:val="center"/>
        </w:trPr>
        <w:tc>
          <w:tcPr>
            <w:tcW w:w="7285" w:type="dxa"/>
            <w:vAlign w:val="center"/>
          </w:tcPr>
          <w:p w:rsidR="00B23A7C" w:rsidRPr="001D200B" w:rsidRDefault="00B23A7C" w:rsidP="00EE5C38">
            <w:pPr>
              <w:spacing w:before="0" w:after="0" w:line="240" w:lineRule="auto"/>
              <w:rPr>
                <w:rFonts w:eastAsia="ArialMT"/>
              </w:rPr>
            </w:pPr>
            <w:r w:rsidRPr="001D200B">
              <w:rPr>
                <w:rFonts w:eastAsia="ArialMT"/>
              </w:rPr>
              <w:t>Niskotemperaturowe ogrzewanie podłogowe</w:t>
            </w:r>
          </w:p>
        </w:tc>
        <w:tc>
          <w:tcPr>
            <w:tcW w:w="1895" w:type="dxa"/>
            <w:vAlign w:val="center"/>
          </w:tcPr>
          <w:p w:rsidR="00B23A7C" w:rsidRPr="001D200B" w:rsidRDefault="00B23A7C" w:rsidP="00EE5C38">
            <w:pPr>
              <w:spacing w:before="0" w:after="0" w:line="240" w:lineRule="auto"/>
              <w:jc w:val="center"/>
              <w:rPr>
                <w:rFonts w:eastAsia="ArialMT"/>
              </w:rPr>
            </w:pPr>
            <w:r w:rsidRPr="001D200B">
              <w:rPr>
                <w:rFonts w:eastAsia="ArialMT"/>
              </w:rPr>
              <w:t>6-12%</w:t>
            </w:r>
          </w:p>
        </w:tc>
      </w:tr>
    </w:tbl>
    <w:p w:rsidR="00B23A7C" w:rsidRPr="001D200B" w:rsidRDefault="00B23A7C" w:rsidP="00915383">
      <w:pPr>
        <w:pStyle w:val="podtabelk"/>
        <w:rPr>
          <w:rFonts w:cstheme="minorHAnsi"/>
          <w:sz w:val="20"/>
          <w:szCs w:val="24"/>
          <w:highlight w:val="yellow"/>
        </w:rPr>
      </w:pPr>
      <w:r w:rsidRPr="001D200B">
        <w:t>Źródło: „Termomodernizacja Budynków. Poradnik Inwestora” – Krajowa Agencja Poszanowania Energii S.A. Warszawa</w:t>
      </w:r>
      <w:r w:rsidRPr="001D200B">
        <w:rPr>
          <w:rFonts w:cstheme="minorHAnsi"/>
          <w:sz w:val="20"/>
          <w:szCs w:val="24"/>
          <w:highlight w:val="yellow"/>
        </w:rPr>
        <w:br w:type="page"/>
      </w:r>
    </w:p>
    <w:p w:rsidR="00915383" w:rsidRPr="001D200B" w:rsidRDefault="00915383" w:rsidP="00B23A7C"/>
    <w:p w:rsidR="00B23A7C" w:rsidRPr="001D200B" w:rsidRDefault="00B23A7C" w:rsidP="00B23A7C">
      <w:r w:rsidRPr="001D200B">
        <w:t>Zadaniem gminy, w zakresie racjonalizacji potrzeb energetycznych zarządzanych obiektów, jest kontrolowanie sprawności grzewczej zainstalowanych kotłów, które po okresie amortyzacji należy poddać modernizacji ukierunkowanej na minimalizację zużycia energii i kosztów eksploatacji. Modernizacja źródeł ciepła z technicznego punktu widzenia polega głównie na:</w:t>
      </w:r>
    </w:p>
    <w:p w:rsidR="00B23A7C" w:rsidRPr="001D200B" w:rsidRDefault="00B23A7C" w:rsidP="00AF3812">
      <w:pPr>
        <w:pStyle w:val="wypunktowanie"/>
      </w:pPr>
      <w:r w:rsidRPr="001D200B">
        <w:t>wymianie istniejących kotłów na nowocześniejsze, o wyższej sprawności i mniejszej emisji zanieczyszczeń pyłowych i gazowych do atmosfery,</w:t>
      </w:r>
    </w:p>
    <w:p w:rsidR="00B23A7C" w:rsidRPr="001D200B" w:rsidRDefault="00B23A7C" w:rsidP="00AF3812">
      <w:pPr>
        <w:pStyle w:val="wypunktowanie"/>
      </w:pPr>
      <w:r w:rsidRPr="001D200B">
        <w:t>zastosowaniu nowoczesnych, wysokosprawnych i powodujących małe straty ciepła układów i urządzeń do przygotowania ciepłej wody użytkowej – w przypadku kotłowni dwufunkcyjnych,</w:t>
      </w:r>
    </w:p>
    <w:p w:rsidR="00B23A7C" w:rsidRPr="001D200B" w:rsidRDefault="00B23A7C" w:rsidP="00AF3812">
      <w:pPr>
        <w:pStyle w:val="wypunktowanie"/>
      </w:pPr>
      <w:r w:rsidRPr="001D200B">
        <w:t>zastosowaniu elektronicznej automatyzacji procesu spalania paliwa, dostosowującej produkcję ciepła do faktycznych warunków pogodowych oraz do chwilowego rozbioru ciepłej wody użytkowej.</w:t>
      </w:r>
    </w:p>
    <w:p w:rsidR="001959D5" w:rsidRPr="001D200B" w:rsidRDefault="00B23A7C" w:rsidP="001959D5">
      <w:r w:rsidRPr="001D200B">
        <w:t>Najlepsze efekty uzyskuje się przeprowadzając prace termomodernizacyjne obiektu kompleksowo i na podstawie audytu energetycznego, który określa techniczną możliwość</w:t>
      </w:r>
      <w:r w:rsidR="001959D5" w:rsidRPr="001D200B">
        <w:t xml:space="preserve"> prowadzenia prac oraz rodzaj usprawnień niezbędnych dla optymalizacji energetycznej budynku.</w:t>
      </w:r>
    </w:p>
    <w:p w:rsidR="001959D5" w:rsidRPr="001D200B" w:rsidRDefault="001959D5" w:rsidP="001959D5">
      <w:r w:rsidRPr="001D200B">
        <w:t>Ze wstępnej oceny stanu budynków użyteczności publicznej w gminie wynika, że prace termomodernizacyjne, w szczególności w zakresie docieplenia przegród budowlanych, wymiany okien w znacznej części z nich zostały przeprowadzone</w:t>
      </w:r>
      <w:r w:rsidR="00BD65FB" w:rsidRPr="001D200B">
        <w:t>.</w:t>
      </w:r>
    </w:p>
    <w:p w:rsidR="001959D5" w:rsidRPr="001D200B" w:rsidRDefault="001959D5" w:rsidP="001959D5">
      <w:r w:rsidRPr="001D200B">
        <w:t xml:space="preserve">Szacuje się, że podjęcie działań termomodernizacyjnych w budynkach użyteczności publicznej, może przynieść oszczędności w zużyciu energii na cele grzewcze tych budynków na poziomie do </w:t>
      </w:r>
      <w:r w:rsidR="00BD65FB" w:rsidRPr="001D200B">
        <w:t>25</w:t>
      </w:r>
      <w:r w:rsidRPr="001D200B">
        <w:t xml:space="preserve">%. </w:t>
      </w:r>
    </w:p>
    <w:p w:rsidR="001959D5" w:rsidRPr="001D200B" w:rsidRDefault="001959D5" w:rsidP="001959D5">
      <w:r w:rsidRPr="001D200B">
        <w:t xml:space="preserve">Alternatywnym rozwiązaniem w sytuacji stale rosnących cen energii jest modernizacja istniejących źródeł ciepła w kierunku zastosowania nowoczesnych rozwiązań na bazie odnawialnych źródeł energii. Możliwe do zastosowania w obiektach gminnych OZE to przede wszystkim instalacje słoneczne i pompy ciepła. </w:t>
      </w:r>
    </w:p>
    <w:p w:rsidR="001959D5" w:rsidRPr="001D200B" w:rsidRDefault="001959D5" w:rsidP="001959D5">
      <w:r w:rsidRPr="001D200B">
        <w:t xml:space="preserve">Przewidywany okres realizacji inwestycji sprzyjających poprawie efektywności energetycznej budynków należących do gminy zależy od możliwości finansowych budżetu oraz wiąże się z koniecznością pozyskania wsparcia finansowego (dotacji) ze źródeł zewnętrznych, w tym funduszy Unii Europejskiej. Samorząd gminy uzależnia stosowanie przedstawionych wyżej środków poprawy efektywności energetycznej od dostępności instrumentów służących ich finansowaniu. </w:t>
      </w:r>
    </w:p>
    <w:p w:rsidR="00B23A7C" w:rsidRPr="001D200B" w:rsidRDefault="00B23A7C" w:rsidP="00972F5C">
      <w:pPr>
        <w:spacing w:line="240" w:lineRule="auto"/>
        <w:rPr>
          <w:rFonts w:cstheme="minorHAnsi"/>
          <w:sz w:val="20"/>
          <w:szCs w:val="24"/>
          <w:highlight w:val="yellow"/>
        </w:rPr>
      </w:pPr>
    </w:p>
    <w:p w:rsidR="000B0CDE" w:rsidRPr="001D200B" w:rsidRDefault="000B0CDE" w:rsidP="00972F5C">
      <w:pPr>
        <w:rPr>
          <w:rFonts w:cstheme="minorHAnsi"/>
          <w:highlight w:val="yellow"/>
        </w:rPr>
      </w:pPr>
    </w:p>
    <w:p w:rsidR="00B00176" w:rsidRPr="001D200B" w:rsidRDefault="00B00176" w:rsidP="00B00176">
      <w:pPr>
        <w:pStyle w:val="Nagwek1"/>
        <w:rPr>
          <w:rFonts w:cstheme="minorHAnsi"/>
          <w:snapToGrid w:val="0"/>
        </w:rPr>
      </w:pPr>
      <w:bookmarkStart w:id="90" w:name="_Toc31972843"/>
      <w:r w:rsidRPr="001D200B">
        <w:rPr>
          <w:rFonts w:cstheme="minorHAnsi"/>
        </w:rPr>
        <w:lastRenderedPageBreak/>
        <w:t xml:space="preserve">VII. </w:t>
      </w:r>
      <w:r w:rsidR="001959D5" w:rsidRPr="001D200B">
        <w:rPr>
          <w:snapToGrid w:val="0"/>
        </w:rPr>
        <w:t>Możliwości wykorzystania istniejących nadwyżek i lokalnych zasobów paliw i energii, z uwzględnieniem energii elektrycznej i ciepła wytwarzanych w odnawialnych źródłach energii, energii elektrycznej i ciepła użytkowego wytwarzanych w kogeneracji oraz zagospodarowania ciepła odpadowego z instalacji przemysłowych</w:t>
      </w:r>
      <w:bookmarkEnd w:id="90"/>
    </w:p>
    <w:p w:rsidR="00B00176" w:rsidRPr="001D200B" w:rsidRDefault="001C2D00" w:rsidP="001C2D00">
      <w:pPr>
        <w:pStyle w:val="Nagwek2"/>
        <w:rPr>
          <w:rFonts w:cstheme="minorHAnsi"/>
        </w:rPr>
      </w:pPr>
      <w:bookmarkStart w:id="91" w:name="_Toc31972844"/>
      <w:r w:rsidRPr="001D200B">
        <w:rPr>
          <w:rFonts w:cstheme="minorHAnsi"/>
        </w:rPr>
        <w:t>1. Wstęp</w:t>
      </w:r>
      <w:bookmarkEnd w:id="91"/>
    </w:p>
    <w:p w:rsidR="00845E97" w:rsidRPr="001D200B" w:rsidRDefault="00845E97" w:rsidP="00845E97">
      <w:r w:rsidRPr="001D200B">
        <w:t xml:space="preserve">Zgodnie z ustawą Prawo energetyczne (art. 19, pkt 3) niniejszy dokument powinien określać m. in. wykorzystanie istniejących nadwyżek i lokalnych zasobów paliw i energii, z uwzględnieniem energii elektrycznej i ciepła wytwarzanych w odnawialnych źródłach energii, energii elektrycznej i ciepła użytkowego wytwarzanych w kogeneracji oraz zagospodarowania ciepła odpadowego z instalacji przemysłowych. </w:t>
      </w:r>
    </w:p>
    <w:p w:rsidR="00845E97" w:rsidRPr="001D200B" w:rsidRDefault="00845E97" w:rsidP="00845E97">
      <w:r w:rsidRPr="001D200B">
        <w:t xml:space="preserve">Pod pojęciem „odnawialne źródło energii” (OZE) zgodnie z ustawą o odnawialnych źródłach energii </w:t>
      </w:r>
      <w:r w:rsidR="00DA7904" w:rsidRPr="001D200B">
        <w:t>(tj. Dz. U. z 2020, poz. 261 ze zm.)</w:t>
      </w:r>
      <w:r w:rsidRPr="001D200B">
        <w:t xml:space="preserve"> rozumie się:</w:t>
      </w:r>
      <w:r w:rsidRPr="001D200B">
        <w:rPr>
          <w:i/>
          <w:iCs/>
        </w:rPr>
        <w:t xml:space="preserve"> </w:t>
      </w:r>
      <w:r w:rsidRPr="001D200B">
        <w:rPr>
          <w:b/>
          <w:i/>
        </w:rPr>
        <w:t>odnawialne, niekopalne źródło energii obejmujące energię wiatru, energię promieniowania słonecznego, energię aerotermalną, energię geotermalną, energię hydrotermalną, hydroenergię, energie fal, prądów i pływów morskich, energię otrzymywaną z biomasy, biogazu, biogazu rolniczego oraz z biopłynów.</w:t>
      </w:r>
    </w:p>
    <w:p w:rsidR="00845E97" w:rsidRPr="001D200B" w:rsidRDefault="00845E97" w:rsidP="00845E97">
      <w:r w:rsidRPr="001D200B">
        <w:t xml:space="preserve">Z dniem 25 czerwca 2009r. weszła w życie Dyrektywa Parlamentu Europejskiego i Rady 2009/28/WE z dnia 23 kwietnia 2009 r. </w:t>
      </w:r>
      <w:r w:rsidRPr="001D200B">
        <w:rPr>
          <w:i/>
        </w:rPr>
        <w:t>w sprawie promowania stosowania energii ze źródeł odnawialnych</w:t>
      </w:r>
      <w:r w:rsidRPr="001D200B">
        <w:t xml:space="preserve"> obligująca Państwa Członkowskie UE do promowania, zachęcania i wspierania inwestycji w źródła energii odnawialnej. W załączniku I do w/w dyrektywy zapisany został dla Polski 15% udział energii ze źródeł odnawialnych liczony w stosunku do finalnego zużyciu energii w 2020r.</w:t>
      </w:r>
    </w:p>
    <w:p w:rsidR="00845E97" w:rsidRPr="001D200B" w:rsidRDefault="00845E97" w:rsidP="00845E97">
      <w:r w:rsidRPr="001D200B">
        <w:t>Do potencjalnych korzyści, wynikających z wykorzystania odnawialnych źródeł energii należą m.in.:</w:t>
      </w:r>
    </w:p>
    <w:p w:rsidR="00845E97" w:rsidRPr="001D200B" w:rsidRDefault="00845E97" w:rsidP="00845E97">
      <w:pPr>
        <w:pStyle w:val="wypunktowanie"/>
      </w:pPr>
      <w:r w:rsidRPr="001D200B">
        <w:t xml:space="preserve">ograniczenie emisji zanieczyszczeń, w szczególności dwutlenku węgla – wdrożenie przedsięwzięć opartych na wykorzystaniu paliw ekologicznych może przynieść wymierne korzyści z zakresu ochrony środowiska, zmiana paliwa w dużych kotłowniach czy likwidacja indywidualnych źródeł węglowych, powodujących tzw. „niska emisję” zmniejszy uciążliwość życia mieszkańców; </w:t>
      </w:r>
    </w:p>
    <w:p w:rsidR="00845E97" w:rsidRPr="001D200B" w:rsidRDefault="00845E97" w:rsidP="00845E97">
      <w:pPr>
        <w:pStyle w:val="wypunktowanie"/>
      </w:pPr>
      <w:r w:rsidRPr="001D200B">
        <w:t>gospodarczy rozwój regionu, aktywizacja lokalnej społeczności – wykorzystanie nadwyżek słomy na cele energetyczne, możliwości zagospodarowania odłogów, ugorów i wprowadzanie dodatkowego źródła dochodów dla rolników, np. poprzez uprawę roślin energetycznych; zwiększenie upraw przemysłowych, powstanie wyspecjalizowanych podmiotów zajmujących się zbiorem lub dostaw</w:t>
      </w:r>
      <w:r w:rsidRPr="001D200B">
        <w:rPr>
          <w:rFonts w:cs="Courier New"/>
        </w:rPr>
        <w:t xml:space="preserve">ą </w:t>
      </w:r>
      <w:r w:rsidRPr="001D200B">
        <w:t xml:space="preserve">biomasy itp.; </w:t>
      </w:r>
    </w:p>
    <w:p w:rsidR="00845E97" w:rsidRPr="001D200B" w:rsidRDefault="00845E97" w:rsidP="00845E97">
      <w:pPr>
        <w:pStyle w:val="wypunktowanie"/>
      </w:pPr>
      <w:r w:rsidRPr="001D200B">
        <w:t xml:space="preserve">obniżenie kosztów pozyskania energii; </w:t>
      </w:r>
    </w:p>
    <w:p w:rsidR="00845E97" w:rsidRPr="001D200B" w:rsidRDefault="00845E97" w:rsidP="00845E97">
      <w:pPr>
        <w:pStyle w:val="wypunktowanie"/>
      </w:pPr>
      <w:r w:rsidRPr="001D200B">
        <w:lastRenderedPageBreak/>
        <w:t xml:space="preserve">poprawa zaopatrzenia w energię w szczególności terenów o słabej infrastrukturze energetycznej, np. rozwój lokalnego systemu rozdzielczego energii elektrycznej związanego z wprowadzeniem mocy z małych elektrowni wodnych; </w:t>
      </w:r>
    </w:p>
    <w:p w:rsidR="00845E97" w:rsidRPr="001D200B" w:rsidRDefault="00845E97" w:rsidP="00845E97">
      <w:pPr>
        <w:pStyle w:val="wypunktowanie"/>
      </w:pPr>
      <w:r w:rsidRPr="001D200B">
        <w:t>powstanie dodatkowych miejsc pracy na poziomie lokalnym;</w:t>
      </w:r>
    </w:p>
    <w:p w:rsidR="00845E97" w:rsidRPr="001D200B" w:rsidRDefault="00845E97" w:rsidP="00845E97">
      <w:pPr>
        <w:pStyle w:val="wypunktowanie"/>
      </w:pPr>
      <w:r w:rsidRPr="001D200B">
        <w:t xml:space="preserve">promowanie regionu jako czystego ekologicznie. </w:t>
      </w:r>
    </w:p>
    <w:p w:rsidR="00C70CC5" w:rsidRPr="001D200B" w:rsidRDefault="00845E97" w:rsidP="00845E97">
      <w:pPr>
        <w:rPr>
          <w:highlight w:val="yellow"/>
        </w:rPr>
      </w:pPr>
      <w:r w:rsidRPr="001D200B">
        <w:t>Poniżej przedstawiono krótką charakterystykę, poszczególnych rodzajów/źródeł energii wraz z odniesieniem do możliwości wykorzystania nadwyżek i lokalnych zasobów paliw i energii na terenie gminy Połaniec.</w:t>
      </w:r>
    </w:p>
    <w:p w:rsidR="00B500AE" w:rsidRPr="001D200B" w:rsidRDefault="00B500AE" w:rsidP="00B500AE">
      <w:pPr>
        <w:pStyle w:val="Nagwek2"/>
        <w:rPr>
          <w:rFonts w:cstheme="minorHAnsi"/>
        </w:rPr>
      </w:pPr>
      <w:bookmarkStart w:id="92" w:name="_Toc31972845"/>
      <w:r w:rsidRPr="001D200B">
        <w:rPr>
          <w:rFonts w:cstheme="minorHAnsi"/>
        </w:rPr>
        <w:t>2. Możliwości wykorzystania i zastosowania odnawialnych źródeł energii</w:t>
      </w:r>
      <w:bookmarkEnd w:id="92"/>
    </w:p>
    <w:p w:rsidR="00B00176" w:rsidRPr="001D200B" w:rsidRDefault="003D5D36" w:rsidP="003D5D36">
      <w:pPr>
        <w:pStyle w:val="Nagwek2"/>
        <w:rPr>
          <w:rFonts w:cstheme="minorHAnsi"/>
        </w:rPr>
      </w:pPr>
      <w:bookmarkStart w:id="93" w:name="_Toc31972846"/>
      <w:r w:rsidRPr="001D200B">
        <w:rPr>
          <w:rFonts w:cstheme="minorHAnsi"/>
        </w:rPr>
        <w:t xml:space="preserve">2.1. </w:t>
      </w:r>
      <w:r w:rsidR="001913C8" w:rsidRPr="001D200B">
        <w:rPr>
          <w:rFonts w:cstheme="minorHAnsi"/>
        </w:rPr>
        <w:t>Hydroenergetyka</w:t>
      </w:r>
      <w:bookmarkEnd w:id="93"/>
    </w:p>
    <w:p w:rsidR="00D06DFA" w:rsidRPr="001D200B" w:rsidRDefault="00D06DFA" w:rsidP="00D06DFA">
      <w:r w:rsidRPr="001D200B">
        <w:t xml:space="preserve">Obszar województwa świętokrzyskiego położony jest w całości w dorzeczu Wisły i obejmuje większą część międzyrzecza Wisły i jej lewostronnego dopływu – Pilicy. Teren ten odwadniany jest przez liczne rzeki, największe z nich to: Pilica, Nida z dopływami: Łośną, Bobrzą i Mierzawą, Kamienna ze Świśliną i Koprzywianką, Czarna Konecka, Czarna Staszowska z Łagowicą oraz Nidzica. Biorąc pod uwagę ogólną zasobność wód powierzchniowych województwo świętokrzyskie należy zaliczyć do obszarów deficytowych, z niskim poziomem retencji. </w:t>
      </w:r>
    </w:p>
    <w:p w:rsidR="00D06DFA" w:rsidRPr="001D200B" w:rsidRDefault="00D06DFA" w:rsidP="00D06DFA">
      <w:r w:rsidRPr="001D200B">
        <w:t xml:space="preserve">Obecnie wykorzystanie </w:t>
      </w:r>
      <w:r w:rsidRPr="001D200B">
        <w:rPr>
          <w:bCs/>
        </w:rPr>
        <w:t>energii wodnej</w:t>
      </w:r>
      <w:r w:rsidRPr="001D200B">
        <w:t xml:space="preserve"> na terenie województwa świętokrzyskiego jest niewielkie. Perspektywy rozwoju tej formy pozyskania energii w skali całego obszaru województwa są mało sprzyjające, gdyż niewiele rzek spełnia wymagania hydrotechniczne konieczne do usytuowania na nich elektrowni wodnych.</w:t>
      </w:r>
    </w:p>
    <w:p w:rsidR="00983DBF" w:rsidRPr="001D200B" w:rsidRDefault="00983DBF" w:rsidP="00983DBF">
      <w:pPr>
        <w:shd w:val="clear" w:color="auto" w:fill="F2F2F2" w:themeFill="background1" w:themeFillShade="F2"/>
        <w:rPr>
          <w:b/>
        </w:rPr>
      </w:pPr>
      <w:r w:rsidRPr="001D200B">
        <w:rPr>
          <w:b/>
        </w:rPr>
        <w:t>Możliwości budowy małych elektrowni wodnych na terenie gminy Połaniec</w:t>
      </w:r>
    </w:p>
    <w:p w:rsidR="00BC4DCD" w:rsidRPr="001D200B" w:rsidRDefault="000F5992" w:rsidP="00BC4DCD">
      <w:pPr>
        <w:rPr>
          <w:rFonts w:cstheme="minorHAnsi"/>
        </w:rPr>
      </w:pPr>
      <w:r w:rsidRPr="001D200B">
        <w:rPr>
          <w:rFonts w:cstheme="minorHAnsi"/>
        </w:rPr>
        <w:t xml:space="preserve">Pod względem hydrograficznym gmina położona jest w </w:t>
      </w:r>
      <w:r w:rsidR="000221E8" w:rsidRPr="001D200B">
        <w:rPr>
          <w:rFonts w:cstheme="minorHAnsi"/>
        </w:rPr>
        <w:t xml:space="preserve">obrębie </w:t>
      </w:r>
      <w:r w:rsidRPr="001D200B">
        <w:rPr>
          <w:rFonts w:cstheme="minorHAnsi"/>
        </w:rPr>
        <w:t>lewostronn</w:t>
      </w:r>
      <w:r w:rsidR="000221E8" w:rsidRPr="001D200B">
        <w:rPr>
          <w:rFonts w:cstheme="minorHAnsi"/>
        </w:rPr>
        <w:t>ego</w:t>
      </w:r>
      <w:r w:rsidRPr="001D200B">
        <w:rPr>
          <w:rFonts w:cstheme="minorHAnsi"/>
        </w:rPr>
        <w:t xml:space="preserve"> dorzecz</w:t>
      </w:r>
      <w:r w:rsidR="000221E8" w:rsidRPr="001D200B">
        <w:rPr>
          <w:rFonts w:cstheme="minorHAnsi"/>
        </w:rPr>
        <w:t xml:space="preserve">a rzeki Wisły, w </w:t>
      </w:r>
      <w:r w:rsidRPr="001D200B">
        <w:rPr>
          <w:rFonts w:cstheme="minorHAnsi"/>
        </w:rPr>
        <w:t>zlewni rzek: Wisły, Czarnej Staszowskej, Kanału Strumień, Wschodniej.</w:t>
      </w:r>
      <w:r w:rsidR="00BC4DCD" w:rsidRPr="001D200B">
        <w:rPr>
          <w:rFonts w:cstheme="minorHAnsi"/>
        </w:rPr>
        <w:t xml:space="preserve"> Obszar </w:t>
      </w:r>
      <w:r w:rsidR="00D27A95" w:rsidRPr="001D200B">
        <w:rPr>
          <w:rFonts w:cstheme="minorHAnsi"/>
        </w:rPr>
        <w:t xml:space="preserve">przecina również </w:t>
      </w:r>
      <w:r w:rsidR="00BC4DCD" w:rsidRPr="001D200B">
        <w:rPr>
          <w:rFonts w:cstheme="minorHAnsi"/>
        </w:rPr>
        <w:t>kilka mniejszych potoków</w:t>
      </w:r>
      <w:r w:rsidR="00D27A95" w:rsidRPr="001D200B">
        <w:rPr>
          <w:rFonts w:cstheme="minorHAnsi"/>
        </w:rPr>
        <w:t xml:space="preserve"> oraz gęsta sieć rowów melioracyjnych w</w:t>
      </w:r>
      <w:r w:rsidR="000221E8" w:rsidRPr="001D200B">
        <w:rPr>
          <w:rFonts w:cstheme="minorHAnsi"/>
        </w:rPr>
        <w:t> </w:t>
      </w:r>
      <w:r w:rsidR="00BC4DCD" w:rsidRPr="001D200B">
        <w:rPr>
          <w:rFonts w:cstheme="minorHAnsi"/>
        </w:rPr>
        <w:t>zlewni rzeki Wschodniej</w:t>
      </w:r>
      <w:r w:rsidR="00D27A95" w:rsidRPr="001D200B">
        <w:rPr>
          <w:rFonts w:cstheme="minorHAnsi"/>
        </w:rPr>
        <w:t xml:space="preserve">. </w:t>
      </w:r>
      <w:r w:rsidR="00BC4DCD" w:rsidRPr="001D200B">
        <w:rPr>
          <w:rFonts w:cstheme="minorHAnsi"/>
        </w:rPr>
        <w:t>Reżim hydrologiczny cieków zalicza się do umiarkowanych z</w:t>
      </w:r>
      <w:r w:rsidR="000221E8" w:rsidRPr="001D200B">
        <w:rPr>
          <w:rFonts w:cstheme="minorHAnsi"/>
        </w:rPr>
        <w:t> </w:t>
      </w:r>
      <w:r w:rsidR="00BC4DCD" w:rsidRPr="001D200B">
        <w:rPr>
          <w:rFonts w:cstheme="minorHAnsi"/>
        </w:rPr>
        <w:t>wezbraniem wiosennym i</w:t>
      </w:r>
      <w:r w:rsidR="002F7333" w:rsidRPr="001D200B">
        <w:rPr>
          <w:rFonts w:cstheme="minorHAnsi"/>
        </w:rPr>
        <w:t xml:space="preserve"> </w:t>
      </w:r>
      <w:r w:rsidR="00BC4DCD" w:rsidRPr="001D200B">
        <w:rPr>
          <w:rFonts w:cstheme="minorHAnsi"/>
        </w:rPr>
        <w:t>letnim oraz gruntowo – deszczowo -</w:t>
      </w:r>
      <w:r w:rsidR="00BC552F" w:rsidRPr="001D200B">
        <w:rPr>
          <w:rFonts w:cstheme="minorHAnsi"/>
        </w:rPr>
        <w:t xml:space="preserve"> </w:t>
      </w:r>
      <w:r w:rsidR="00BC4DCD" w:rsidRPr="001D200B">
        <w:rPr>
          <w:rFonts w:cstheme="minorHAnsi"/>
        </w:rPr>
        <w:t xml:space="preserve">śnieżnym zasilaniem. </w:t>
      </w:r>
    </w:p>
    <w:p w:rsidR="000221E8" w:rsidRPr="001D200B" w:rsidRDefault="000F5992" w:rsidP="000221E8">
      <w:pPr>
        <w:rPr>
          <w:rFonts w:cstheme="minorHAnsi"/>
        </w:rPr>
      </w:pPr>
      <w:r w:rsidRPr="001D200B">
        <w:rPr>
          <w:rFonts w:cstheme="minorHAnsi"/>
        </w:rPr>
        <w:t xml:space="preserve">Na obszarze gminy </w:t>
      </w:r>
      <w:r w:rsidR="00BC4DCD" w:rsidRPr="001D200B">
        <w:rPr>
          <w:rFonts w:cstheme="minorHAnsi"/>
        </w:rPr>
        <w:t xml:space="preserve">obecnie </w:t>
      </w:r>
      <w:r w:rsidRPr="001D200B">
        <w:rPr>
          <w:rFonts w:cstheme="minorHAnsi"/>
        </w:rPr>
        <w:t>znajduje się jeden zbiornik małej retencji „Połaniec” na rzece Wschodniej</w:t>
      </w:r>
      <w:r w:rsidR="00BC552F" w:rsidRPr="001D200B">
        <w:rPr>
          <w:rFonts w:cstheme="minorHAnsi"/>
        </w:rPr>
        <w:t>.</w:t>
      </w:r>
      <w:r w:rsidR="007451DC" w:rsidRPr="001D200B">
        <w:rPr>
          <w:rFonts w:cstheme="minorHAnsi"/>
        </w:rPr>
        <w:t xml:space="preserve"> </w:t>
      </w:r>
      <w:r w:rsidR="000221E8" w:rsidRPr="001D200B">
        <w:rPr>
          <w:rFonts w:cstheme="minorHAnsi"/>
        </w:rPr>
        <w:t>Do obiektów małej retencji występujących na obszarze gminy można zliczyć staw o pojemności 511 tys. m</w:t>
      </w:r>
      <w:r w:rsidR="000221E8" w:rsidRPr="001D200B">
        <w:rPr>
          <w:rFonts w:cstheme="minorHAnsi"/>
          <w:vertAlign w:val="superscript"/>
        </w:rPr>
        <w:t>3</w:t>
      </w:r>
      <w:r w:rsidR="000221E8" w:rsidRPr="001D200B">
        <w:rPr>
          <w:rFonts w:cstheme="minorHAnsi"/>
        </w:rPr>
        <w:t xml:space="preserve">, którego zlewnią podstawową jest rzeka Czarna Staszowska. </w:t>
      </w:r>
    </w:p>
    <w:p w:rsidR="000F5992" w:rsidRPr="001D200B" w:rsidRDefault="000221E8" w:rsidP="000F5992">
      <w:pPr>
        <w:rPr>
          <w:rFonts w:cstheme="minorHAnsi"/>
        </w:rPr>
      </w:pPr>
      <w:r w:rsidRPr="001D200B">
        <w:rPr>
          <w:rFonts w:cstheme="minorHAnsi"/>
        </w:rPr>
        <w:t>Obecnie na</w:t>
      </w:r>
      <w:r w:rsidR="000F5992" w:rsidRPr="001D200B">
        <w:rPr>
          <w:rFonts w:cstheme="minorHAnsi"/>
        </w:rPr>
        <w:t xml:space="preserve"> terenie </w:t>
      </w:r>
      <w:r w:rsidRPr="001D200B">
        <w:rPr>
          <w:rFonts w:cstheme="minorHAnsi"/>
        </w:rPr>
        <w:t>g</w:t>
      </w:r>
      <w:r w:rsidR="000F5992" w:rsidRPr="001D200B">
        <w:rPr>
          <w:rFonts w:cstheme="minorHAnsi"/>
        </w:rPr>
        <w:t xml:space="preserve">miny Połaniec funkcjonuje jedna instalacja energetyczna wykorzystująca energię wody. Jest to mała elektrownia wodna zlokalizowana na rzece Wschodniej, której moc zainstalowana wynosi </w:t>
      </w:r>
      <w:r w:rsidR="00252DBC" w:rsidRPr="001D200B">
        <w:rPr>
          <w:rFonts w:cstheme="minorHAnsi"/>
        </w:rPr>
        <w:t>16</w:t>
      </w:r>
      <w:r w:rsidR="000F5992" w:rsidRPr="001D200B">
        <w:rPr>
          <w:rFonts w:cstheme="minorHAnsi"/>
        </w:rPr>
        <w:t xml:space="preserve"> kW.</w:t>
      </w:r>
      <w:r w:rsidR="00973EB1" w:rsidRPr="001D200B">
        <w:rPr>
          <w:rFonts w:cstheme="minorHAnsi"/>
        </w:rPr>
        <w:t xml:space="preserve"> Elektrownia przyłączona jest do sieci dystrybucji energii elektrycznej Zakłady Energetycznego PGE Dystrybucja S.A. Oddział Rzeszów.</w:t>
      </w:r>
    </w:p>
    <w:p w:rsidR="000F5992" w:rsidRPr="001D200B" w:rsidRDefault="000F5992" w:rsidP="000F5992">
      <w:pPr>
        <w:rPr>
          <w:rFonts w:cstheme="minorHAnsi"/>
        </w:rPr>
      </w:pPr>
      <w:r w:rsidRPr="001D200B">
        <w:rPr>
          <w:rFonts w:cstheme="minorHAnsi"/>
        </w:rPr>
        <w:lastRenderedPageBreak/>
        <w:t xml:space="preserve">Ocenia się, że teren </w:t>
      </w:r>
      <w:r w:rsidR="00311D1D" w:rsidRPr="001D200B">
        <w:rPr>
          <w:rFonts w:cstheme="minorHAnsi"/>
        </w:rPr>
        <w:t>g</w:t>
      </w:r>
      <w:r w:rsidRPr="001D200B">
        <w:rPr>
          <w:rFonts w:cstheme="minorHAnsi"/>
        </w:rPr>
        <w:t xml:space="preserve">miny Połaniec nie należy do obszarów perspektywicznych w zakresie budowy </w:t>
      </w:r>
      <w:r w:rsidR="00311D1D" w:rsidRPr="001D200B">
        <w:rPr>
          <w:rFonts w:cstheme="minorHAnsi"/>
        </w:rPr>
        <w:t>obiektów energetyki wodnej.</w:t>
      </w:r>
      <w:r w:rsidR="00CB40FB" w:rsidRPr="001D200B">
        <w:rPr>
          <w:rFonts w:cstheme="minorHAnsi"/>
        </w:rPr>
        <w:t xml:space="preserve"> </w:t>
      </w:r>
      <w:r w:rsidR="00311D1D" w:rsidRPr="001D200B">
        <w:rPr>
          <w:rFonts w:cstheme="minorHAnsi"/>
        </w:rPr>
        <w:t>Aktualnie brak informacji o planowanych inwestycjach związanych z energetyką wodną.</w:t>
      </w:r>
    </w:p>
    <w:p w:rsidR="00CB4C95" w:rsidRPr="001D200B" w:rsidRDefault="00CB4C95" w:rsidP="00CB4C95">
      <w:pPr>
        <w:pStyle w:val="Nagwek2"/>
        <w:rPr>
          <w:rFonts w:cstheme="minorHAnsi"/>
        </w:rPr>
      </w:pPr>
      <w:bookmarkStart w:id="94" w:name="_Toc31972847"/>
      <w:r w:rsidRPr="001D200B">
        <w:rPr>
          <w:rFonts w:cstheme="minorHAnsi"/>
        </w:rPr>
        <w:t>2.2. Ciepło geotermalne</w:t>
      </w:r>
      <w:r w:rsidR="00CB40FB" w:rsidRPr="001D200B">
        <w:rPr>
          <w:rFonts w:cstheme="minorHAnsi"/>
        </w:rPr>
        <w:t>/ pompy ciepła</w:t>
      </w:r>
      <w:bookmarkEnd w:id="94"/>
    </w:p>
    <w:p w:rsidR="00CB40FB" w:rsidRPr="001D200B" w:rsidRDefault="00CB40FB" w:rsidP="00CB40FB">
      <w:r w:rsidRPr="001D200B">
        <w:t xml:space="preserve">Energia geotermalna to wewnętrzne, naturalne ciepło Ziemi nagromadzone w skałach oraz w wodach wypełniających pory i szczeliny skalne, które można wykorzystać przede wszystkim na potrzeby produkcji energii elektrycznej, energii cieplnej (poprzez ciepłownie geotermalne i pompy ciepła) oraz w balneologii. </w:t>
      </w:r>
    </w:p>
    <w:p w:rsidR="00CB40FB" w:rsidRPr="001D200B" w:rsidRDefault="00CB40FB" w:rsidP="00CB40FB">
      <w:r w:rsidRPr="001D200B">
        <w:t xml:space="preserve">Oszacowanie potencjału energii geotermalnej możliwej do uzyskania wiąże się z koniecznością oceny zasobów eksploatacyjnych, tj. przeprowadzenia próbnych odwiertów, które wymagają wysokich nakładów finansowych. Wielkość zasobów eksploatacyjnych wód geotermalnych sprowadza się do udokumentowania realnej i racjonalnej możliwości eksploatacji wód z określoną wydajnością w ustalonym lub nieograniczonym przedziale na danym terenie. </w:t>
      </w:r>
    </w:p>
    <w:p w:rsidR="00CB40FB" w:rsidRPr="001D200B" w:rsidRDefault="00CB40FB" w:rsidP="00CB40FB">
      <w:pPr>
        <w:shd w:val="clear" w:color="auto" w:fill="F2F2F2" w:themeFill="background1" w:themeFillShade="F2"/>
        <w:rPr>
          <w:b/>
        </w:rPr>
      </w:pPr>
      <w:r w:rsidRPr="001D200B">
        <w:rPr>
          <w:b/>
        </w:rPr>
        <w:t>Możliwości wykorzystania ciepła geotermalnego na terenie gminy Połaniec</w:t>
      </w:r>
    </w:p>
    <w:p w:rsidR="00CB40FB" w:rsidRPr="001D200B" w:rsidRDefault="00CB40FB" w:rsidP="00CB40FB">
      <w:pPr>
        <w:rPr>
          <w:highlight w:val="yellow"/>
        </w:rPr>
      </w:pPr>
      <w:r w:rsidRPr="001D200B">
        <w:t>Obecny stan rozpoznania wód geotermalnych na przedmiotowym terenie nie jest wystarczający dla określenia opłacalności inwestycji związanych z budową ciepłowni geotermalnych. Ewentualne inwestycje wymagają oszacowania potencjału energii wód geotermalnych za pomocą próbnych odwiertów.</w:t>
      </w:r>
    </w:p>
    <w:p w:rsidR="00CB40FB" w:rsidRPr="001D200B" w:rsidRDefault="00CB40FB" w:rsidP="00CB40FB">
      <w:r w:rsidRPr="001D200B">
        <w:t>Alternatywą dla dużych systemów energetyki geotermalnej mogą być inne rozwiązania wykorzystujące energię skumulowaną w gruncie, m.in. pompy ciepła (płytka geotermia). Zasadą pracy takiej instalacji jest wykorzystanie energii wód podskórnych i ciepła ziemi o stosunkowo niskiej temperaturze, jako wspomaganie źródeł konwencjonalnych (ogrzewanie termodynamiczne). Sugeruje się wybór pomp ciepła pracujących latem na zaspokojenie potrzeb związanych z przygotowaniem ciepłej wody użytkowej, zaś zimą o mocy zdolnej zaspokoić potrzeby cieplne przy średnich temperaturach w sezonie grzewczym. Urządzenia tego typu są produkowane i mogą być stosowane zarówno w domach jednorodzinnych w terenach o rozproszonej zabudowie, w budynkach użyteczności publicznej – jednak koszt instalacji urządzeń i koszt wytworzenia energii przewyższa źródła konwencjonalne.</w:t>
      </w:r>
    </w:p>
    <w:p w:rsidR="00B00176" w:rsidRPr="001D200B" w:rsidRDefault="003D5D36" w:rsidP="003D5D36">
      <w:pPr>
        <w:pStyle w:val="Nagwek2"/>
        <w:rPr>
          <w:rFonts w:cstheme="minorHAnsi"/>
        </w:rPr>
      </w:pPr>
      <w:bookmarkStart w:id="95" w:name="_Toc31972848"/>
      <w:r w:rsidRPr="001D200B">
        <w:rPr>
          <w:rFonts w:cstheme="minorHAnsi"/>
        </w:rPr>
        <w:t>2.</w:t>
      </w:r>
      <w:r w:rsidR="001F0D16" w:rsidRPr="001D200B">
        <w:rPr>
          <w:rFonts w:cstheme="minorHAnsi"/>
        </w:rPr>
        <w:t>3</w:t>
      </w:r>
      <w:r w:rsidRPr="001D200B">
        <w:rPr>
          <w:rFonts w:cstheme="minorHAnsi"/>
        </w:rPr>
        <w:t xml:space="preserve">. </w:t>
      </w:r>
      <w:r w:rsidR="00B00176" w:rsidRPr="001D200B">
        <w:rPr>
          <w:rFonts w:cstheme="minorHAnsi"/>
        </w:rPr>
        <w:t>Energia wiatru</w:t>
      </w:r>
      <w:bookmarkEnd w:id="95"/>
    </w:p>
    <w:p w:rsidR="0013354C" w:rsidRPr="001D200B" w:rsidRDefault="0013354C" w:rsidP="0013354C">
      <w:r w:rsidRPr="001D200B">
        <w:rPr>
          <w:rFonts w:cstheme="minorHAnsi"/>
        </w:rPr>
        <w:t xml:space="preserve">Według opracowanych dla obszaru Polski stref energetycznych wiatru (źródło Instytut </w:t>
      </w:r>
      <w:r w:rsidRPr="001D200B">
        <w:t>Meteorologii i Gospodarki Wodnej) obszar województwa świętokrzyskiego pod względem zasobów wiatru i potencjału technicznego dla budowy elektrowni wiatrowych podzielony jest umownie na dwie strefy wietrzności:</w:t>
      </w:r>
    </w:p>
    <w:p w:rsidR="0013354C" w:rsidRPr="001D200B" w:rsidRDefault="0013354C" w:rsidP="0013354C">
      <w:pPr>
        <w:rPr>
          <w:rFonts w:cstheme="minorHAnsi"/>
          <w:snapToGrid w:val="0"/>
        </w:rPr>
      </w:pPr>
      <w:r w:rsidRPr="001D200B">
        <w:rPr>
          <w:rFonts w:cstheme="minorHAnsi"/>
          <w:b/>
          <w:i/>
          <w:snapToGrid w:val="0"/>
        </w:rPr>
        <w:lastRenderedPageBreak/>
        <w:t xml:space="preserve">- </w:t>
      </w:r>
      <w:r w:rsidRPr="001D200B">
        <w:rPr>
          <w:b/>
          <w:i/>
        </w:rPr>
        <w:t>strefa „korzystna”</w:t>
      </w:r>
      <w:r w:rsidRPr="001D200B">
        <w:t xml:space="preserve"> obejmująca północno–wschodnią część województwa (powiaty: konecki, skarżyski, starachowicki, ostrowiecki, opatowski, sandomierski oraz częściowo staszowski i kielecki ziemski);</w:t>
      </w:r>
    </w:p>
    <w:p w:rsidR="0013354C" w:rsidRPr="001D200B" w:rsidRDefault="0013354C" w:rsidP="0013354C">
      <w:pPr>
        <w:rPr>
          <w:snapToGrid w:val="0"/>
        </w:rPr>
      </w:pPr>
      <w:r w:rsidRPr="001D200B">
        <w:rPr>
          <w:snapToGrid w:val="0"/>
        </w:rPr>
        <w:t xml:space="preserve">- </w:t>
      </w:r>
      <w:r w:rsidRPr="001D200B">
        <w:rPr>
          <w:b/>
          <w:i/>
          <w:snapToGrid w:val="0"/>
        </w:rPr>
        <w:t>strefa „mało korzystna”</w:t>
      </w:r>
      <w:r w:rsidRPr="001D200B">
        <w:rPr>
          <w:snapToGrid w:val="0"/>
        </w:rPr>
        <w:t xml:space="preserve"> obejmująca pozostałą część województwa.</w:t>
      </w:r>
    </w:p>
    <w:p w:rsidR="00467AAC" w:rsidRPr="001D200B" w:rsidRDefault="00467AAC" w:rsidP="00467AAC">
      <w:pPr>
        <w:shd w:val="clear" w:color="auto" w:fill="F2F2F2" w:themeFill="background1" w:themeFillShade="F2"/>
        <w:rPr>
          <w:b/>
        </w:rPr>
      </w:pPr>
      <w:r w:rsidRPr="001D200B">
        <w:rPr>
          <w:b/>
        </w:rPr>
        <w:t>Możliwości wykorzystania e</w:t>
      </w:r>
      <w:r w:rsidR="0012422D" w:rsidRPr="001D200B">
        <w:rPr>
          <w:b/>
        </w:rPr>
        <w:t>nergii wiatru na terenie gminy Połaniec</w:t>
      </w:r>
    </w:p>
    <w:p w:rsidR="00467AAC" w:rsidRPr="001D200B" w:rsidRDefault="0007764A" w:rsidP="00467AAC">
      <w:r w:rsidRPr="001D200B">
        <w:rPr>
          <w:rFonts w:eastAsia="ArialMT"/>
        </w:rPr>
        <w:t xml:space="preserve">Według opracowanych dla obszaru Polski stref energetycznych wiatru (źródło Instytut Meteorologii i Gospodarki Wodnej) gmina Połaniec znajduje się na obszarze IV kategorii dla lokalizacji elektrowni wiatrowych, czyli w rejonie uznawanym za mało korzystny pod względem zasobów wiatru i potencjału technicznego dla budowy elektrowni wiatrowych. Przynależność gminy do tej strefy stanowi o niewielkich możliwościach efektywnej pracy siłowni wiatrowych. </w:t>
      </w:r>
      <w:r w:rsidR="00467AAC" w:rsidRPr="001D200B">
        <w:t>Pomimo, że Gmina Połaniec znajduje się na obszarach o teoretycznie małych możliwościach pozyskiwania energii z wiatru, dla wykluczenia opłacalności inwestycji związanych z budową elektrowni wiatrowych niezbędne są pomiary średniej rocznej i sezonowych wielkości energii wiatru oraz zasobów energii wiatru (w m/s), dla wskazanych wysokości zawieszenia wirnika turbiny wiatrowej.</w:t>
      </w:r>
    </w:p>
    <w:p w:rsidR="00467AAC" w:rsidRPr="001D200B" w:rsidRDefault="00467AAC" w:rsidP="00467AAC">
      <w:r w:rsidRPr="001D200B">
        <w:t xml:space="preserve">Obecnie na terenie gminy nie funkcjonują elektrownie wiatrowe, brak również planów inwestycyjnych w tym zakresie. </w:t>
      </w:r>
    </w:p>
    <w:p w:rsidR="00B00176" w:rsidRPr="001D200B" w:rsidRDefault="003D5D36" w:rsidP="003D5D36">
      <w:pPr>
        <w:pStyle w:val="Nagwek2"/>
        <w:rPr>
          <w:rFonts w:cstheme="minorHAnsi"/>
        </w:rPr>
      </w:pPr>
      <w:bookmarkStart w:id="96" w:name="_Toc31972849"/>
      <w:r w:rsidRPr="001D200B">
        <w:rPr>
          <w:rFonts w:cstheme="minorHAnsi"/>
        </w:rPr>
        <w:t xml:space="preserve">2.4. </w:t>
      </w:r>
      <w:r w:rsidR="00B00176" w:rsidRPr="001D200B">
        <w:rPr>
          <w:rFonts w:cstheme="minorHAnsi"/>
        </w:rPr>
        <w:t>Energia słoneczna</w:t>
      </w:r>
      <w:bookmarkEnd w:id="96"/>
    </w:p>
    <w:p w:rsidR="00467AAC" w:rsidRPr="001D200B" w:rsidRDefault="00467AAC" w:rsidP="00467AAC">
      <w:r w:rsidRPr="001D200B">
        <w:rPr>
          <w:noProof/>
        </w:rPr>
        <w:drawing>
          <wp:anchor distT="0" distB="0" distL="114300" distR="114300" simplePos="0" relativeHeight="251682816" behindDoc="0" locked="0" layoutInCell="1" allowOverlap="1">
            <wp:simplePos x="0" y="0"/>
            <wp:positionH relativeFrom="margin">
              <wp:align>left</wp:align>
            </wp:positionH>
            <wp:positionV relativeFrom="margin">
              <wp:align>bottom</wp:align>
            </wp:positionV>
            <wp:extent cx="2847975" cy="2867025"/>
            <wp:effectExtent l="19050" t="0" r="9525" b="0"/>
            <wp:wrapSquare wrapText="bothSides"/>
            <wp:docPr id="2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cstate="print">
                      <a:lum contrast="12000"/>
                    </a:blip>
                    <a:srcRect/>
                    <a:stretch>
                      <a:fillRect/>
                    </a:stretch>
                  </pic:blipFill>
                  <pic:spPr bwMode="auto">
                    <a:xfrm>
                      <a:off x="0" y="0"/>
                      <a:ext cx="2847975" cy="2867025"/>
                    </a:xfrm>
                    <a:prstGeom prst="rect">
                      <a:avLst/>
                    </a:prstGeom>
                    <a:noFill/>
                    <a:ln w="9525">
                      <a:noFill/>
                      <a:miter lim="800000"/>
                      <a:headEnd/>
                      <a:tailEnd/>
                    </a:ln>
                  </pic:spPr>
                </pic:pic>
              </a:graphicData>
            </a:graphic>
          </wp:anchor>
        </w:drawing>
      </w:r>
      <w:r w:rsidRPr="001D200B">
        <w:t>Energia promieniowania słonecznego to z punktu widzenia ekologii najbardziej atrakcyjne źródło energii odnawialnej (brak efektów ubocznych, szkodliwych emisji oraz zubożenia naturalnych zasobów w trakcie wykorzystywania). Energia promieniowania słonecznego wykorzystywana jest w dwojaki sposób: do produkcji energii elektrycznej bądź ciepła.</w:t>
      </w:r>
    </w:p>
    <w:p w:rsidR="00467AAC" w:rsidRPr="001D200B" w:rsidRDefault="00467AAC" w:rsidP="00467AAC">
      <w:r w:rsidRPr="001D200B">
        <w:t>W Polsce generalnie istnieją dobre warunki do wykorzystania energii promieniowania słonecznego przy dostosowaniu typu systemów i właściwości urządzeń wykorzystujących tę energię do charakteru, struktury i rozkładu w czasie promieniowania słonecznego.</w:t>
      </w:r>
    </w:p>
    <w:p w:rsidR="00467AAC" w:rsidRPr="001D200B" w:rsidRDefault="00467AAC" w:rsidP="00467AAC">
      <w:pPr>
        <w:rPr>
          <w:rStyle w:val="mala"/>
        </w:rPr>
      </w:pPr>
      <w:r w:rsidRPr="001D200B">
        <w:t>Cały obszar województwa świętokrzyskiego preferowany jest dla rozwoju energetyki słonecznej (na mapce pokazano śre</w:t>
      </w:r>
      <w:r w:rsidRPr="001D200B">
        <w:rPr>
          <w:rStyle w:val="mala"/>
        </w:rPr>
        <w:t>dnioroczne sumy promieniowania słonecznego całkowitego padającego na jednostkę powierzchni poziomej w kWh/m</w:t>
      </w:r>
      <w:r w:rsidRPr="001D200B">
        <w:rPr>
          <w:rStyle w:val="mala"/>
          <w:vertAlign w:val="superscript"/>
        </w:rPr>
        <w:t>2</w:t>
      </w:r>
      <w:r w:rsidRPr="001D200B">
        <w:rPr>
          <w:rStyle w:val="mala"/>
        </w:rPr>
        <w:t>).</w:t>
      </w:r>
    </w:p>
    <w:p w:rsidR="00467AAC" w:rsidRPr="001D200B" w:rsidRDefault="00467AAC" w:rsidP="00467AAC">
      <w:r w:rsidRPr="001D200B">
        <w:lastRenderedPageBreak/>
        <w:t xml:space="preserve">Obecnie w skali województwa energię słoneczną wykorzystuje się w niewielkich ilościach, głównie do wspomagania ogrzewania pomieszczeń i podgrzewania wody użytkowej, jednak energia słoneczna uznawana jest za najbardziej potencjalną w produkcji energii odnawialnej w regionie. Energia słoneczna wykorzystywana jest w głównej mierze przez indywidualnych inwestorów, coraz częściej w tego rodzaju źródła inwestują samorządy lokalne. </w:t>
      </w:r>
    </w:p>
    <w:p w:rsidR="009C7F6C" w:rsidRPr="001D200B" w:rsidRDefault="009C7F6C" w:rsidP="009C7F6C">
      <w:pPr>
        <w:shd w:val="clear" w:color="auto" w:fill="F2F2F2" w:themeFill="background1" w:themeFillShade="F2"/>
        <w:rPr>
          <w:b/>
        </w:rPr>
      </w:pPr>
      <w:r w:rsidRPr="001D200B">
        <w:rPr>
          <w:b/>
        </w:rPr>
        <w:t>Możliwości wykorzystania energii słonecznej na terenie gminy Połaniec</w:t>
      </w:r>
    </w:p>
    <w:p w:rsidR="00831B68" w:rsidRPr="001D200B" w:rsidRDefault="00831B68" w:rsidP="008D7AFD">
      <w:pPr>
        <w:rPr>
          <w:rFonts w:cstheme="minorHAnsi"/>
        </w:rPr>
      </w:pPr>
      <w:r w:rsidRPr="001D200B">
        <w:rPr>
          <w:rFonts w:cstheme="minorHAnsi"/>
        </w:rPr>
        <w:t xml:space="preserve">Według rejonizacji obszaru Polski pod względem możliwości wykorzystania energii słonecznej, cały teren </w:t>
      </w:r>
      <w:r w:rsidR="008D7AFD" w:rsidRPr="001D200B">
        <w:rPr>
          <w:rFonts w:cstheme="minorHAnsi"/>
        </w:rPr>
        <w:t>g</w:t>
      </w:r>
      <w:r w:rsidRPr="001D200B">
        <w:rPr>
          <w:rFonts w:cstheme="minorHAnsi"/>
        </w:rPr>
        <w:t>miny Połaniec znajduje się w rejonie RIII (rejon centralny). Uśredniony potencjał energii promieniowania słonecznego w ciągu roku dla tego rejonu wynosi ok. 985 kWh/m</w:t>
      </w:r>
      <w:r w:rsidRPr="001D200B">
        <w:rPr>
          <w:rFonts w:cstheme="minorHAnsi"/>
          <w:vertAlign w:val="superscript"/>
        </w:rPr>
        <w:t>2</w:t>
      </w:r>
      <w:r w:rsidRPr="001D200B">
        <w:rPr>
          <w:rFonts w:cstheme="minorHAnsi"/>
        </w:rPr>
        <w:t>. W podziale na okres letni i zimowy potencjał energetyczny promieniowania słonecznego wynosi odpowiednio: ok. 785 kWh/m</w:t>
      </w:r>
      <w:r w:rsidRPr="001D200B">
        <w:rPr>
          <w:rFonts w:cstheme="minorHAnsi"/>
          <w:vertAlign w:val="superscript"/>
        </w:rPr>
        <w:t>2</w:t>
      </w:r>
      <w:r w:rsidRPr="001D200B">
        <w:rPr>
          <w:rFonts w:cstheme="minorHAnsi"/>
        </w:rPr>
        <w:t xml:space="preserve"> i 200 kWh/m</w:t>
      </w:r>
      <w:r w:rsidRPr="001D200B">
        <w:rPr>
          <w:rFonts w:cstheme="minorHAnsi"/>
          <w:vertAlign w:val="superscript"/>
        </w:rPr>
        <w:t>2</w:t>
      </w:r>
      <w:r w:rsidRPr="001D200B">
        <w:rPr>
          <w:rFonts w:cstheme="minorHAnsi"/>
        </w:rPr>
        <w:t>.</w:t>
      </w:r>
    </w:p>
    <w:p w:rsidR="009C7F6C" w:rsidRPr="001D200B" w:rsidRDefault="009C7F6C" w:rsidP="009C7F6C">
      <w:r w:rsidRPr="001D200B">
        <w:t xml:space="preserve">Na terenie gminy Połaniec możliwe jest pozyskanie energii słonecznej o charakterze zdecentralizowanym, zarówno w domach mieszkalnych, jak i w budynkach użyteczności publicznej i działalności gospodarczej. </w:t>
      </w:r>
    </w:p>
    <w:p w:rsidR="005D675E" w:rsidRPr="001D200B" w:rsidRDefault="005D675E" w:rsidP="005D675E">
      <w:r w:rsidRPr="001D200B">
        <w:t>Aktualnie, zgodnie z informacją PGE Dystrybucja S.A. Oddział Rzeszów na ter</w:t>
      </w:r>
      <w:r w:rsidR="00692BAE" w:rsidRPr="001D200B">
        <w:t>e</w:t>
      </w:r>
      <w:r w:rsidRPr="001D200B">
        <w:t xml:space="preserve">nie gminy </w:t>
      </w:r>
      <w:r w:rsidR="00AB057D" w:rsidRPr="001D200B">
        <w:t>funkcjonują mikroinstalacje fotowoltaiczne (w miejscowościach Połaniec, Kamieniec, Maśnik, Ruda, Ruszcza, Rybitwy, Tursko Małe Kolonia, Winnica, Wymysłów, Zawada, Zrębin) o łącznej mocy przyłączeniowej 0,377 MW.</w:t>
      </w:r>
    </w:p>
    <w:p w:rsidR="00BC6912" w:rsidRPr="001D200B" w:rsidRDefault="00BC6912" w:rsidP="00831B68">
      <w:pPr>
        <w:rPr>
          <w:rFonts w:cstheme="minorHAnsi"/>
        </w:rPr>
      </w:pPr>
      <w:r w:rsidRPr="001D200B">
        <w:t xml:space="preserve">Instalacje typu kolektory słoneczne są montowane </w:t>
      </w:r>
      <w:r w:rsidR="0027053A" w:rsidRPr="001D200B">
        <w:t xml:space="preserve">na terenie gminy </w:t>
      </w:r>
      <w:r w:rsidRPr="001D200B">
        <w:t xml:space="preserve">i pracują dla potrzeb </w:t>
      </w:r>
      <w:r w:rsidR="0027053A" w:rsidRPr="001D200B">
        <w:t xml:space="preserve">podgrzania wody w zabudowie mieszkaniowej </w:t>
      </w:r>
      <w:r w:rsidRPr="001D200B">
        <w:t xml:space="preserve">- </w:t>
      </w:r>
      <w:r w:rsidR="00831B68" w:rsidRPr="001D200B">
        <w:rPr>
          <w:rFonts w:cstheme="minorHAnsi"/>
        </w:rPr>
        <w:t xml:space="preserve">Gmina nie dysponuje </w:t>
      </w:r>
      <w:r w:rsidR="00B62CBC" w:rsidRPr="001D200B">
        <w:rPr>
          <w:rFonts w:cstheme="minorHAnsi"/>
        </w:rPr>
        <w:t xml:space="preserve">szczegółowo </w:t>
      </w:r>
      <w:r w:rsidR="0027053A" w:rsidRPr="001D200B">
        <w:rPr>
          <w:rFonts w:cstheme="minorHAnsi"/>
        </w:rPr>
        <w:t>ewidencją t</w:t>
      </w:r>
      <w:r w:rsidR="00C97C3E" w:rsidRPr="001D200B">
        <w:rPr>
          <w:rFonts w:cstheme="minorHAnsi"/>
        </w:rPr>
        <w:t>ego typu instalacji. Szacuje się, że tego typu instalacje posiada około 8% zabudowań mieszkalnych jednorodzinnych (na podstawie bazy danych do PGN dla gminy Połaniec).</w:t>
      </w:r>
    </w:p>
    <w:p w:rsidR="00E5536F" w:rsidRPr="001D200B" w:rsidRDefault="00E5536F" w:rsidP="00E5536F">
      <w:r w:rsidRPr="001D200B">
        <w:t xml:space="preserve">Zakłada się, że w związku z rosnącym zainteresowaniem społecznym, wykorzystanie energii słonecznej za pomocą kolektorów słonecznych i ogniw fotowoltaicznych będzie mieć charakter wzrostowy. Działania inwestycyjne z zakresu zwiększenia udziału odnawialnych źródeł energii w ogólnym bilansie energetycznym gminy Połaniec zamieszczono w </w:t>
      </w:r>
      <w:r w:rsidRPr="001D200B">
        <w:rPr>
          <w:i/>
        </w:rPr>
        <w:t>Planie Gospodarki Niskoemisyjnej dla Gminy Połaniec</w:t>
      </w:r>
      <w:r w:rsidR="00147008" w:rsidRPr="001D200B">
        <w:t xml:space="preserve"> </w:t>
      </w:r>
      <w:r w:rsidR="00775868" w:rsidRPr="001D200B">
        <w:t xml:space="preserve">(zwany dalej PGN) </w:t>
      </w:r>
      <w:r w:rsidR="00147008" w:rsidRPr="001D200B">
        <w:t>i są to m.in.:</w:t>
      </w:r>
    </w:p>
    <w:p w:rsidR="00BC6912" w:rsidRPr="001D200B" w:rsidRDefault="009264FB" w:rsidP="00F006D6">
      <w:pPr>
        <w:pStyle w:val="Akapitzlist"/>
      </w:pPr>
      <w:r w:rsidRPr="001D200B">
        <w:t>Montaż odnawialnych źródeł energii na obiektach publicznych</w:t>
      </w:r>
      <w:r w:rsidR="00147008" w:rsidRPr="001D200B">
        <w:t>;</w:t>
      </w:r>
    </w:p>
    <w:p w:rsidR="00147008" w:rsidRPr="001D200B" w:rsidRDefault="00147008" w:rsidP="00F006D6">
      <w:pPr>
        <w:pStyle w:val="Akapitzlist"/>
      </w:pPr>
      <w:r w:rsidRPr="001D200B">
        <w:t>Rozwój rozproszonych źródeł energii – mikroinstalacje (fotowoltaika);</w:t>
      </w:r>
    </w:p>
    <w:p w:rsidR="00147008" w:rsidRPr="001D200B" w:rsidRDefault="00147008" w:rsidP="00F006D6">
      <w:pPr>
        <w:pStyle w:val="Akapitzlist"/>
      </w:pPr>
      <w:r w:rsidRPr="001D200B">
        <w:t>Rozwój rozproszonych źróde</w:t>
      </w:r>
      <w:r w:rsidR="005B7706" w:rsidRPr="001D200B">
        <w:t>ł energii – kolektory słoneczne.</w:t>
      </w:r>
    </w:p>
    <w:p w:rsidR="00BD5318" w:rsidRPr="001D200B" w:rsidRDefault="00BD5318" w:rsidP="00BD5318">
      <w:pPr>
        <w:rPr>
          <w:rFonts w:cstheme="minorHAnsi"/>
          <w:szCs w:val="24"/>
          <w:shd w:val="clear" w:color="auto" w:fill="FFFFFF"/>
        </w:rPr>
      </w:pPr>
      <w:r w:rsidRPr="001D200B">
        <w:rPr>
          <w:snapToGrid w:val="0"/>
        </w:rPr>
        <w:t>W 2019 roku</w:t>
      </w:r>
      <w:r w:rsidR="00775868" w:rsidRPr="001D200B">
        <w:rPr>
          <w:snapToGrid w:val="0"/>
        </w:rPr>
        <w:t>, realizując zapisy PGN</w:t>
      </w:r>
      <w:r w:rsidR="000A28C4" w:rsidRPr="001D200B">
        <w:rPr>
          <w:snapToGrid w:val="0"/>
        </w:rPr>
        <w:t xml:space="preserve">, </w:t>
      </w:r>
      <w:r w:rsidRPr="001D200B">
        <w:rPr>
          <w:snapToGrid w:val="0"/>
        </w:rPr>
        <w:t xml:space="preserve">zakończono </w:t>
      </w:r>
      <w:r w:rsidR="000A28C4" w:rsidRPr="001D200B">
        <w:rPr>
          <w:snapToGrid w:val="0"/>
        </w:rPr>
        <w:t>zadanie inwestycyjne</w:t>
      </w:r>
      <w:r w:rsidRPr="001D200B">
        <w:rPr>
          <w:snapToGrid w:val="0"/>
        </w:rPr>
        <w:t xml:space="preserve"> pn.: </w:t>
      </w:r>
      <w:r w:rsidRPr="001D200B">
        <w:rPr>
          <w:i/>
          <w:snapToGrid w:val="0"/>
        </w:rPr>
        <w:t>Budowa instalacji fotowoltaicznych na budynkach użyteczności publicznej na terenie Miasta i Gminy Połaniec</w:t>
      </w:r>
      <w:r w:rsidRPr="001D200B">
        <w:rPr>
          <w:b/>
          <w:snapToGrid w:val="0"/>
        </w:rPr>
        <w:t xml:space="preserve">. </w:t>
      </w:r>
      <w:r w:rsidRPr="001D200B">
        <w:rPr>
          <w:snapToGrid w:val="0"/>
        </w:rPr>
        <w:t xml:space="preserve">W mikroinstalacje PV wyposażono 7 obiektów gminnych. </w:t>
      </w:r>
      <w:r w:rsidRPr="001D200B">
        <w:rPr>
          <w:rFonts w:cstheme="minorHAnsi"/>
          <w:szCs w:val="24"/>
          <w:shd w:val="clear" w:color="auto" w:fill="FFFFFF"/>
        </w:rPr>
        <w:t>Łączna moc mikroinstalcaji wynosi 110,27</w:t>
      </w:r>
      <w:r w:rsidR="002E5734" w:rsidRPr="001D200B">
        <w:rPr>
          <w:rFonts w:cstheme="minorHAnsi"/>
          <w:szCs w:val="24"/>
          <w:shd w:val="clear" w:color="auto" w:fill="FFFFFF"/>
        </w:rPr>
        <w:t xml:space="preserve"> </w:t>
      </w:r>
      <w:r w:rsidRPr="001D200B">
        <w:rPr>
          <w:rFonts w:cstheme="minorHAnsi"/>
          <w:szCs w:val="24"/>
          <w:shd w:val="clear" w:color="auto" w:fill="FFFFFF"/>
        </w:rPr>
        <w:t>kWp, natomiast przewidywana produkcja energii elektrycznej</w:t>
      </w:r>
      <w:r w:rsidR="000A28C4" w:rsidRPr="001D200B">
        <w:rPr>
          <w:rFonts w:cstheme="minorHAnsi"/>
          <w:szCs w:val="24"/>
          <w:shd w:val="clear" w:color="auto" w:fill="FFFFFF"/>
        </w:rPr>
        <w:t xml:space="preserve"> z OZE</w:t>
      </w:r>
      <w:r w:rsidRPr="001D200B">
        <w:rPr>
          <w:rFonts w:cstheme="minorHAnsi"/>
          <w:szCs w:val="24"/>
          <w:shd w:val="clear" w:color="auto" w:fill="FFFFFF"/>
        </w:rPr>
        <w:t xml:space="preserve"> to około 102,5</w:t>
      </w:r>
      <w:r w:rsidR="0011400E" w:rsidRPr="001D200B">
        <w:rPr>
          <w:rFonts w:cstheme="minorHAnsi"/>
          <w:szCs w:val="24"/>
          <w:shd w:val="clear" w:color="auto" w:fill="FFFFFF"/>
        </w:rPr>
        <w:t xml:space="preserve">  </w:t>
      </w:r>
      <w:r w:rsidRPr="001D200B">
        <w:rPr>
          <w:rFonts w:cstheme="minorHAnsi"/>
          <w:szCs w:val="24"/>
          <w:shd w:val="clear" w:color="auto" w:fill="FFFFFF"/>
        </w:rPr>
        <w:t xml:space="preserve">MWh/rok. </w:t>
      </w:r>
    </w:p>
    <w:p w:rsidR="00B00176" w:rsidRPr="001D200B" w:rsidRDefault="003D5D36" w:rsidP="003D5D36">
      <w:pPr>
        <w:pStyle w:val="Nagwek2"/>
        <w:rPr>
          <w:rFonts w:cstheme="minorHAnsi"/>
        </w:rPr>
      </w:pPr>
      <w:bookmarkStart w:id="97" w:name="_Toc31972850"/>
      <w:r w:rsidRPr="001D200B">
        <w:rPr>
          <w:rFonts w:cstheme="minorHAnsi"/>
        </w:rPr>
        <w:lastRenderedPageBreak/>
        <w:t>2.</w:t>
      </w:r>
      <w:r w:rsidR="00BD0F64" w:rsidRPr="001D200B">
        <w:rPr>
          <w:rFonts w:cstheme="minorHAnsi"/>
        </w:rPr>
        <w:t>5</w:t>
      </w:r>
      <w:r w:rsidRPr="001D200B">
        <w:rPr>
          <w:rFonts w:cstheme="minorHAnsi"/>
        </w:rPr>
        <w:t xml:space="preserve">. </w:t>
      </w:r>
      <w:r w:rsidR="00B00176" w:rsidRPr="001D200B">
        <w:rPr>
          <w:rFonts w:cstheme="minorHAnsi"/>
        </w:rPr>
        <w:t>Biogaz</w:t>
      </w:r>
      <w:bookmarkEnd w:id="97"/>
    </w:p>
    <w:p w:rsidR="00121C1B" w:rsidRPr="001D200B" w:rsidRDefault="00121C1B" w:rsidP="00121C1B">
      <w:r w:rsidRPr="001D200B">
        <w:t>Biogaz (zwany też gazem gnilnym lub błotnym) to mieszanka głównie metanu i dwutlenku węgla powstająca w procesach fermentacji beztlenowej substancji organicznych. Biogaz nadający się do celów energetycznych może być pozyskany poprzez:</w:t>
      </w:r>
    </w:p>
    <w:p w:rsidR="00121C1B" w:rsidRPr="001D200B" w:rsidRDefault="00121C1B" w:rsidP="00121C1B">
      <w:pPr>
        <w:pStyle w:val="wypunktowanie"/>
      </w:pPr>
      <w:r w:rsidRPr="001D200B">
        <w:t>biochemiczny rozkład (fermentację) odchodów zwierzęcych (obornik) oraz pozostałości z produkcji roślinnej w biogazowniach rolniczych, fermentację biomasy pochodzącej z odpadów w rzeźniach, browarach i pozostałych branżach żywnościowych;</w:t>
      </w:r>
    </w:p>
    <w:p w:rsidR="00121C1B" w:rsidRPr="001D200B" w:rsidRDefault="00121C1B" w:rsidP="00121C1B">
      <w:pPr>
        <w:pStyle w:val="wypunktowanie"/>
      </w:pPr>
      <w:r w:rsidRPr="001D200B">
        <w:t>fermentację organicznych odpadów przemysłowych i konsumpcyjnych na składowiskach;</w:t>
      </w:r>
    </w:p>
    <w:p w:rsidR="00121C1B" w:rsidRPr="001D200B" w:rsidRDefault="00121C1B" w:rsidP="00121C1B">
      <w:pPr>
        <w:pStyle w:val="wypunktowanie"/>
      </w:pPr>
      <w:r w:rsidRPr="001D200B">
        <w:rPr>
          <w:bCs/>
        </w:rPr>
        <w:t xml:space="preserve">fermentację osadu czynnego </w:t>
      </w:r>
      <w:r w:rsidRPr="001D200B">
        <w:t>w komorach fermentacyjnych w oczyszczalniach ścieków.</w:t>
      </w:r>
    </w:p>
    <w:p w:rsidR="00121C1B" w:rsidRPr="001D200B" w:rsidRDefault="00121C1B" w:rsidP="00121C1B">
      <w:pPr>
        <w:shd w:val="clear" w:color="auto" w:fill="F2F2F2" w:themeFill="background1" w:themeFillShade="F2"/>
        <w:rPr>
          <w:b/>
        </w:rPr>
      </w:pPr>
      <w:r w:rsidRPr="001D200B">
        <w:rPr>
          <w:b/>
        </w:rPr>
        <w:t>Możliwości energetycznego wykorzystania biogazu na terenie gminy Połaniec</w:t>
      </w:r>
    </w:p>
    <w:p w:rsidR="00121C1B" w:rsidRPr="001D200B" w:rsidRDefault="00121C1B" w:rsidP="00121C1B">
      <w:r w:rsidRPr="001D200B">
        <w:t xml:space="preserve">Kluczowym parametrem decydującym o zasadność realizacji instalacji biogazowej (stabilność pracy i efektywność ekonomiczną) jest możliwość pozyskania lokalnie wybranych odpadów produkcji rolnej (substratów) do produkcji metanu. </w:t>
      </w:r>
    </w:p>
    <w:p w:rsidR="00D47418" w:rsidRPr="001D200B" w:rsidRDefault="00D47418" w:rsidP="00D501C9">
      <w:pPr>
        <w:rPr>
          <w:rFonts w:cstheme="minorHAnsi"/>
        </w:rPr>
      </w:pPr>
      <w:r w:rsidRPr="001D200B">
        <w:rPr>
          <w:rFonts w:cstheme="minorHAnsi"/>
        </w:rPr>
        <w:t>Gmina Połaniec ma charakter przemysłowo</w:t>
      </w:r>
      <w:r w:rsidR="00C566B9" w:rsidRPr="001D200B">
        <w:rPr>
          <w:rFonts w:cstheme="minorHAnsi"/>
        </w:rPr>
        <w:t xml:space="preserve"> </w:t>
      </w:r>
      <w:r w:rsidRPr="001D200B">
        <w:rPr>
          <w:rFonts w:cstheme="minorHAnsi"/>
        </w:rPr>
        <w:t xml:space="preserve">- rolniczy. </w:t>
      </w:r>
      <w:r w:rsidR="00776103" w:rsidRPr="001D200B">
        <w:rPr>
          <w:rFonts w:cstheme="minorHAnsi"/>
        </w:rPr>
        <w:t>R</w:t>
      </w:r>
      <w:r w:rsidR="004E7FD8" w:rsidRPr="001D200B">
        <w:rPr>
          <w:rFonts w:cstheme="minorHAnsi"/>
        </w:rPr>
        <w:t xml:space="preserve">olnictwo </w:t>
      </w:r>
      <w:r w:rsidR="00D32B44" w:rsidRPr="001D200B">
        <w:rPr>
          <w:rFonts w:cstheme="minorHAnsi"/>
        </w:rPr>
        <w:t xml:space="preserve">należy traktować jako </w:t>
      </w:r>
      <w:r w:rsidR="004E7FD8" w:rsidRPr="001D200B">
        <w:rPr>
          <w:rFonts w:cstheme="minorHAnsi"/>
        </w:rPr>
        <w:t xml:space="preserve">uzupełniający </w:t>
      </w:r>
      <w:r w:rsidRPr="001D200B">
        <w:rPr>
          <w:rFonts w:cstheme="minorHAnsi"/>
        </w:rPr>
        <w:t xml:space="preserve">sektor </w:t>
      </w:r>
      <w:r w:rsidR="004E7FD8" w:rsidRPr="001D200B">
        <w:rPr>
          <w:rFonts w:cstheme="minorHAnsi"/>
        </w:rPr>
        <w:t xml:space="preserve">lokalnej </w:t>
      </w:r>
      <w:r w:rsidRPr="001D200B">
        <w:rPr>
          <w:rFonts w:cstheme="minorHAnsi"/>
        </w:rPr>
        <w:t>gospodarki.</w:t>
      </w:r>
    </w:p>
    <w:p w:rsidR="00776103" w:rsidRPr="001D200B" w:rsidRDefault="00A4756D" w:rsidP="00776103">
      <w:r w:rsidRPr="001D200B">
        <w:rPr>
          <w:rFonts w:cstheme="minorHAnsi"/>
        </w:rPr>
        <w:t>W spos</w:t>
      </w:r>
      <w:r w:rsidR="00CE716F" w:rsidRPr="001D200B">
        <w:rPr>
          <w:rFonts w:cstheme="minorHAnsi"/>
        </w:rPr>
        <w:t>obie zagospodarowania obszaru gminy dominują grunty znajdujące się w</w:t>
      </w:r>
      <w:r w:rsidR="003777C3" w:rsidRPr="001D200B">
        <w:rPr>
          <w:rFonts w:cstheme="minorHAnsi"/>
        </w:rPr>
        <w:t> </w:t>
      </w:r>
      <w:r w:rsidRPr="001D200B">
        <w:rPr>
          <w:rFonts w:cstheme="minorHAnsi"/>
          <w:szCs w:val="24"/>
        </w:rPr>
        <w:t>użytk</w:t>
      </w:r>
      <w:r w:rsidR="00CE716F" w:rsidRPr="001D200B">
        <w:rPr>
          <w:rFonts w:cstheme="minorHAnsi"/>
          <w:szCs w:val="24"/>
        </w:rPr>
        <w:t>owaniu</w:t>
      </w:r>
      <w:r w:rsidRPr="001D200B">
        <w:rPr>
          <w:rFonts w:cstheme="minorHAnsi"/>
          <w:szCs w:val="24"/>
        </w:rPr>
        <w:t xml:space="preserve"> </w:t>
      </w:r>
      <w:r w:rsidR="00CE716F" w:rsidRPr="001D200B">
        <w:rPr>
          <w:rFonts w:cstheme="minorHAnsi"/>
          <w:szCs w:val="24"/>
        </w:rPr>
        <w:t>gospodarstw rolnych</w:t>
      </w:r>
      <w:r w:rsidRPr="001D200B">
        <w:rPr>
          <w:rFonts w:cstheme="minorHAnsi"/>
          <w:szCs w:val="24"/>
        </w:rPr>
        <w:t xml:space="preserve">, z przewagą </w:t>
      </w:r>
      <w:r w:rsidR="00CE716F" w:rsidRPr="001D200B">
        <w:rPr>
          <w:rFonts w:cstheme="minorHAnsi"/>
          <w:szCs w:val="24"/>
        </w:rPr>
        <w:t>g</w:t>
      </w:r>
      <w:r w:rsidRPr="001D200B">
        <w:rPr>
          <w:rFonts w:cstheme="minorHAnsi"/>
          <w:szCs w:val="24"/>
        </w:rPr>
        <w:t xml:space="preserve">runtów </w:t>
      </w:r>
      <w:r w:rsidR="00CE716F" w:rsidRPr="001D200B">
        <w:rPr>
          <w:rFonts w:cstheme="minorHAnsi"/>
          <w:szCs w:val="24"/>
        </w:rPr>
        <w:t>pod zasiewami</w:t>
      </w:r>
      <w:r w:rsidRPr="001D200B">
        <w:rPr>
          <w:rFonts w:cstheme="minorHAnsi"/>
          <w:szCs w:val="24"/>
        </w:rPr>
        <w:t>.</w:t>
      </w:r>
      <w:r w:rsidRPr="001D200B">
        <w:rPr>
          <w:rFonts w:cstheme="minorHAnsi"/>
        </w:rPr>
        <w:t xml:space="preserve"> W</w:t>
      </w:r>
      <w:r w:rsidR="00CE716F" w:rsidRPr="001D200B">
        <w:rPr>
          <w:rFonts w:cstheme="minorHAnsi"/>
        </w:rPr>
        <w:t> </w:t>
      </w:r>
      <w:r w:rsidRPr="001D200B">
        <w:rPr>
          <w:rFonts w:cstheme="minorHAnsi"/>
        </w:rPr>
        <w:t xml:space="preserve">ogólnej strukturze agrarnej </w:t>
      </w:r>
      <w:r w:rsidR="00D501C9" w:rsidRPr="001D200B">
        <w:rPr>
          <w:rFonts w:cstheme="minorHAnsi"/>
        </w:rPr>
        <w:t xml:space="preserve">najliczniejsze są </w:t>
      </w:r>
      <w:r w:rsidR="00776103" w:rsidRPr="001D200B">
        <w:rPr>
          <w:rFonts w:cstheme="minorHAnsi"/>
        </w:rPr>
        <w:t xml:space="preserve">gospodarstwa małe obszarowo. </w:t>
      </w:r>
      <w:r w:rsidR="00D501C9" w:rsidRPr="001D200B">
        <w:rPr>
          <w:rFonts w:cstheme="minorHAnsi"/>
        </w:rPr>
        <w:t>N</w:t>
      </w:r>
      <w:r w:rsidR="00D47418" w:rsidRPr="001D200B">
        <w:rPr>
          <w:rFonts w:cstheme="minorHAnsi"/>
        </w:rPr>
        <w:t>iewielk</w:t>
      </w:r>
      <w:r w:rsidR="00D501C9" w:rsidRPr="001D200B">
        <w:rPr>
          <w:rFonts w:cstheme="minorHAnsi"/>
        </w:rPr>
        <w:t>a</w:t>
      </w:r>
      <w:r w:rsidR="00D47418" w:rsidRPr="001D200B">
        <w:rPr>
          <w:rFonts w:cstheme="minorHAnsi"/>
        </w:rPr>
        <w:t xml:space="preserve"> koncentracj</w:t>
      </w:r>
      <w:r w:rsidR="00A521D3" w:rsidRPr="001D200B">
        <w:rPr>
          <w:rFonts w:cstheme="minorHAnsi"/>
        </w:rPr>
        <w:t>a</w:t>
      </w:r>
      <w:r w:rsidR="00D47418" w:rsidRPr="001D200B">
        <w:rPr>
          <w:rFonts w:cstheme="minorHAnsi"/>
        </w:rPr>
        <w:t xml:space="preserve"> oraz brak wyraźnej specjalizacji w</w:t>
      </w:r>
      <w:r w:rsidR="00776103" w:rsidRPr="001D200B">
        <w:rPr>
          <w:rFonts w:cstheme="minorHAnsi"/>
        </w:rPr>
        <w:t xml:space="preserve"> </w:t>
      </w:r>
      <w:r w:rsidR="00D47418" w:rsidRPr="001D200B">
        <w:rPr>
          <w:rFonts w:cstheme="minorHAnsi"/>
        </w:rPr>
        <w:t xml:space="preserve">produkcji typowo zwierzęcej </w:t>
      </w:r>
      <w:r w:rsidR="00D501C9" w:rsidRPr="001D200B">
        <w:rPr>
          <w:rFonts w:cstheme="minorHAnsi"/>
        </w:rPr>
        <w:t xml:space="preserve">ogranicza </w:t>
      </w:r>
      <w:r w:rsidR="00D47418" w:rsidRPr="001D200B">
        <w:rPr>
          <w:rFonts w:cstheme="minorHAnsi"/>
        </w:rPr>
        <w:t xml:space="preserve">możliwości pozyskania odpadów rolniczych </w:t>
      </w:r>
      <w:r w:rsidR="00D501C9" w:rsidRPr="001D200B">
        <w:rPr>
          <w:rFonts w:cstheme="minorHAnsi"/>
        </w:rPr>
        <w:t>w</w:t>
      </w:r>
      <w:r w:rsidR="00776103" w:rsidRPr="001D200B">
        <w:rPr>
          <w:rFonts w:cstheme="minorHAnsi"/>
        </w:rPr>
        <w:t xml:space="preserve"> </w:t>
      </w:r>
      <w:r w:rsidR="00D501C9" w:rsidRPr="001D200B">
        <w:rPr>
          <w:rFonts w:cstheme="minorHAnsi"/>
        </w:rPr>
        <w:t xml:space="preserve">ilościach </w:t>
      </w:r>
      <w:r w:rsidR="00A521D3" w:rsidRPr="001D200B">
        <w:rPr>
          <w:rFonts w:cstheme="minorHAnsi"/>
        </w:rPr>
        <w:t xml:space="preserve">nadających się do wykorzystania energetycznego. </w:t>
      </w:r>
      <w:r w:rsidR="00D47418" w:rsidRPr="001D200B">
        <w:rPr>
          <w:rFonts w:cstheme="minorHAnsi"/>
        </w:rPr>
        <w:t>Przyjmuje się, że w</w:t>
      </w:r>
      <w:r w:rsidR="00776103" w:rsidRPr="001D200B">
        <w:rPr>
          <w:rFonts w:cstheme="minorHAnsi"/>
        </w:rPr>
        <w:t xml:space="preserve"> </w:t>
      </w:r>
      <w:r w:rsidR="00D47418" w:rsidRPr="001D200B">
        <w:rPr>
          <w:rFonts w:cstheme="minorHAnsi"/>
        </w:rPr>
        <w:t xml:space="preserve">gospodarstwach średnich mieszanych (do 50 sztuk dużych zwierząt) budowa urządzeń do pozyskiwania biogazu z obornika, czy gnojowicy jest nieopłacalna. W biogazowniach rolniczych najczęściej obok gnojowicy wykorzystuje się wywar z gorzelni oraz kiszonki, dlatego dostępność wskazanych substratów ma </w:t>
      </w:r>
      <w:r w:rsidR="00D32B44" w:rsidRPr="001D200B">
        <w:rPr>
          <w:rFonts w:cstheme="minorHAnsi"/>
        </w:rPr>
        <w:t>istotny</w:t>
      </w:r>
      <w:r w:rsidR="00D47418" w:rsidRPr="001D200B">
        <w:rPr>
          <w:rFonts w:cstheme="minorHAnsi"/>
        </w:rPr>
        <w:t xml:space="preserve"> wpływ na możliwość lokalizacji tego typu obiektu. Do istotnych czynników decydujących o</w:t>
      </w:r>
      <w:r w:rsidR="00796E76" w:rsidRPr="001D200B">
        <w:rPr>
          <w:rFonts w:cstheme="minorHAnsi"/>
        </w:rPr>
        <w:t> </w:t>
      </w:r>
      <w:r w:rsidR="00D47418" w:rsidRPr="001D200B">
        <w:rPr>
          <w:rFonts w:cstheme="minorHAnsi"/>
        </w:rPr>
        <w:t xml:space="preserve">opłacalności biogazowi rolniczych należy m.in. bliskie sąsiedztwo licznych ferm w stosunku do biogazowni, duża koncentracja zakładów surowcowego przetwórstwa rolnego - spożywczego albo rzeźni (bezpieczeństwo ciągłości dostaw surowca). </w:t>
      </w:r>
      <w:r w:rsidR="00776103" w:rsidRPr="001D200B">
        <w:t xml:space="preserve">Na terenie gminy </w:t>
      </w:r>
      <w:r w:rsidR="00776103" w:rsidRPr="001D200B">
        <w:rPr>
          <w:rFonts w:cstheme="minorHAnsi"/>
        </w:rPr>
        <w:t>Połaniec</w:t>
      </w:r>
      <w:r w:rsidR="00776103" w:rsidRPr="001D200B">
        <w:t xml:space="preserve"> nie funkcjonuje biogazownia rolnicza. Obecnie nie planuje się inwestycji obejmującej budowę tego typu instalacji.</w:t>
      </w:r>
    </w:p>
    <w:p w:rsidR="00190D7E" w:rsidRPr="001D200B" w:rsidRDefault="00190D7E" w:rsidP="00190D7E">
      <w:pPr>
        <w:rPr>
          <w:rFonts w:cstheme="minorHAnsi"/>
        </w:rPr>
      </w:pPr>
      <w:r w:rsidRPr="001D200B">
        <w:rPr>
          <w:rFonts w:cstheme="minorHAnsi"/>
        </w:rPr>
        <w:t xml:space="preserve">Na terenie gminy Połaniec funkcjonują dwie oczyszczalnie ścieków: jedna gminna (mechaniczno- biologiczna) i jedna przyzakładowa należąca do </w:t>
      </w:r>
      <w:r w:rsidR="00BD65FB" w:rsidRPr="001D200B">
        <w:rPr>
          <w:rFonts w:cstheme="minorHAnsi"/>
        </w:rPr>
        <w:t>E</w:t>
      </w:r>
      <w:r w:rsidRPr="001D200B">
        <w:rPr>
          <w:rFonts w:cstheme="minorHAnsi"/>
        </w:rPr>
        <w:t>lektrowni w Połańcu.</w:t>
      </w:r>
    </w:p>
    <w:p w:rsidR="00BD65FB" w:rsidRPr="001D200B" w:rsidRDefault="00BD65FB" w:rsidP="00BD2F63">
      <w:r w:rsidRPr="001D200B">
        <w:lastRenderedPageBreak/>
        <w:t xml:space="preserve">Oczyszczalnia ścieków dla gminy Połaniec zlokalizowana jest na obrzeżach miasta w miejscowości Łęg, w pobliżu rzeki Czarnej Staszowskiej. </w:t>
      </w:r>
      <w:r w:rsidR="00BD2F63" w:rsidRPr="001D200B">
        <w:t>Z</w:t>
      </w:r>
      <w:r w:rsidRPr="001D200B">
        <w:t xml:space="preserve">espół obiektów i urządzeń służących do mechaniczno-biologicznego oczyszczania ścieków oraz przeróbki i unieszkodliwiania osadów </w:t>
      </w:r>
      <w:r w:rsidR="00BD2F63" w:rsidRPr="001D200B">
        <w:t>ściekowych pracuje w układzie</w:t>
      </w:r>
      <w:r w:rsidRPr="001D200B">
        <w:t xml:space="preserve"> dwóch niezależnych ciągów technologicznych. Średnia przepustowość systemu wynosi 1800m</w:t>
      </w:r>
      <w:r w:rsidRPr="001D200B">
        <w:rPr>
          <w:vertAlign w:val="superscript"/>
        </w:rPr>
        <w:t>3</w:t>
      </w:r>
      <w:r w:rsidRPr="001D200B">
        <w:t xml:space="preserve">/d. </w:t>
      </w:r>
    </w:p>
    <w:p w:rsidR="00EA1BCE" w:rsidRPr="001D200B" w:rsidRDefault="00EA1BCE" w:rsidP="00EA1BCE">
      <w:r w:rsidRPr="001D200B">
        <w:rPr>
          <w:rFonts w:cs="Calibri"/>
        </w:rPr>
        <w:t>W 2018 roku oczyszczalnia ścieków przyjęła 274.000 m</w:t>
      </w:r>
      <w:r w:rsidRPr="001D200B">
        <w:rPr>
          <w:rFonts w:cs="Calibri"/>
          <w:vertAlign w:val="superscript"/>
        </w:rPr>
        <w:t>3</w:t>
      </w:r>
      <w:r w:rsidRPr="001D200B">
        <w:rPr>
          <w:rFonts w:cs="Calibri"/>
        </w:rPr>
        <w:t xml:space="preserve"> ścieków (dane GUS), tj. około </w:t>
      </w:r>
      <w:r w:rsidR="00CA0905" w:rsidRPr="001D200B">
        <w:rPr>
          <w:rFonts w:cs="Calibri"/>
        </w:rPr>
        <w:t>751</w:t>
      </w:r>
      <w:r w:rsidRPr="001D200B">
        <w:rPr>
          <w:rFonts w:cs="Calibri"/>
        </w:rPr>
        <w:t xml:space="preserve"> m</w:t>
      </w:r>
      <w:r w:rsidRPr="001D200B">
        <w:rPr>
          <w:rFonts w:cs="Calibri"/>
          <w:vertAlign w:val="superscript"/>
        </w:rPr>
        <w:t>3</w:t>
      </w:r>
      <w:r w:rsidRPr="001D200B">
        <w:rPr>
          <w:rFonts w:cs="Calibri"/>
        </w:rPr>
        <w:t>/dobę</w:t>
      </w:r>
      <w:r w:rsidRPr="001D200B">
        <w:t xml:space="preserve">. Gminna oczyszczalnia ścieków w obecnym stanie zainwestowania nie wykazuje znaczącego potencjału technicznego dla instalacji biogazowych. W rachunkach ekonomicznych uzasadnione dla tego typu inwestycji występuje tylko w dużych oczyszczalniach przyjmujących średnio </w:t>
      </w:r>
      <w:r w:rsidR="00CA0905" w:rsidRPr="001D200B">
        <w:t>przynajmniej 8000</w:t>
      </w:r>
      <w:r w:rsidRPr="001D200B">
        <w:t>m</w:t>
      </w:r>
      <w:r w:rsidRPr="001D200B">
        <w:rPr>
          <w:vertAlign w:val="superscript"/>
        </w:rPr>
        <w:t xml:space="preserve">3 </w:t>
      </w:r>
      <w:r w:rsidRPr="001D200B">
        <w:t xml:space="preserve">ścieków na dobę. </w:t>
      </w:r>
    </w:p>
    <w:p w:rsidR="00AB4F11" w:rsidRPr="001D200B" w:rsidRDefault="003D5D36" w:rsidP="00776103">
      <w:pPr>
        <w:pStyle w:val="Nagwek2"/>
        <w:rPr>
          <w:rFonts w:cstheme="minorHAnsi"/>
        </w:rPr>
      </w:pPr>
      <w:bookmarkStart w:id="98" w:name="_Toc31972851"/>
      <w:r w:rsidRPr="001D200B">
        <w:rPr>
          <w:rFonts w:cstheme="minorHAnsi"/>
        </w:rPr>
        <w:t>2.</w:t>
      </w:r>
      <w:r w:rsidR="00AC75E3" w:rsidRPr="001D200B">
        <w:rPr>
          <w:rFonts w:cstheme="minorHAnsi"/>
        </w:rPr>
        <w:t>6</w:t>
      </w:r>
      <w:r w:rsidRPr="001D200B">
        <w:rPr>
          <w:rFonts w:cstheme="minorHAnsi"/>
        </w:rPr>
        <w:t xml:space="preserve">. </w:t>
      </w:r>
      <w:r w:rsidR="00B00176" w:rsidRPr="001D200B">
        <w:rPr>
          <w:rFonts w:cstheme="minorHAnsi"/>
        </w:rPr>
        <w:t>Biomasa</w:t>
      </w:r>
      <w:bookmarkEnd w:id="98"/>
    </w:p>
    <w:p w:rsidR="007705BF" w:rsidRPr="001D200B" w:rsidRDefault="00D27A5A" w:rsidP="00856624">
      <w:pPr>
        <w:rPr>
          <w:rFonts w:cstheme="minorHAnsi"/>
        </w:rPr>
      </w:pPr>
      <w:r w:rsidRPr="001D200B">
        <w:t>Biomasa jest to masa materii organicznej, wszystkie substancje pochodzenia roślinnego i zwierzęcego ulegające biodegradacji. Biomasa wykorzystywana energetycznie to przede wszystkim</w:t>
      </w:r>
      <w:r w:rsidR="007705BF" w:rsidRPr="001D200B">
        <w:rPr>
          <w:rFonts w:cstheme="minorHAnsi"/>
        </w:rPr>
        <w:t>:</w:t>
      </w:r>
    </w:p>
    <w:p w:rsidR="007705BF" w:rsidRPr="001D200B" w:rsidRDefault="007705BF" w:rsidP="00F21741">
      <w:pPr>
        <w:pStyle w:val="Punktatory1"/>
      </w:pPr>
      <w:r w:rsidRPr="001D200B">
        <w:rPr>
          <w:u w:val="single"/>
        </w:rPr>
        <w:t>drewno i odpady drzewne</w:t>
      </w:r>
      <w:r w:rsidRPr="001D200B">
        <w:t xml:space="preserve"> (drewno kawałkowe, trociny, wióry, zrębki drzewne, kora, paliwo uszlachetnione – brykiet drzewny, pe</w:t>
      </w:r>
      <w:r w:rsidR="00CF45CE" w:rsidRPr="001D200B">
        <w:t>l</w:t>
      </w:r>
      <w:r w:rsidRPr="001D200B">
        <w:t>lety);</w:t>
      </w:r>
    </w:p>
    <w:p w:rsidR="008320C2" w:rsidRPr="001D200B" w:rsidRDefault="000641A1" w:rsidP="000641A1">
      <w:pPr>
        <w:pStyle w:val="Tytu"/>
        <w:rPr>
          <w:rFonts w:cstheme="minorHAnsi"/>
          <w:b/>
        </w:rPr>
      </w:pPr>
      <w:bookmarkStart w:id="99" w:name="_Toc39476586"/>
      <w:r w:rsidRPr="001D200B">
        <w:rPr>
          <w:rFonts w:cstheme="minorHAnsi"/>
          <w:b/>
        </w:rPr>
        <w:t xml:space="preserve">Tabela </w:t>
      </w:r>
      <w:r w:rsidR="005B7234" w:rsidRPr="001D200B">
        <w:rPr>
          <w:rFonts w:cstheme="minorHAnsi"/>
          <w:b/>
        </w:rPr>
        <w:fldChar w:fldCharType="begin"/>
      </w:r>
      <w:r w:rsidR="00F200FE" w:rsidRPr="001D200B">
        <w:rPr>
          <w:rFonts w:cstheme="minorHAnsi"/>
          <w:b/>
        </w:rPr>
        <w:instrText xml:space="preserve"> SEQ Tabela \* ARABIC </w:instrText>
      </w:r>
      <w:r w:rsidR="005B7234" w:rsidRPr="001D200B">
        <w:rPr>
          <w:rFonts w:cstheme="minorHAnsi"/>
          <w:b/>
        </w:rPr>
        <w:fldChar w:fldCharType="separate"/>
      </w:r>
      <w:r w:rsidR="00D2721B" w:rsidRPr="001D200B">
        <w:rPr>
          <w:rFonts w:cstheme="minorHAnsi"/>
          <w:b/>
          <w:noProof/>
        </w:rPr>
        <w:t>34</w:t>
      </w:r>
      <w:r w:rsidR="005B7234" w:rsidRPr="001D200B">
        <w:rPr>
          <w:rFonts w:cstheme="minorHAnsi"/>
          <w:b/>
        </w:rPr>
        <w:fldChar w:fldCharType="end"/>
      </w:r>
      <w:r w:rsidRPr="001D200B">
        <w:rPr>
          <w:rFonts w:cstheme="minorHAnsi"/>
          <w:b/>
        </w:rPr>
        <w:t xml:space="preserve">. </w:t>
      </w:r>
      <w:r w:rsidR="00D27A5A" w:rsidRPr="001D200B">
        <w:rPr>
          <w:b/>
        </w:rPr>
        <w:t>Podstawowe właściwości wybranych rodzajów biomasy</w:t>
      </w:r>
      <w:bookmarkEnd w:id="99"/>
    </w:p>
    <w:tbl>
      <w:tblPr>
        <w:tblStyle w:val="Tabela-Siatka"/>
        <w:tblW w:w="0" w:type="auto"/>
        <w:tblLook w:val="04A0"/>
      </w:tblPr>
      <w:tblGrid>
        <w:gridCol w:w="2321"/>
        <w:gridCol w:w="2322"/>
        <w:gridCol w:w="2321"/>
        <w:gridCol w:w="2322"/>
      </w:tblGrid>
      <w:tr w:rsidR="00D27A5A" w:rsidRPr="001D200B" w:rsidTr="00FE6834">
        <w:tc>
          <w:tcPr>
            <w:tcW w:w="2321" w:type="dxa"/>
            <w:shd w:val="clear" w:color="auto" w:fill="D9D9D9" w:themeFill="background1" w:themeFillShade="D9"/>
            <w:vAlign w:val="center"/>
          </w:tcPr>
          <w:p w:rsidR="00D27A5A" w:rsidRPr="001D200B" w:rsidRDefault="00D27A5A" w:rsidP="00FE6834">
            <w:pPr>
              <w:spacing w:before="0" w:after="0" w:line="240" w:lineRule="auto"/>
              <w:rPr>
                <w:b/>
                <w:sz w:val="22"/>
                <w:szCs w:val="22"/>
              </w:rPr>
            </w:pPr>
            <w:r w:rsidRPr="001D200B">
              <w:rPr>
                <w:b/>
                <w:sz w:val="22"/>
                <w:szCs w:val="22"/>
              </w:rPr>
              <w:t>Wyszczególnienie:</w:t>
            </w:r>
          </w:p>
        </w:tc>
        <w:tc>
          <w:tcPr>
            <w:tcW w:w="2322" w:type="dxa"/>
            <w:shd w:val="clear" w:color="auto" w:fill="D9D9D9" w:themeFill="background1" w:themeFillShade="D9"/>
            <w:vAlign w:val="center"/>
          </w:tcPr>
          <w:p w:rsidR="00D27A5A" w:rsidRPr="001D200B" w:rsidRDefault="00D27A5A" w:rsidP="00FE6834">
            <w:pPr>
              <w:spacing w:before="0" w:after="0" w:line="240" w:lineRule="auto"/>
              <w:rPr>
                <w:b/>
                <w:sz w:val="22"/>
                <w:szCs w:val="22"/>
              </w:rPr>
            </w:pPr>
            <w:r w:rsidRPr="001D200B">
              <w:rPr>
                <w:b/>
                <w:sz w:val="22"/>
                <w:szCs w:val="22"/>
              </w:rPr>
              <w:t xml:space="preserve">Wartość opałowa </w:t>
            </w:r>
          </w:p>
        </w:tc>
        <w:tc>
          <w:tcPr>
            <w:tcW w:w="2321" w:type="dxa"/>
            <w:shd w:val="clear" w:color="auto" w:fill="D9D9D9" w:themeFill="background1" w:themeFillShade="D9"/>
            <w:vAlign w:val="center"/>
          </w:tcPr>
          <w:p w:rsidR="00D27A5A" w:rsidRPr="001D200B" w:rsidRDefault="00D27A5A" w:rsidP="00FE6834">
            <w:pPr>
              <w:spacing w:before="0" w:after="0" w:line="240" w:lineRule="auto"/>
              <w:rPr>
                <w:b/>
                <w:sz w:val="22"/>
                <w:szCs w:val="22"/>
              </w:rPr>
            </w:pPr>
            <w:r w:rsidRPr="001D200B">
              <w:rPr>
                <w:b/>
                <w:sz w:val="22"/>
                <w:szCs w:val="22"/>
              </w:rPr>
              <w:t>Wilgotność (w %)</w:t>
            </w:r>
          </w:p>
        </w:tc>
        <w:tc>
          <w:tcPr>
            <w:tcW w:w="2322" w:type="dxa"/>
            <w:shd w:val="clear" w:color="auto" w:fill="D9D9D9" w:themeFill="background1" w:themeFillShade="D9"/>
            <w:vAlign w:val="center"/>
          </w:tcPr>
          <w:p w:rsidR="00D27A5A" w:rsidRPr="001D200B" w:rsidRDefault="00D27A5A" w:rsidP="00FE6834">
            <w:pPr>
              <w:spacing w:before="0" w:after="0" w:line="240" w:lineRule="auto"/>
              <w:rPr>
                <w:b/>
                <w:sz w:val="22"/>
                <w:szCs w:val="22"/>
              </w:rPr>
            </w:pPr>
            <w:r w:rsidRPr="001D200B">
              <w:rPr>
                <w:b/>
                <w:sz w:val="22"/>
                <w:szCs w:val="22"/>
              </w:rPr>
              <w:t>Zawartość popiołu (% suchej masy)</w:t>
            </w:r>
          </w:p>
        </w:tc>
      </w:tr>
      <w:tr w:rsidR="00D27A5A" w:rsidRPr="001D200B" w:rsidTr="00FE6834">
        <w:tc>
          <w:tcPr>
            <w:tcW w:w="2321" w:type="dxa"/>
          </w:tcPr>
          <w:p w:rsidR="00D27A5A" w:rsidRPr="001D200B" w:rsidRDefault="00D27A5A" w:rsidP="00FE6834">
            <w:pPr>
              <w:spacing w:before="0" w:after="0" w:line="240" w:lineRule="auto"/>
              <w:rPr>
                <w:sz w:val="22"/>
                <w:szCs w:val="22"/>
              </w:rPr>
            </w:pPr>
            <w:r w:rsidRPr="001D200B">
              <w:rPr>
                <w:sz w:val="22"/>
                <w:szCs w:val="22"/>
              </w:rPr>
              <w:t>Drewno kawałkowe</w:t>
            </w:r>
          </w:p>
        </w:tc>
        <w:tc>
          <w:tcPr>
            <w:tcW w:w="2322" w:type="dxa"/>
          </w:tcPr>
          <w:p w:rsidR="00D27A5A" w:rsidRPr="001D200B" w:rsidRDefault="00D27A5A" w:rsidP="00FE6834">
            <w:pPr>
              <w:spacing w:before="0" w:after="0" w:line="240" w:lineRule="auto"/>
              <w:jc w:val="center"/>
              <w:rPr>
                <w:sz w:val="22"/>
                <w:szCs w:val="22"/>
              </w:rPr>
            </w:pPr>
            <w:r w:rsidRPr="001D200B">
              <w:rPr>
                <w:sz w:val="22"/>
                <w:szCs w:val="22"/>
              </w:rPr>
              <w:t>11-12 MJ/kg</w:t>
            </w:r>
          </w:p>
        </w:tc>
        <w:tc>
          <w:tcPr>
            <w:tcW w:w="2321" w:type="dxa"/>
          </w:tcPr>
          <w:p w:rsidR="00D27A5A" w:rsidRPr="001D200B" w:rsidRDefault="00D27A5A" w:rsidP="00FE6834">
            <w:pPr>
              <w:spacing w:before="0" w:after="0" w:line="240" w:lineRule="auto"/>
              <w:jc w:val="center"/>
              <w:rPr>
                <w:sz w:val="22"/>
                <w:szCs w:val="22"/>
              </w:rPr>
            </w:pPr>
            <w:r w:rsidRPr="001D200B">
              <w:rPr>
                <w:sz w:val="22"/>
                <w:szCs w:val="22"/>
              </w:rPr>
              <w:t>20-30</w:t>
            </w:r>
          </w:p>
        </w:tc>
        <w:tc>
          <w:tcPr>
            <w:tcW w:w="2322" w:type="dxa"/>
          </w:tcPr>
          <w:p w:rsidR="00D27A5A" w:rsidRPr="001D200B" w:rsidRDefault="00D27A5A" w:rsidP="00FE6834">
            <w:pPr>
              <w:spacing w:before="0" w:after="0" w:line="240" w:lineRule="auto"/>
              <w:jc w:val="center"/>
              <w:rPr>
                <w:sz w:val="22"/>
                <w:szCs w:val="22"/>
              </w:rPr>
            </w:pPr>
            <w:r w:rsidRPr="001D200B">
              <w:rPr>
                <w:sz w:val="22"/>
                <w:szCs w:val="22"/>
              </w:rPr>
              <w:t>0,6-1,5</w:t>
            </w:r>
          </w:p>
        </w:tc>
      </w:tr>
      <w:tr w:rsidR="00D27A5A" w:rsidRPr="001D200B" w:rsidTr="00FE6834">
        <w:tc>
          <w:tcPr>
            <w:tcW w:w="2321" w:type="dxa"/>
          </w:tcPr>
          <w:p w:rsidR="00D27A5A" w:rsidRPr="001D200B" w:rsidRDefault="00D27A5A" w:rsidP="00FE6834">
            <w:pPr>
              <w:spacing w:before="0" w:after="0" w:line="240" w:lineRule="auto"/>
              <w:rPr>
                <w:sz w:val="22"/>
                <w:szCs w:val="22"/>
              </w:rPr>
            </w:pPr>
            <w:r w:rsidRPr="001D200B">
              <w:rPr>
                <w:sz w:val="22"/>
                <w:szCs w:val="22"/>
              </w:rPr>
              <w:t>Zrębki drzewne</w:t>
            </w:r>
          </w:p>
        </w:tc>
        <w:tc>
          <w:tcPr>
            <w:tcW w:w="2322" w:type="dxa"/>
          </w:tcPr>
          <w:p w:rsidR="00D27A5A" w:rsidRPr="001D200B" w:rsidRDefault="00D27A5A" w:rsidP="00FE6834">
            <w:pPr>
              <w:spacing w:before="0" w:after="0" w:line="240" w:lineRule="auto"/>
              <w:jc w:val="center"/>
              <w:rPr>
                <w:sz w:val="22"/>
                <w:szCs w:val="22"/>
              </w:rPr>
            </w:pPr>
            <w:r w:rsidRPr="001D200B">
              <w:rPr>
                <w:sz w:val="22"/>
                <w:szCs w:val="22"/>
              </w:rPr>
              <w:t>6-16 MJ/kg</w:t>
            </w:r>
          </w:p>
        </w:tc>
        <w:tc>
          <w:tcPr>
            <w:tcW w:w="2321" w:type="dxa"/>
          </w:tcPr>
          <w:p w:rsidR="00D27A5A" w:rsidRPr="001D200B" w:rsidRDefault="00D27A5A" w:rsidP="00FE6834">
            <w:pPr>
              <w:spacing w:before="0" w:after="0" w:line="240" w:lineRule="auto"/>
              <w:jc w:val="center"/>
              <w:rPr>
                <w:sz w:val="22"/>
                <w:szCs w:val="22"/>
              </w:rPr>
            </w:pPr>
            <w:r w:rsidRPr="001D200B">
              <w:rPr>
                <w:sz w:val="22"/>
                <w:szCs w:val="22"/>
              </w:rPr>
              <w:t>20-60</w:t>
            </w:r>
          </w:p>
        </w:tc>
        <w:tc>
          <w:tcPr>
            <w:tcW w:w="2322" w:type="dxa"/>
          </w:tcPr>
          <w:p w:rsidR="00D27A5A" w:rsidRPr="001D200B" w:rsidRDefault="00D27A5A" w:rsidP="00FE6834">
            <w:pPr>
              <w:spacing w:before="0" w:after="0" w:line="240" w:lineRule="auto"/>
              <w:jc w:val="center"/>
              <w:rPr>
                <w:sz w:val="22"/>
                <w:szCs w:val="22"/>
              </w:rPr>
            </w:pPr>
            <w:r w:rsidRPr="001D200B">
              <w:rPr>
                <w:sz w:val="22"/>
                <w:szCs w:val="22"/>
              </w:rPr>
              <w:t>0,6-1,5</w:t>
            </w:r>
          </w:p>
        </w:tc>
      </w:tr>
      <w:tr w:rsidR="00D27A5A" w:rsidRPr="001D200B" w:rsidTr="00FE6834">
        <w:tc>
          <w:tcPr>
            <w:tcW w:w="2321" w:type="dxa"/>
          </w:tcPr>
          <w:p w:rsidR="00D27A5A" w:rsidRPr="001D200B" w:rsidRDefault="00D27A5A" w:rsidP="00FE6834">
            <w:pPr>
              <w:spacing w:before="0" w:after="0" w:line="240" w:lineRule="auto"/>
              <w:rPr>
                <w:sz w:val="22"/>
                <w:szCs w:val="22"/>
              </w:rPr>
            </w:pPr>
            <w:r w:rsidRPr="001D200B">
              <w:rPr>
                <w:sz w:val="22"/>
                <w:szCs w:val="22"/>
              </w:rPr>
              <w:t>Kora</w:t>
            </w:r>
          </w:p>
        </w:tc>
        <w:tc>
          <w:tcPr>
            <w:tcW w:w="2322" w:type="dxa"/>
          </w:tcPr>
          <w:p w:rsidR="00D27A5A" w:rsidRPr="001D200B" w:rsidRDefault="00D27A5A" w:rsidP="00FE6834">
            <w:pPr>
              <w:spacing w:before="0" w:after="0" w:line="240" w:lineRule="auto"/>
              <w:jc w:val="center"/>
              <w:rPr>
                <w:sz w:val="22"/>
                <w:szCs w:val="22"/>
              </w:rPr>
            </w:pPr>
            <w:r w:rsidRPr="001D200B">
              <w:rPr>
                <w:sz w:val="22"/>
                <w:szCs w:val="22"/>
              </w:rPr>
              <w:t>18,5-20 MJ/kg</w:t>
            </w:r>
          </w:p>
        </w:tc>
        <w:tc>
          <w:tcPr>
            <w:tcW w:w="2321" w:type="dxa"/>
          </w:tcPr>
          <w:p w:rsidR="00D27A5A" w:rsidRPr="001D200B" w:rsidRDefault="00D27A5A" w:rsidP="00FE6834">
            <w:pPr>
              <w:spacing w:before="0" w:after="0" w:line="240" w:lineRule="auto"/>
              <w:jc w:val="center"/>
              <w:rPr>
                <w:sz w:val="22"/>
                <w:szCs w:val="22"/>
              </w:rPr>
            </w:pPr>
            <w:r w:rsidRPr="001D200B">
              <w:rPr>
                <w:sz w:val="22"/>
                <w:szCs w:val="22"/>
              </w:rPr>
              <w:t>55-65</w:t>
            </w:r>
          </w:p>
        </w:tc>
        <w:tc>
          <w:tcPr>
            <w:tcW w:w="2322" w:type="dxa"/>
          </w:tcPr>
          <w:p w:rsidR="00D27A5A" w:rsidRPr="001D200B" w:rsidRDefault="00D27A5A" w:rsidP="00FE6834">
            <w:pPr>
              <w:spacing w:before="0" w:after="0" w:line="240" w:lineRule="auto"/>
              <w:jc w:val="center"/>
              <w:rPr>
                <w:sz w:val="22"/>
                <w:szCs w:val="22"/>
              </w:rPr>
            </w:pPr>
            <w:r w:rsidRPr="001D200B">
              <w:rPr>
                <w:sz w:val="22"/>
                <w:szCs w:val="22"/>
              </w:rPr>
              <w:t>1,3</w:t>
            </w:r>
          </w:p>
        </w:tc>
      </w:tr>
      <w:tr w:rsidR="00D27A5A" w:rsidRPr="001D200B" w:rsidTr="00FE6834">
        <w:tc>
          <w:tcPr>
            <w:tcW w:w="2321" w:type="dxa"/>
          </w:tcPr>
          <w:p w:rsidR="00D27A5A" w:rsidRPr="001D200B" w:rsidRDefault="00D27A5A" w:rsidP="00FE6834">
            <w:pPr>
              <w:spacing w:before="0" w:after="0" w:line="240" w:lineRule="auto"/>
              <w:rPr>
                <w:sz w:val="22"/>
                <w:szCs w:val="22"/>
              </w:rPr>
            </w:pPr>
            <w:r w:rsidRPr="001D200B">
              <w:rPr>
                <w:sz w:val="22"/>
                <w:szCs w:val="22"/>
              </w:rPr>
              <w:t>Brykiet</w:t>
            </w:r>
          </w:p>
        </w:tc>
        <w:tc>
          <w:tcPr>
            <w:tcW w:w="2322" w:type="dxa"/>
          </w:tcPr>
          <w:p w:rsidR="00D27A5A" w:rsidRPr="001D200B" w:rsidRDefault="00D27A5A" w:rsidP="00FE6834">
            <w:pPr>
              <w:spacing w:before="0" w:after="0" w:line="240" w:lineRule="auto"/>
              <w:jc w:val="center"/>
              <w:rPr>
                <w:sz w:val="22"/>
                <w:szCs w:val="22"/>
              </w:rPr>
            </w:pPr>
            <w:r w:rsidRPr="001D200B">
              <w:rPr>
                <w:sz w:val="22"/>
                <w:szCs w:val="22"/>
              </w:rPr>
              <w:t>19-21 GJ/t</w:t>
            </w:r>
          </w:p>
        </w:tc>
        <w:tc>
          <w:tcPr>
            <w:tcW w:w="2321" w:type="dxa"/>
          </w:tcPr>
          <w:p w:rsidR="00D27A5A" w:rsidRPr="001D200B" w:rsidRDefault="00D27A5A" w:rsidP="00FE6834">
            <w:pPr>
              <w:spacing w:before="0" w:after="0" w:line="240" w:lineRule="auto"/>
              <w:jc w:val="center"/>
              <w:rPr>
                <w:sz w:val="22"/>
                <w:szCs w:val="22"/>
              </w:rPr>
            </w:pPr>
            <w:r w:rsidRPr="001D200B">
              <w:rPr>
                <w:sz w:val="22"/>
                <w:szCs w:val="22"/>
              </w:rPr>
              <w:t>6-8</w:t>
            </w:r>
          </w:p>
        </w:tc>
        <w:tc>
          <w:tcPr>
            <w:tcW w:w="2322" w:type="dxa"/>
          </w:tcPr>
          <w:p w:rsidR="00D27A5A" w:rsidRPr="001D200B" w:rsidRDefault="00D27A5A" w:rsidP="00FE6834">
            <w:pPr>
              <w:spacing w:before="0" w:after="0" w:line="240" w:lineRule="auto"/>
              <w:jc w:val="center"/>
              <w:rPr>
                <w:sz w:val="22"/>
                <w:szCs w:val="22"/>
              </w:rPr>
            </w:pPr>
            <w:r w:rsidRPr="001D200B">
              <w:rPr>
                <w:sz w:val="22"/>
                <w:szCs w:val="22"/>
              </w:rPr>
              <w:t>0,5-1</w:t>
            </w:r>
          </w:p>
        </w:tc>
      </w:tr>
      <w:tr w:rsidR="00D27A5A" w:rsidRPr="001D200B" w:rsidTr="00FE6834">
        <w:tc>
          <w:tcPr>
            <w:tcW w:w="2321" w:type="dxa"/>
          </w:tcPr>
          <w:p w:rsidR="00D27A5A" w:rsidRPr="001D200B" w:rsidRDefault="00D27A5A" w:rsidP="00FE6834">
            <w:pPr>
              <w:spacing w:before="0" w:after="0" w:line="240" w:lineRule="auto"/>
              <w:rPr>
                <w:sz w:val="22"/>
                <w:szCs w:val="22"/>
              </w:rPr>
            </w:pPr>
            <w:r w:rsidRPr="001D200B">
              <w:rPr>
                <w:sz w:val="22"/>
                <w:szCs w:val="22"/>
              </w:rPr>
              <w:t>Pelety (granulat)</w:t>
            </w:r>
          </w:p>
        </w:tc>
        <w:tc>
          <w:tcPr>
            <w:tcW w:w="2322" w:type="dxa"/>
          </w:tcPr>
          <w:p w:rsidR="00D27A5A" w:rsidRPr="001D200B" w:rsidRDefault="00D27A5A" w:rsidP="00FE6834">
            <w:pPr>
              <w:spacing w:before="0" w:after="0" w:line="240" w:lineRule="auto"/>
              <w:jc w:val="center"/>
              <w:rPr>
                <w:sz w:val="22"/>
                <w:szCs w:val="22"/>
              </w:rPr>
            </w:pPr>
            <w:r w:rsidRPr="001D200B">
              <w:rPr>
                <w:sz w:val="22"/>
                <w:szCs w:val="22"/>
              </w:rPr>
              <w:t>16,5-17,5 MJ/kg</w:t>
            </w:r>
          </w:p>
        </w:tc>
        <w:tc>
          <w:tcPr>
            <w:tcW w:w="2321" w:type="dxa"/>
          </w:tcPr>
          <w:p w:rsidR="00D27A5A" w:rsidRPr="001D200B" w:rsidRDefault="00D27A5A" w:rsidP="00FE6834">
            <w:pPr>
              <w:spacing w:before="0" w:after="0" w:line="240" w:lineRule="auto"/>
              <w:jc w:val="center"/>
              <w:rPr>
                <w:sz w:val="22"/>
                <w:szCs w:val="22"/>
              </w:rPr>
            </w:pPr>
            <w:r w:rsidRPr="001D200B">
              <w:rPr>
                <w:sz w:val="22"/>
                <w:szCs w:val="22"/>
              </w:rPr>
              <w:t>7-12</w:t>
            </w:r>
          </w:p>
        </w:tc>
        <w:tc>
          <w:tcPr>
            <w:tcW w:w="2322" w:type="dxa"/>
          </w:tcPr>
          <w:p w:rsidR="00D27A5A" w:rsidRPr="001D200B" w:rsidRDefault="00D27A5A" w:rsidP="00FE6834">
            <w:pPr>
              <w:spacing w:before="0" w:after="0" w:line="240" w:lineRule="auto"/>
              <w:jc w:val="center"/>
              <w:rPr>
                <w:sz w:val="22"/>
                <w:szCs w:val="22"/>
              </w:rPr>
            </w:pPr>
            <w:r w:rsidRPr="001D200B">
              <w:rPr>
                <w:sz w:val="22"/>
                <w:szCs w:val="22"/>
              </w:rPr>
              <w:t>0,4-1</w:t>
            </w:r>
          </w:p>
        </w:tc>
      </w:tr>
    </w:tbl>
    <w:p w:rsidR="00D27A5A" w:rsidRPr="001D200B" w:rsidRDefault="00D27A5A" w:rsidP="00D27A5A">
      <w:pPr>
        <w:pStyle w:val="podtabelk"/>
      </w:pPr>
      <w:r w:rsidRPr="001D200B">
        <w:t>* źródło danych: www.biomasa.org</w:t>
      </w:r>
    </w:p>
    <w:p w:rsidR="00D27A5A" w:rsidRPr="001D200B" w:rsidRDefault="00D27A5A" w:rsidP="00F21741">
      <w:pPr>
        <w:pStyle w:val="Punktatory1"/>
      </w:pPr>
      <w:r w:rsidRPr="001D200B">
        <w:rPr>
          <w:i/>
          <w:u w:val="single"/>
        </w:rPr>
        <w:t>rośliny pochodzące z upraw energetycznych</w:t>
      </w:r>
      <w:r w:rsidRPr="001D200B">
        <w:t xml:space="preserve"> – charakteryzujące się dużym przyrostem rocznym, wysoką wartością opałową, znaczną odpornością na choroby i szkodniki oraz stosunkowo niewielkie wymagania glebowe;</w:t>
      </w:r>
    </w:p>
    <w:p w:rsidR="00A73C23" w:rsidRPr="001D200B" w:rsidRDefault="001825A7" w:rsidP="00F21741">
      <w:pPr>
        <w:pStyle w:val="Punktatory1"/>
      </w:pPr>
      <w:r w:rsidRPr="001D200B">
        <w:rPr>
          <w:i/>
          <w:u w:val="single"/>
        </w:rPr>
        <w:t>produkty i odpady rolnicze</w:t>
      </w:r>
      <w:r w:rsidRPr="001D200B">
        <w:rPr>
          <w:u w:val="single"/>
        </w:rPr>
        <w:t xml:space="preserve"> </w:t>
      </w:r>
      <w:r w:rsidRPr="001D200B">
        <w:t xml:space="preserve">– (słoma, siano, buraki cukrowe, trzcina cukrowa, ziemniaki, rzepak, </w:t>
      </w:r>
      <w:r w:rsidR="00A73C23" w:rsidRPr="001D200B">
        <w:t xml:space="preserve">ziarno energetyczne, </w:t>
      </w:r>
      <w:r w:rsidRPr="001D200B">
        <w:t>pozostałości przerobu owoców, zwierzęce odchody)</w:t>
      </w:r>
      <w:r w:rsidR="00A73C23" w:rsidRPr="001D200B">
        <w:t xml:space="preserve">. </w:t>
      </w:r>
    </w:p>
    <w:p w:rsidR="007705BF" w:rsidRPr="001D200B" w:rsidRDefault="00A73C23" w:rsidP="00A73C23">
      <w:pPr>
        <w:rPr>
          <w:rFonts w:cstheme="minorHAnsi"/>
        </w:rPr>
      </w:pPr>
      <w:r w:rsidRPr="001D200B">
        <w:rPr>
          <w:rFonts w:cstheme="minorHAnsi"/>
        </w:rPr>
        <w:t>Najbardziej popularne jest wykorzystanie do celów energetycznych nadwyżek słomy</w:t>
      </w:r>
      <w:r w:rsidR="00CF45CE" w:rsidRPr="001D200B">
        <w:rPr>
          <w:rFonts w:cstheme="minorHAnsi"/>
        </w:rPr>
        <w:t>.</w:t>
      </w:r>
    </w:p>
    <w:p w:rsidR="00915383" w:rsidRPr="001D200B" w:rsidRDefault="00915383">
      <w:pPr>
        <w:spacing w:before="0" w:after="0" w:line="240" w:lineRule="auto"/>
        <w:jc w:val="left"/>
        <w:rPr>
          <w:rFonts w:cstheme="minorHAnsi"/>
        </w:rPr>
      </w:pPr>
      <w:r w:rsidRPr="001D200B">
        <w:rPr>
          <w:rFonts w:cstheme="minorHAnsi"/>
        </w:rPr>
        <w:br w:type="page"/>
      </w:r>
    </w:p>
    <w:p w:rsidR="00DE5161" w:rsidRPr="001D200B" w:rsidRDefault="00CF45CE" w:rsidP="00CF45CE">
      <w:pPr>
        <w:pStyle w:val="Tytu"/>
        <w:rPr>
          <w:rFonts w:cstheme="minorHAnsi"/>
          <w:b/>
        </w:rPr>
      </w:pPr>
      <w:bookmarkStart w:id="100" w:name="_Toc39476587"/>
      <w:r w:rsidRPr="001D200B">
        <w:rPr>
          <w:rFonts w:cstheme="minorHAnsi"/>
          <w:b/>
        </w:rPr>
        <w:lastRenderedPageBreak/>
        <w:t xml:space="preserve">Tabela </w:t>
      </w:r>
      <w:r w:rsidR="005B7234" w:rsidRPr="001D200B">
        <w:rPr>
          <w:rFonts w:cstheme="minorHAnsi"/>
          <w:b/>
        </w:rPr>
        <w:fldChar w:fldCharType="begin"/>
      </w:r>
      <w:r w:rsidR="00F200FE" w:rsidRPr="001D200B">
        <w:rPr>
          <w:rFonts w:cstheme="minorHAnsi"/>
          <w:b/>
        </w:rPr>
        <w:instrText xml:space="preserve"> SEQ Tabela \* ARABIC </w:instrText>
      </w:r>
      <w:r w:rsidR="005B7234" w:rsidRPr="001D200B">
        <w:rPr>
          <w:rFonts w:cstheme="minorHAnsi"/>
          <w:b/>
        </w:rPr>
        <w:fldChar w:fldCharType="separate"/>
      </w:r>
      <w:r w:rsidR="00D2721B" w:rsidRPr="001D200B">
        <w:rPr>
          <w:rFonts w:cstheme="minorHAnsi"/>
          <w:b/>
          <w:noProof/>
        </w:rPr>
        <w:t>35</w:t>
      </w:r>
      <w:r w:rsidR="005B7234" w:rsidRPr="001D200B">
        <w:rPr>
          <w:rFonts w:cstheme="minorHAnsi"/>
          <w:b/>
        </w:rPr>
        <w:fldChar w:fldCharType="end"/>
      </w:r>
      <w:r w:rsidRPr="001D200B">
        <w:rPr>
          <w:rFonts w:cstheme="minorHAnsi"/>
          <w:b/>
        </w:rPr>
        <w:t>. Wartości opałowe słomy</w:t>
      </w:r>
      <w:bookmarkEnd w:id="100"/>
      <w:r w:rsidRPr="001D200B">
        <w:rPr>
          <w:rFonts w:cstheme="minorHAnsi"/>
          <w:b/>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8"/>
        <w:gridCol w:w="2255"/>
        <w:gridCol w:w="1332"/>
        <w:gridCol w:w="1148"/>
        <w:gridCol w:w="2333"/>
      </w:tblGrid>
      <w:tr w:rsidR="00862D11" w:rsidRPr="001D200B" w:rsidTr="00862D11">
        <w:trPr>
          <w:trHeight w:val="342"/>
        </w:trPr>
        <w:tc>
          <w:tcPr>
            <w:tcW w:w="1195" w:type="pct"/>
            <w:shd w:val="clear" w:color="auto" w:fill="D9D9D9" w:themeFill="background1" w:themeFillShade="D9"/>
            <w:vAlign w:val="center"/>
          </w:tcPr>
          <w:p w:rsidR="00862D11" w:rsidRPr="001D200B" w:rsidRDefault="00862D11" w:rsidP="00FE6834">
            <w:pPr>
              <w:spacing w:before="0" w:after="0" w:line="240" w:lineRule="auto"/>
              <w:rPr>
                <w:b/>
                <w:sz w:val="22"/>
                <w:szCs w:val="22"/>
              </w:rPr>
            </w:pPr>
            <w:r w:rsidRPr="001D200B">
              <w:rPr>
                <w:b/>
                <w:sz w:val="22"/>
                <w:szCs w:val="22"/>
              </w:rPr>
              <w:t>Wyszczególnienie:</w:t>
            </w:r>
          </w:p>
        </w:tc>
        <w:tc>
          <w:tcPr>
            <w:tcW w:w="1214" w:type="pct"/>
            <w:shd w:val="clear" w:color="auto" w:fill="D9D9D9" w:themeFill="background1" w:themeFillShade="D9"/>
            <w:vAlign w:val="center"/>
          </w:tcPr>
          <w:p w:rsidR="00862D11" w:rsidRPr="001D200B" w:rsidRDefault="00862D11" w:rsidP="00862D11">
            <w:pPr>
              <w:spacing w:before="0" w:after="0" w:line="240" w:lineRule="auto"/>
              <w:jc w:val="center"/>
              <w:rPr>
                <w:b/>
                <w:sz w:val="22"/>
                <w:szCs w:val="22"/>
              </w:rPr>
            </w:pPr>
            <w:r w:rsidRPr="001D200B">
              <w:rPr>
                <w:b/>
                <w:sz w:val="22"/>
                <w:szCs w:val="22"/>
              </w:rPr>
              <w:t>Wartość opałowa (MJ/kg)</w:t>
            </w:r>
          </w:p>
        </w:tc>
        <w:tc>
          <w:tcPr>
            <w:tcW w:w="717" w:type="pct"/>
            <w:shd w:val="clear" w:color="auto" w:fill="D9D9D9" w:themeFill="background1" w:themeFillShade="D9"/>
            <w:vAlign w:val="center"/>
          </w:tcPr>
          <w:p w:rsidR="00862D11" w:rsidRPr="001D200B" w:rsidRDefault="00862D11" w:rsidP="00862D11">
            <w:pPr>
              <w:spacing w:before="0" w:after="0" w:line="240" w:lineRule="auto"/>
              <w:jc w:val="center"/>
              <w:rPr>
                <w:b/>
                <w:sz w:val="22"/>
                <w:szCs w:val="22"/>
              </w:rPr>
            </w:pPr>
            <w:r w:rsidRPr="001D200B">
              <w:rPr>
                <w:b/>
                <w:sz w:val="22"/>
                <w:szCs w:val="22"/>
              </w:rPr>
              <w:t>Wilgotność (w %)</w:t>
            </w:r>
          </w:p>
        </w:tc>
        <w:tc>
          <w:tcPr>
            <w:tcW w:w="618" w:type="pct"/>
            <w:shd w:val="clear" w:color="auto" w:fill="D9D9D9" w:themeFill="background1" w:themeFillShade="D9"/>
          </w:tcPr>
          <w:p w:rsidR="00862D11" w:rsidRPr="001D200B" w:rsidRDefault="00862D11" w:rsidP="00862D11">
            <w:pPr>
              <w:spacing w:before="0" w:after="0" w:line="240" w:lineRule="auto"/>
              <w:jc w:val="center"/>
              <w:rPr>
                <w:b/>
                <w:sz w:val="22"/>
                <w:szCs w:val="22"/>
              </w:rPr>
            </w:pPr>
            <w:r w:rsidRPr="001D200B">
              <w:rPr>
                <w:b/>
                <w:sz w:val="22"/>
                <w:szCs w:val="22"/>
              </w:rPr>
              <w:t>Gęstość (kg/m</w:t>
            </w:r>
            <w:r w:rsidRPr="001D200B">
              <w:rPr>
                <w:b/>
                <w:sz w:val="22"/>
                <w:szCs w:val="22"/>
                <w:vertAlign w:val="superscript"/>
              </w:rPr>
              <w:t>3</w:t>
            </w:r>
            <w:r w:rsidRPr="001D200B">
              <w:rPr>
                <w:b/>
                <w:sz w:val="22"/>
                <w:szCs w:val="22"/>
              </w:rPr>
              <w:t>)</w:t>
            </w:r>
          </w:p>
        </w:tc>
        <w:tc>
          <w:tcPr>
            <w:tcW w:w="1257" w:type="pct"/>
            <w:shd w:val="clear" w:color="auto" w:fill="D9D9D9" w:themeFill="background1" w:themeFillShade="D9"/>
            <w:vAlign w:val="center"/>
          </w:tcPr>
          <w:p w:rsidR="00862D11" w:rsidRPr="001D200B" w:rsidRDefault="00862D11" w:rsidP="00862D11">
            <w:pPr>
              <w:spacing w:before="0" w:after="0" w:line="240" w:lineRule="auto"/>
              <w:jc w:val="center"/>
              <w:rPr>
                <w:b/>
                <w:sz w:val="22"/>
                <w:szCs w:val="22"/>
              </w:rPr>
            </w:pPr>
            <w:r w:rsidRPr="001D200B">
              <w:rPr>
                <w:b/>
                <w:sz w:val="22"/>
                <w:szCs w:val="22"/>
              </w:rPr>
              <w:t>Zawartość popiołu</w:t>
            </w:r>
          </w:p>
          <w:p w:rsidR="00862D11" w:rsidRPr="001D200B" w:rsidRDefault="00862D11" w:rsidP="00862D11">
            <w:pPr>
              <w:spacing w:before="0" w:after="0" w:line="240" w:lineRule="auto"/>
              <w:jc w:val="center"/>
              <w:rPr>
                <w:b/>
                <w:sz w:val="22"/>
                <w:szCs w:val="22"/>
              </w:rPr>
            </w:pPr>
            <w:r w:rsidRPr="001D200B">
              <w:rPr>
                <w:b/>
                <w:sz w:val="22"/>
                <w:szCs w:val="22"/>
              </w:rPr>
              <w:t>(% suchej masy)</w:t>
            </w:r>
          </w:p>
        </w:tc>
      </w:tr>
      <w:tr w:rsidR="00862D11" w:rsidRPr="001D200B" w:rsidTr="00862D11">
        <w:tc>
          <w:tcPr>
            <w:tcW w:w="1195" w:type="pct"/>
          </w:tcPr>
          <w:p w:rsidR="00862D11" w:rsidRPr="001D200B" w:rsidRDefault="00862D11" w:rsidP="00FE6834">
            <w:pPr>
              <w:spacing w:before="0" w:after="0" w:line="240" w:lineRule="auto"/>
              <w:rPr>
                <w:sz w:val="22"/>
                <w:szCs w:val="22"/>
              </w:rPr>
            </w:pPr>
            <w:r w:rsidRPr="001D200B">
              <w:rPr>
                <w:sz w:val="22"/>
                <w:szCs w:val="22"/>
              </w:rPr>
              <w:t xml:space="preserve">Słoma żółta </w:t>
            </w:r>
          </w:p>
        </w:tc>
        <w:tc>
          <w:tcPr>
            <w:tcW w:w="1214" w:type="pct"/>
          </w:tcPr>
          <w:p w:rsidR="00862D11" w:rsidRPr="001D200B" w:rsidRDefault="00862D11" w:rsidP="00862D11">
            <w:pPr>
              <w:spacing w:before="0" w:after="0" w:line="240" w:lineRule="auto"/>
              <w:jc w:val="center"/>
              <w:rPr>
                <w:sz w:val="22"/>
                <w:szCs w:val="22"/>
              </w:rPr>
            </w:pPr>
            <w:r w:rsidRPr="001D200B">
              <w:rPr>
                <w:sz w:val="22"/>
                <w:szCs w:val="22"/>
              </w:rPr>
              <w:t>14,3</w:t>
            </w:r>
          </w:p>
        </w:tc>
        <w:tc>
          <w:tcPr>
            <w:tcW w:w="717" w:type="pct"/>
          </w:tcPr>
          <w:p w:rsidR="00862D11" w:rsidRPr="001D200B" w:rsidRDefault="00862D11" w:rsidP="00862D11">
            <w:pPr>
              <w:spacing w:before="0" w:after="0" w:line="240" w:lineRule="auto"/>
              <w:jc w:val="center"/>
              <w:rPr>
                <w:sz w:val="22"/>
                <w:szCs w:val="22"/>
              </w:rPr>
            </w:pPr>
            <w:r w:rsidRPr="001D200B">
              <w:rPr>
                <w:sz w:val="22"/>
                <w:szCs w:val="22"/>
              </w:rPr>
              <w:t>10-20</w:t>
            </w:r>
          </w:p>
        </w:tc>
        <w:tc>
          <w:tcPr>
            <w:tcW w:w="618" w:type="pct"/>
          </w:tcPr>
          <w:p w:rsidR="00862D11" w:rsidRPr="001D200B" w:rsidRDefault="00862D11" w:rsidP="00862D11">
            <w:pPr>
              <w:spacing w:before="0" w:after="0" w:line="240" w:lineRule="auto"/>
              <w:jc w:val="center"/>
              <w:rPr>
                <w:sz w:val="22"/>
                <w:szCs w:val="22"/>
              </w:rPr>
            </w:pPr>
            <w:r w:rsidRPr="001D200B">
              <w:rPr>
                <w:sz w:val="22"/>
                <w:szCs w:val="22"/>
              </w:rPr>
              <w:t>90-165</w:t>
            </w:r>
          </w:p>
        </w:tc>
        <w:tc>
          <w:tcPr>
            <w:tcW w:w="1257" w:type="pct"/>
          </w:tcPr>
          <w:p w:rsidR="00862D11" w:rsidRPr="001D200B" w:rsidRDefault="00862D11" w:rsidP="00862D11">
            <w:pPr>
              <w:spacing w:before="0" w:after="0" w:line="240" w:lineRule="auto"/>
              <w:jc w:val="center"/>
              <w:rPr>
                <w:sz w:val="22"/>
                <w:szCs w:val="22"/>
              </w:rPr>
            </w:pPr>
            <w:r w:rsidRPr="001D200B">
              <w:rPr>
                <w:sz w:val="22"/>
                <w:szCs w:val="22"/>
              </w:rPr>
              <w:t>4,0</w:t>
            </w:r>
          </w:p>
        </w:tc>
      </w:tr>
      <w:tr w:rsidR="00862D11" w:rsidRPr="001D200B" w:rsidTr="00862D11">
        <w:tc>
          <w:tcPr>
            <w:tcW w:w="1195" w:type="pct"/>
          </w:tcPr>
          <w:p w:rsidR="00862D11" w:rsidRPr="001D200B" w:rsidRDefault="00862D11" w:rsidP="00FE6834">
            <w:pPr>
              <w:spacing w:before="0" w:after="0" w:line="240" w:lineRule="auto"/>
              <w:rPr>
                <w:sz w:val="22"/>
                <w:szCs w:val="22"/>
              </w:rPr>
            </w:pPr>
            <w:r w:rsidRPr="001D200B">
              <w:rPr>
                <w:sz w:val="22"/>
                <w:szCs w:val="22"/>
              </w:rPr>
              <w:t>Słoma szara</w:t>
            </w:r>
          </w:p>
        </w:tc>
        <w:tc>
          <w:tcPr>
            <w:tcW w:w="1214" w:type="pct"/>
          </w:tcPr>
          <w:p w:rsidR="00862D11" w:rsidRPr="001D200B" w:rsidRDefault="00862D11" w:rsidP="00862D11">
            <w:pPr>
              <w:spacing w:before="0" w:after="0" w:line="240" w:lineRule="auto"/>
              <w:jc w:val="center"/>
              <w:rPr>
                <w:sz w:val="22"/>
                <w:szCs w:val="22"/>
              </w:rPr>
            </w:pPr>
            <w:r w:rsidRPr="001D200B">
              <w:rPr>
                <w:sz w:val="22"/>
                <w:szCs w:val="22"/>
              </w:rPr>
              <w:t>15,2</w:t>
            </w:r>
          </w:p>
        </w:tc>
        <w:tc>
          <w:tcPr>
            <w:tcW w:w="717" w:type="pct"/>
          </w:tcPr>
          <w:p w:rsidR="00862D11" w:rsidRPr="001D200B" w:rsidRDefault="00862D11" w:rsidP="00862D11">
            <w:pPr>
              <w:spacing w:before="0" w:after="0" w:line="240" w:lineRule="auto"/>
              <w:jc w:val="center"/>
              <w:rPr>
                <w:sz w:val="22"/>
                <w:szCs w:val="22"/>
              </w:rPr>
            </w:pPr>
            <w:r w:rsidRPr="001D200B">
              <w:rPr>
                <w:sz w:val="22"/>
                <w:szCs w:val="22"/>
              </w:rPr>
              <w:t>10-20</w:t>
            </w:r>
          </w:p>
        </w:tc>
        <w:tc>
          <w:tcPr>
            <w:tcW w:w="618" w:type="pct"/>
          </w:tcPr>
          <w:p w:rsidR="00862D11" w:rsidRPr="001D200B" w:rsidRDefault="00862D11" w:rsidP="00862D11">
            <w:pPr>
              <w:spacing w:before="0" w:after="0" w:line="240" w:lineRule="auto"/>
              <w:jc w:val="center"/>
              <w:rPr>
                <w:sz w:val="22"/>
                <w:szCs w:val="22"/>
              </w:rPr>
            </w:pPr>
            <w:r w:rsidRPr="001D200B">
              <w:rPr>
                <w:sz w:val="22"/>
                <w:szCs w:val="22"/>
              </w:rPr>
              <w:t>90-165</w:t>
            </w:r>
          </w:p>
        </w:tc>
        <w:tc>
          <w:tcPr>
            <w:tcW w:w="1257" w:type="pct"/>
          </w:tcPr>
          <w:p w:rsidR="00862D11" w:rsidRPr="001D200B" w:rsidRDefault="00862D11" w:rsidP="00862D11">
            <w:pPr>
              <w:spacing w:before="0" w:after="0" w:line="240" w:lineRule="auto"/>
              <w:jc w:val="center"/>
              <w:rPr>
                <w:sz w:val="22"/>
                <w:szCs w:val="22"/>
              </w:rPr>
            </w:pPr>
            <w:r w:rsidRPr="001D200B">
              <w:rPr>
                <w:sz w:val="22"/>
                <w:szCs w:val="22"/>
              </w:rPr>
              <w:t>3,0</w:t>
            </w:r>
          </w:p>
        </w:tc>
      </w:tr>
    </w:tbl>
    <w:p w:rsidR="00862D11" w:rsidRPr="001D200B" w:rsidRDefault="00862D11" w:rsidP="00862D11">
      <w:pPr>
        <w:pStyle w:val="podtabelk"/>
      </w:pPr>
      <w:r w:rsidRPr="001D200B">
        <w:t>* www.biomasa.org</w:t>
      </w:r>
    </w:p>
    <w:p w:rsidR="0015314C" w:rsidRPr="001D200B" w:rsidRDefault="0015314C" w:rsidP="0015314C">
      <w:r w:rsidRPr="001D200B">
        <w:t xml:space="preserve">Technologie energetyczne wykorzystujące biomasę, obejmujących m.in.: spalanie biomasy roślinnej; wytwarzanie oleju opałowego z roślin oleistych (np. rzepak) specjalnie uprawianych dla celów energetycznych. </w:t>
      </w:r>
    </w:p>
    <w:p w:rsidR="0015314C" w:rsidRPr="001D200B" w:rsidRDefault="0015314C" w:rsidP="0015314C">
      <w:r w:rsidRPr="001D200B">
        <w:t xml:space="preserve">Biomasa wykorzystywana energetycznie pochodzi w Polsce z dwóch gałęzi gospodarki, tj. z rolnictwa i leśnictwa i jest jednym z najbardziej obiecujących źródeł energii odnawialnej, co wynika przede wszystkim z jej głównego atutu, jakim jest stosunkowo proste pozyskanie. </w:t>
      </w:r>
    </w:p>
    <w:p w:rsidR="007948C3" w:rsidRPr="001D200B" w:rsidRDefault="007948C3" w:rsidP="007948C3">
      <w:pPr>
        <w:shd w:val="clear" w:color="auto" w:fill="F2F2F2" w:themeFill="background1" w:themeFillShade="F2"/>
        <w:rPr>
          <w:b/>
        </w:rPr>
      </w:pPr>
      <w:r w:rsidRPr="001D200B">
        <w:rPr>
          <w:b/>
        </w:rPr>
        <w:t>Możliwości pozyskania energii z biomasy na terenie gminy Połaniec</w:t>
      </w:r>
    </w:p>
    <w:p w:rsidR="00A15F35" w:rsidRPr="001D200B" w:rsidRDefault="00500E14" w:rsidP="00D5479D">
      <w:pPr>
        <w:rPr>
          <w:rFonts w:cstheme="minorHAnsi"/>
          <w:szCs w:val="24"/>
        </w:rPr>
      </w:pPr>
      <w:r w:rsidRPr="001D200B">
        <w:rPr>
          <w:rFonts w:cstheme="minorHAnsi"/>
          <w:szCs w:val="24"/>
        </w:rPr>
        <w:t xml:space="preserve">Biomasa do celów energetycznych wykorzystywana jest w </w:t>
      </w:r>
      <w:r w:rsidR="00710464" w:rsidRPr="001D200B">
        <w:rPr>
          <w:rFonts w:cstheme="minorHAnsi"/>
          <w:szCs w:val="24"/>
        </w:rPr>
        <w:t>E</w:t>
      </w:r>
      <w:r w:rsidRPr="001D200B">
        <w:rPr>
          <w:rFonts w:cstheme="minorHAnsi"/>
          <w:szCs w:val="24"/>
        </w:rPr>
        <w:t>lektrowni Połaniec</w:t>
      </w:r>
      <w:r w:rsidR="00D5479D" w:rsidRPr="001D200B">
        <w:rPr>
          <w:rFonts w:cstheme="minorHAnsi"/>
          <w:szCs w:val="24"/>
        </w:rPr>
        <w:t xml:space="preserve">, gdzie od grudnia 2012r. roku funkcjonuje tzw. „Zielony blok” </w:t>
      </w:r>
      <w:r w:rsidR="005D7E0C" w:rsidRPr="001D200B">
        <w:rPr>
          <w:rFonts w:cstheme="minorHAnsi"/>
          <w:szCs w:val="24"/>
        </w:rPr>
        <w:t>o mocy 205MW wyłącznie na biomasę</w:t>
      </w:r>
      <w:r w:rsidR="00592A68" w:rsidRPr="001D200B">
        <w:rPr>
          <w:rFonts w:cstheme="minorHAnsi"/>
          <w:szCs w:val="24"/>
        </w:rPr>
        <w:t>, z zastosowaniem nowoczesnej technologi</w:t>
      </w:r>
      <w:r w:rsidR="000D68F5" w:rsidRPr="001D200B">
        <w:rPr>
          <w:rFonts w:cstheme="minorHAnsi"/>
          <w:szCs w:val="24"/>
        </w:rPr>
        <w:t>i</w:t>
      </w:r>
      <w:r w:rsidR="00592A68" w:rsidRPr="001D200B">
        <w:rPr>
          <w:rFonts w:cstheme="minorHAnsi"/>
          <w:szCs w:val="24"/>
        </w:rPr>
        <w:t xml:space="preserve"> spalania w kotle fluidalnym. </w:t>
      </w:r>
    </w:p>
    <w:p w:rsidR="00CD7300" w:rsidRPr="001D200B" w:rsidRDefault="00CD7300" w:rsidP="00CD7300">
      <w:pPr>
        <w:rPr>
          <w:rFonts w:cstheme="minorHAnsi"/>
          <w:szCs w:val="24"/>
        </w:rPr>
      </w:pPr>
      <w:r w:rsidRPr="001D200B">
        <w:rPr>
          <w:rFonts w:cstheme="minorHAnsi"/>
          <w:szCs w:val="24"/>
        </w:rPr>
        <w:t xml:space="preserve">Uruchomienie instalacji na biomasę tworzy </w:t>
      </w:r>
      <w:r w:rsidR="00BF4BA5" w:rsidRPr="001D200B">
        <w:rPr>
          <w:rFonts w:cstheme="minorHAnsi"/>
          <w:szCs w:val="24"/>
        </w:rPr>
        <w:t xml:space="preserve">rynek zbytu na surowce zielone, które można pozyskiwać również na terenie gminy Połaniec. Występują tu korzystne </w:t>
      </w:r>
      <w:r w:rsidRPr="001D200B">
        <w:rPr>
          <w:rFonts w:cstheme="minorHAnsi"/>
          <w:szCs w:val="24"/>
        </w:rPr>
        <w:t>warunki do zakładania plantacji roślin energetycznych</w:t>
      </w:r>
      <w:r w:rsidR="002E4FE8" w:rsidRPr="001D200B">
        <w:rPr>
          <w:rFonts w:cstheme="minorHAnsi"/>
          <w:szCs w:val="24"/>
        </w:rPr>
        <w:t xml:space="preserve"> zarówno po stronie </w:t>
      </w:r>
      <w:r w:rsidR="00BF4BA5" w:rsidRPr="001D200B">
        <w:rPr>
          <w:rFonts w:cstheme="minorHAnsi"/>
          <w:szCs w:val="24"/>
        </w:rPr>
        <w:t xml:space="preserve">obszernych powierzchniowo </w:t>
      </w:r>
      <w:r w:rsidRPr="001D200B">
        <w:rPr>
          <w:rFonts w:cstheme="minorHAnsi"/>
          <w:szCs w:val="24"/>
        </w:rPr>
        <w:t xml:space="preserve">gruntów </w:t>
      </w:r>
      <w:r w:rsidR="00BF4BA5" w:rsidRPr="001D200B">
        <w:rPr>
          <w:rFonts w:cstheme="minorHAnsi"/>
          <w:szCs w:val="24"/>
        </w:rPr>
        <w:t xml:space="preserve">rolnych charakteryzujących się niską </w:t>
      </w:r>
      <w:r w:rsidR="00CC7976" w:rsidRPr="001D200B">
        <w:rPr>
          <w:rFonts w:cstheme="minorHAnsi"/>
          <w:szCs w:val="24"/>
        </w:rPr>
        <w:t>jakością</w:t>
      </w:r>
      <w:r w:rsidR="00BF4BA5" w:rsidRPr="001D200B">
        <w:rPr>
          <w:rFonts w:cstheme="minorHAnsi"/>
          <w:szCs w:val="24"/>
        </w:rPr>
        <w:t xml:space="preserve"> gleb</w:t>
      </w:r>
      <w:r w:rsidR="002E4FE8" w:rsidRPr="001D200B">
        <w:rPr>
          <w:rFonts w:cstheme="minorHAnsi"/>
          <w:szCs w:val="24"/>
        </w:rPr>
        <w:t>, jak również sposob</w:t>
      </w:r>
      <w:r w:rsidR="00A91049" w:rsidRPr="001D200B">
        <w:rPr>
          <w:rFonts w:cstheme="minorHAnsi"/>
          <w:szCs w:val="24"/>
        </w:rPr>
        <w:t>u</w:t>
      </w:r>
      <w:r w:rsidR="002E4FE8" w:rsidRPr="001D200B">
        <w:rPr>
          <w:rFonts w:cstheme="minorHAnsi"/>
          <w:szCs w:val="24"/>
        </w:rPr>
        <w:t xml:space="preserve"> użytkowania </w:t>
      </w:r>
      <w:r w:rsidR="003E13B2" w:rsidRPr="001D200B">
        <w:rPr>
          <w:rFonts w:cstheme="minorHAnsi"/>
          <w:szCs w:val="24"/>
        </w:rPr>
        <w:t>w produkcji rolniczej.</w:t>
      </w:r>
      <w:r w:rsidR="002E4FE8" w:rsidRPr="001D200B">
        <w:rPr>
          <w:rFonts w:cstheme="minorHAnsi"/>
          <w:szCs w:val="24"/>
        </w:rPr>
        <w:t xml:space="preserve"> Gleby klas bonitacji od IV do VI zajmują obszar około 3.350 ha. </w:t>
      </w:r>
      <w:r w:rsidRPr="001D200B">
        <w:rPr>
          <w:rFonts w:cstheme="minorHAnsi"/>
          <w:szCs w:val="24"/>
        </w:rPr>
        <w:t xml:space="preserve">Za mało korzystne należy uznać znaczne rozdrobnienie gospodarstw rolnych. </w:t>
      </w:r>
    </w:p>
    <w:p w:rsidR="00F71DD7" w:rsidRPr="001D200B" w:rsidRDefault="00CD7300" w:rsidP="00D337B4">
      <w:pPr>
        <w:rPr>
          <w:rFonts w:cstheme="minorHAnsi"/>
          <w:szCs w:val="24"/>
        </w:rPr>
      </w:pPr>
      <w:r w:rsidRPr="001D200B">
        <w:rPr>
          <w:rFonts w:cstheme="minorHAnsi"/>
          <w:szCs w:val="24"/>
        </w:rPr>
        <w:t xml:space="preserve">Niemniej uznać należy, że na terenie gminy warunki klimatyczno – glebowe wskazują na możliwości wprowadzenia upraw roślin </w:t>
      </w:r>
      <w:r w:rsidR="00BF4BA5" w:rsidRPr="001D200B">
        <w:rPr>
          <w:rFonts w:cstheme="minorHAnsi"/>
          <w:szCs w:val="24"/>
        </w:rPr>
        <w:t xml:space="preserve">dla potrzeb </w:t>
      </w:r>
      <w:r w:rsidRPr="001D200B">
        <w:rPr>
          <w:rFonts w:cstheme="minorHAnsi"/>
          <w:szCs w:val="24"/>
        </w:rPr>
        <w:t xml:space="preserve">energetycznych. </w:t>
      </w:r>
      <w:r w:rsidR="00BF4BA5" w:rsidRPr="001D200B">
        <w:rPr>
          <w:rFonts w:cstheme="minorHAnsi"/>
          <w:szCs w:val="24"/>
        </w:rPr>
        <w:t xml:space="preserve">Rozwiązaniem stymulującym lokalną produkcję może być </w:t>
      </w:r>
      <w:r w:rsidRPr="001D200B">
        <w:rPr>
          <w:rFonts w:cstheme="minorHAnsi"/>
        </w:rPr>
        <w:t xml:space="preserve">tworzenie grup producenckich, co pozwoli </w:t>
      </w:r>
      <w:r w:rsidR="003A1C11" w:rsidRPr="001D200B">
        <w:rPr>
          <w:rFonts w:cstheme="minorHAnsi"/>
        </w:rPr>
        <w:t xml:space="preserve">m.in. </w:t>
      </w:r>
      <w:r w:rsidRPr="001D200B">
        <w:rPr>
          <w:rFonts w:cstheme="minorHAnsi"/>
        </w:rPr>
        <w:t>zwiększyć areał up</w:t>
      </w:r>
      <w:r w:rsidR="003A1C11" w:rsidRPr="001D200B">
        <w:rPr>
          <w:rFonts w:cstheme="minorHAnsi"/>
        </w:rPr>
        <w:t xml:space="preserve">raw energetycznych w ramach zakładania </w:t>
      </w:r>
      <w:r w:rsidRPr="001D200B">
        <w:rPr>
          <w:rFonts w:cstheme="minorHAnsi"/>
        </w:rPr>
        <w:t>plantacj</w:t>
      </w:r>
      <w:r w:rsidR="003A1C11" w:rsidRPr="001D200B">
        <w:rPr>
          <w:rFonts w:cstheme="minorHAnsi"/>
        </w:rPr>
        <w:t>i</w:t>
      </w:r>
      <w:r w:rsidRPr="001D200B">
        <w:rPr>
          <w:rFonts w:cstheme="minorHAnsi"/>
        </w:rPr>
        <w:t xml:space="preserve"> na sąsi</w:t>
      </w:r>
      <w:r w:rsidR="003A1C11" w:rsidRPr="001D200B">
        <w:rPr>
          <w:rFonts w:cstheme="minorHAnsi"/>
        </w:rPr>
        <w:t>ednich polach (pola zblokowane) oraz z</w:t>
      </w:r>
      <w:r w:rsidRPr="001D200B">
        <w:rPr>
          <w:rFonts w:cstheme="minorHAnsi"/>
        </w:rPr>
        <w:t>minimalizować koszty zbioru i transportu</w:t>
      </w:r>
      <w:r w:rsidR="00BF4BA5" w:rsidRPr="001D200B">
        <w:rPr>
          <w:rFonts w:cstheme="minorHAnsi"/>
        </w:rPr>
        <w:t>.</w:t>
      </w:r>
      <w:r w:rsidR="00A45B3F" w:rsidRPr="001D200B">
        <w:rPr>
          <w:rFonts w:cstheme="minorHAnsi"/>
        </w:rPr>
        <w:t xml:space="preserve"> </w:t>
      </w:r>
    </w:p>
    <w:p w:rsidR="000952F4" w:rsidRPr="001D200B" w:rsidRDefault="000952F4" w:rsidP="000641A1">
      <w:pPr>
        <w:rPr>
          <w:rFonts w:cstheme="minorHAnsi"/>
        </w:rPr>
      </w:pPr>
      <w:r w:rsidRPr="001D200B">
        <w:rPr>
          <w:rFonts w:cstheme="minorHAnsi"/>
        </w:rPr>
        <w:t xml:space="preserve">Wskaźnik lesistości gminy wynosi </w:t>
      </w:r>
      <w:r w:rsidR="00317BB2" w:rsidRPr="001D200B">
        <w:rPr>
          <w:rFonts w:cstheme="minorHAnsi"/>
        </w:rPr>
        <w:t>20,6</w:t>
      </w:r>
      <w:r w:rsidRPr="001D200B">
        <w:rPr>
          <w:rFonts w:cstheme="minorHAnsi"/>
        </w:rPr>
        <w:t>%</w:t>
      </w:r>
      <w:r w:rsidR="005975B7" w:rsidRPr="001D200B">
        <w:rPr>
          <w:rFonts w:cstheme="minorHAnsi"/>
        </w:rPr>
        <w:t xml:space="preserve"> </w:t>
      </w:r>
      <w:r w:rsidR="001F275E" w:rsidRPr="001D200B">
        <w:rPr>
          <w:rFonts w:cstheme="minorHAnsi"/>
        </w:rPr>
        <w:t>(1</w:t>
      </w:r>
      <w:r w:rsidR="00317BB2" w:rsidRPr="001D200B">
        <w:rPr>
          <w:rFonts w:cstheme="minorHAnsi"/>
        </w:rPr>
        <w:t>544,57</w:t>
      </w:r>
      <w:r w:rsidR="001F275E" w:rsidRPr="001D200B">
        <w:rPr>
          <w:rFonts w:cstheme="minorHAnsi"/>
        </w:rPr>
        <w:t xml:space="preserve"> ha)</w:t>
      </w:r>
      <w:r w:rsidR="00B74447" w:rsidRPr="001D200B">
        <w:rPr>
          <w:rFonts w:cstheme="minorHAnsi"/>
        </w:rPr>
        <w:t xml:space="preserve">. </w:t>
      </w:r>
      <w:r w:rsidRPr="001D200B">
        <w:rPr>
          <w:rFonts w:cstheme="minorHAnsi"/>
        </w:rPr>
        <w:t>Potencjał energetyczny drewna pozyskanego z lasów na opisywanym terenie ma znaczenie w bilansie energetycznym – drewno odpadowe oraz grubizna wykorzystywane są najczęściej w instalacjach domowych bazujących na paliwach węglowych</w:t>
      </w:r>
      <w:r w:rsidR="00237FA0" w:rsidRPr="001D200B">
        <w:rPr>
          <w:rFonts w:cstheme="minorHAnsi"/>
        </w:rPr>
        <w:t xml:space="preserve"> bądź w kominkach</w:t>
      </w:r>
      <w:r w:rsidRPr="001D200B">
        <w:rPr>
          <w:rFonts w:cstheme="minorHAnsi"/>
        </w:rPr>
        <w:t xml:space="preserve">. </w:t>
      </w:r>
      <w:r w:rsidR="00237FA0" w:rsidRPr="001D200B">
        <w:rPr>
          <w:rFonts w:cstheme="minorHAnsi"/>
        </w:rPr>
        <w:t>Kotły wyłącznie na biomasę nie są rozpowszechnione (według bazy danych do Planu gospodarki niskoemisyjnej dla gminy Połaniec).</w:t>
      </w:r>
    </w:p>
    <w:p w:rsidR="00D5479D" w:rsidRPr="001D200B" w:rsidRDefault="00D5479D" w:rsidP="00D5479D">
      <w:pPr>
        <w:pStyle w:val="Nagwek2"/>
        <w:rPr>
          <w:rFonts w:cstheme="minorHAnsi"/>
        </w:rPr>
      </w:pPr>
      <w:bookmarkStart w:id="101" w:name="_Toc31972852"/>
      <w:r w:rsidRPr="001D200B">
        <w:t>2.7. Wytwarzanie energii w skojarzeniu</w:t>
      </w:r>
      <w:bookmarkEnd w:id="101"/>
    </w:p>
    <w:p w:rsidR="00D5479D" w:rsidRPr="001D200B" w:rsidRDefault="00D5479D" w:rsidP="00D5479D">
      <w:r w:rsidRPr="001D200B">
        <w:t xml:space="preserve">Skojarzona gospodarka energetyczna to metoda równoczesnego pozyskiwania ciepła i energii elektrycznej w procesie przekształcania energii pierwotnej paliw. W układzie </w:t>
      </w:r>
      <w:r w:rsidRPr="001D200B">
        <w:lastRenderedPageBreak/>
        <w:t>skojarzonym ciepło odpadowe z jednego procesu staje się źródłem energii dla następnego procesu. Układy takie zasilane są przeważnie gazem ziemnym lub gazem uzyskiwanym w procesie zgazyfikowania odpadów. Wyprodukowana w ten sposób energia jest czysta dla środowiska. Obecnie wzrasta zainteresowanie małymi układami skojarzonymi, których odbiorcami, przy zachowaniu wskaźnika efektywności ekonomicznej inwestycji, mogą stać się: zakłady pracy, szpitale, szkoły, osiedla mieszkaniowe.</w:t>
      </w:r>
    </w:p>
    <w:p w:rsidR="00D5479D" w:rsidRPr="001D200B" w:rsidRDefault="00D5479D" w:rsidP="00D5479D">
      <w:pPr>
        <w:rPr>
          <w:rFonts w:cstheme="minorHAnsi"/>
        </w:rPr>
      </w:pPr>
      <w:r w:rsidRPr="001D200B">
        <w:rPr>
          <w:rFonts w:cstheme="minorHAnsi"/>
        </w:rPr>
        <w:t xml:space="preserve">Technologia skojarzonego wytwarzania ciepła i energii elektrycznej została wprowadzona i jest wykorzystywana w </w:t>
      </w:r>
      <w:r w:rsidRPr="001D200B">
        <w:rPr>
          <w:rFonts w:cstheme="minorHAnsi"/>
          <w:szCs w:val="24"/>
        </w:rPr>
        <w:t>stacji ciepłowniczej Elektrowni Enea Połaniec S.A.</w:t>
      </w:r>
    </w:p>
    <w:p w:rsidR="00B00176" w:rsidRPr="001D200B" w:rsidRDefault="007C1101" w:rsidP="006107FB">
      <w:pPr>
        <w:pStyle w:val="Nagwek2"/>
        <w:rPr>
          <w:rFonts w:cstheme="minorHAnsi"/>
        </w:rPr>
      </w:pPr>
      <w:bookmarkStart w:id="102" w:name="_Toc31972853"/>
      <w:r w:rsidRPr="001D200B">
        <w:rPr>
          <w:rFonts w:cstheme="minorHAnsi"/>
        </w:rPr>
        <w:t>2.8</w:t>
      </w:r>
      <w:r w:rsidR="006107FB" w:rsidRPr="001D200B">
        <w:rPr>
          <w:rFonts w:cstheme="minorHAnsi"/>
        </w:rPr>
        <w:t>. Podsumowanie</w:t>
      </w:r>
      <w:bookmarkEnd w:id="102"/>
    </w:p>
    <w:p w:rsidR="007C1101" w:rsidRPr="001D200B" w:rsidRDefault="007C1101" w:rsidP="007C1101">
      <w:r w:rsidRPr="001D200B">
        <w:t xml:space="preserve">Wstępne analizy dokonane w oparciu o istniejące warunki klimatyczne, uwarunkowania środowiskowe i zagospodarowanie terenu wskazują, że gmina dysponuje potencjałem umożliwiającym w różnej skali zastosowanie rozwiązań wykorzystujących technologie bazujące na odnawialnych źródłach, w tym głównie na energii słonecznej, energii cieplnej nagromadzonej w środowisku naturalnym (np. ciepło gruntu, wód podziemnych) oraz biomasie. </w:t>
      </w:r>
    </w:p>
    <w:p w:rsidR="00444854" w:rsidRPr="001D200B" w:rsidRDefault="00444854" w:rsidP="00444854">
      <w:pPr>
        <w:pStyle w:val="Nagwek2"/>
      </w:pPr>
      <w:bookmarkStart w:id="103" w:name="_Toc31972854"/>
      <w:r w:rsidRPr="001D200B">
        <w:t>3. Możliwości finansowania i wdrażania OZE i efektywności energetycznej</w:t>
      </w:r>
      <w:bookmarkEnd w:id="103"/>
    </w:p>
    <w:p w:rsidR="00444854" w:rsidRPr="001D200B" w:rsidRDefault="00444854" w:rsidP="00444854">
      <w:r w:rsidRPr="001D200B">
        <w:t xml:space="preserve">Znalezienie właściwego źródła finansowego wsparcia dla przedsięwzięcia związanego z odnawialnymi źródłami energii oraz finansowaniem efektywności energetycznej zależy od: </w:t>
      </w:r>
    </w:p>
    <w:p w:rsidR="00444854" w:rsidRPr="001D200B" w:rsidRDefault="00444854" w:rsidP="00444854">
      <w:pPr>
        <w:pStyle w:val="Akapitzlist"/>
      </w:pPr>
      <w:r w:rsidRPr="001D200B">
        <w:t>rodzaju OZE (kolektory słoneczne, fotowoltaika, wiatr, woda, biomasa, biogaz, pompy ciepła, geotermia),</w:t>
      </w:r>
    </w:p>
    <w:p w:rsidR="00444854" w:rsidRPr="001D200B" w:rsidRDefault="00444854" w:rsidP="00444854">
      <w:pPr>
        <w:pStyle w:val="Akapitzlist"/>
      </w:pPr>
      <w:r w:rsidRPr="001D200B">
        <w:t>typu beneficjenta (osoby fizyczne, przedsiębiorcy, samorządy lub ich związki, jednostki budżetu państwa),</w:t>
      </w:r>
    </w:p>
    <w:p w:rsidR="00444854" w:rsidRPr="001D200B" w:rsidRDefault="00444854" w:rsidP="00444854">
      <w:pPr>
        <w:pStyle w:val="Akapitzlist"/>
      </w:pPr>
      <w:r w:rsidRPr="001D200B">
        <w:t xml:space="preserve">skali inwestycji (wysokość możliwego dofinansowania). </w:t>
      </w:r>
    </w:p>
    <w:p w:rsidR="00444854" w:rsidRPr="001D200B" w:rsidRDefault="00444854" w:rsidP="00444854">
      <w:r w:rsidRPr="001D200B">
        <w:t>Środki finansowe przeznaczone na wsparcie tych inwestycji mogą pochodzić ze źródeł krajowych, zagranicznych i są przyznawane na szczeblu centralnym lub regionalnym. Różne są też formy ich przyznawania: dotacji, kredytu, pożyczki, dopłaty do oprocentowania lub kapitału kredytu itd.</w:t>
      </w:r>
    </w:p>
    <w:p w:rsidR="00444854" w:rsidRPr="001D200B" w:rsidRDefault="00444854" w:rsidP="00444854">
      <w:r w:rsidRPr="001D200B">
        <w:t xml:space="preserve">Dla samorządów najbardziej popularnym źródłem finansowania działań wdrażania OZE są Regionalne Programy Operacyjne (RPO) bądź branżowe Programy Operacyjne (PO). </w:t>
      </w:r>
    </w:p>
    <w:p w:rsidR="00DC79E0" w:rsidRDefault="00DC79E0" w:rsidP="007C1101"/>
    <w:p w:rsidR="00DC79E0" w:rsidRDefault="00DC79E0">
      <w:pPr>
        <w:spacing w:before="0" w:after="0" w:line="240" w:lineRule="auto"/>
      </w:pPr>
      <w:r>
        <w:br w:type="page"/>
      </w:r>
    </w:p>
    <w:p w:rsidR="00444854" w:rsidRPr="001D200B" w:rsidRDefault="00444854" w:rsidP="007C1101">
      <w:r w:rsidRPr="001D200B">
        <w:lastRenderedPageBreak/>
        <w:t>Instytucje i programy udzielające dofinansowania</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6628"/>
      </w:tblGrid>
      <w:tr w:rsidR="00444854" w:rsidRPr="001D200B" w:rsidTr="00FD615E">
        <w:trPr>
          <w:tblHeader/>
        </w:trPr>
        <w:tc>
          <w:tcPr>
            <w:tcW w:w="2660" w:type="dxa"/>
            <w:shd w:val="clear" w:color="auto" w:fill="F2F2F2" w:themeFill="background1" w:themeFillShade="F2"/>
          </w:tcPr>
          <w:p w:rsidR="00444854" w:rsidRPr="001D200B" w:rsidRDefault="00444854" w:rsidP="00FD615E">
            <w:pPr>
              <w:spacing w:before="0" w:after="0" w:line="240" w:lineRule="auto"/>
              <w:jc w:val="center"/>
              <w:rPr>
                <w:b/>
              </w:rPr>
            </w:pPr>
            <w:r w:rsidRPr="001D200B">
              <w:rPr>
                <w:b/>
              </w:rPr>
              <w:t>Program/Instytucja</w:t>
            </w:r>
          </w:p>
        </w:tc>
        <w:tc>
          <w:tcPr>
            <w:tcW w:w="6628" w:type="dxa"/>
            <w:shd w:val="clear" w:color="auto" w:fill="F2F2F2" w:themeFill="background1" w:themeFillShade="F2"/>
          </w:tcPr>
          <w:p w:rsidR="00444854" w:rsidRPr="001D200B" w:rsidRDefault="00444854" w:rsidP="00FD615E">
            <w:pPr>
              <w:spacing w:before="0" w:after="0" w:line="240" w:lineRule="auto"/>
              <w:jc w:val="center"/>
              <w:rPr>
                <w:rFonts w:eastAsia="Calibri"/>
                <w:b/>
              </w:rPr>
            </w:pPr>
            <w:r w:rsidRPr="001D200B">
              <w:rPr>
                <w:rFonts w:eastAsia="Calibri"/>
                <w:b/>
              </w:rPr>
              <w:t>Rodzaj dofinansowanych działań/Cel programu</w:t>
            </w:r>
          </w:p>
        </w:tc>
      </w:tr>
      <w:tr w:rsidR="00444854" w:rsidRPr="001D200B" w:rsidTr="00FD615E">
        <w:trPr>
          <w:trHeight w:val="1912"/>
        </w:trPr>
        <w:tc>
          <w:tcPr>
            <w:tcW w:w="2660" w:type="dxa"/>
            <w:vAlign w:val="center"/>
          </w:tcPr>
          <w:p w:rsidR="00444854" w:rsidRPr="001D200B" w:rsidRDefault="00444854" w:rsidP="00FD615E">
            <w:pPr>
              <w:spacing w:before="0" w:after="0" w:line="240" w:lineRule="auto"/>
              <w:jc w:val="center"/>
            </w:pPr>
            <w:r w:rsidRPr="001D200B">
              <w:t>Norweski Mechanizm Finansowy i Mechanizm Finansowy Europejskiego Obszaru Gospodarczego</w:t>
            </w:r>
          </w:p>
        </w:tc>
        <w:tc>
          <w:tcPr>
            <w:tcW w:w="6628" w:type="dxa"/>
          </w:tcPr>
          <w:p w:rsidR="00444854" w:rsidRPr="001D200B" w:rsidRDefault="00444854" w:rsidP="00FD615E">
            <w:pPr>
              <w:spacing w:before="0" w:after="0" w:line="240" w:lineRule="auto"/>
            </w:pPr>
            <w:r w:rsidRPr="001D200B">
              <w:t>Obszar wsparcia: oszczędzanie energii i promowanie odnawialnych źródeł energii: W ramach programu planowane są następujące obszary wsparcia / obszary priorytetowe: poprawa efektywności energetycznej w budynkach, wzrost świadomości społecznej i edukacja w zakresie efektywności energetycznej (wsparcie w ramach projektu predefiniowanego), wzrost produkcji energii pochodzącej ze źródeł odnawialnych</w:t>
            </w:r>
          </w:p>
        </w:tc>
      </w:tr>
      <w:tr w:rsidR="00444854" w:rsidRPr="001D200B" w:rsidTr="00FD615E">
        <w:tc>
          <w:tcPr>
            <w:tcW w:w="2660" w:type="dxa"/>
            <w:vAlign w:val="center"/>
          </w:tcPr>
          <w:p w:rsidR="00444854" w:rsidRPr="001D200B" w:rsidRDefault="00444854" w:rsidP="00FD615E">
            <w:pPr>
              <w:spacing w:before="0" w:after="0" w:line="240" w:lineRule="auto"/>
              <w:jc w:val="center"/>
              <w:rPr>
                <w:noProof/>
              </w:rPr>
            </w:pPr>
            <w:r w:rsidRPr="001D200B">
              <w:t>Szwajcarsko-Polski Program Współpracy</w:t>
            </w:r>
          </w:p>
        </w:tc>
        <w:tc>
          <w:tcPr>
            <w:tcW w:w="6628" w:type="dxa"/>
          </w:tcPr>
          <w:p w:rsidR="00444854" w:rsidRPr="001D200B" w:rsidRDefault="00444854" w:rsidP="00FD615E">
            <w:pPr>
              <w:spacing w:before="0" w:after="0" w:line="240" w:lineRule="auto"/>
            </w:pPr>
            <w:r w:rsidRPr="001D200B">
              <w:t xml:space="preserve">Wsparcie systemów energii odnawialnej, poprawa wydajności energetycznej poprzez: wprowadzenie energii odnawialnej, odnowę komunalnych sieci cieplnych, odnowę centralnych źródeł ciepła i instalacji grzewczych </w:t>
            </w:r>
          </w:p>
        </w:tc>
      </w:tr>
      <w:tr w:rsidR="00444854" w:rsidRPr="001D200B" w:rsidTr="00FD615E">
        <w:tc>
          <w:tcPr>
            <w:tcW w:w="2660" w:type="dxa"/>
            <w:vAlign w:val="center"/>
          </w:tcPr>
          <w:p w:rsidR="00444854" w:rsidRPr="001D200B" w:rsidRDefault="00444854" w:rsidP="00FD615E">
            <w:pPr>
              <w:spacing w:before="0" w:after="0" w:line="240" w:lineRule="auto"/>
              <w:jc w:val="center"/>
              <w:rPr>
                <w:b/>
              </w:rPr>
            </w:pPr>
            <w:r w:rsidRPr="001D200B">
              <w:rPr>
                <w:rStyle w:val="Pogrubienie"/>
                <w:rFonts w:asciiTheme="minorHAnsi" w:hAnsiTheme="minorHAnsi"/>
                <w:b w:val="0"/>
              </w:rPr>
              <w:t>Kredyt preferencyjny w Banku Ochrony Środowiska</w:t>
            </w:r>
          </w:p>
        </w:tc>
        <w:tc>
          <w:tcPr>
            <w:tcW w:w="6628" w:type="dxa"/>
          </w:tcPr>
          <w:p w:rsidR="00444854" w:rsidRPr="001D200B" w:rsidRDefault="00444854" w:rsidP="00FD615E">
            <w:pPr>
              <w:spacing w:before="0" w:after="0" w:line="240" w:lineRule="auto"/>
            </w:pPr>
            <w:r w:rsidRPr="001D200B">
              <w:t xml:space="preserve">Kredyty na cele proekologiczne (preferencyjne i komercyjne) </w:t>
            </w:r>
          </w:p>
          <w:p w:rsidR="00444854" w:rsidRPr="001D200B" w:rsidRDefault="00444854" w:rsidP="00FD615E">
            <w:pPr>
              <w:spacing w:before="0" w:after="0" w:line="240" w:lineRule="auto"/>
            </w:pPr>
            <w:r w:rsidRPr="001D200B">
              <w:t>organizacja emisji obligacji komunalnych służących finansowaniu inwestycji proekologicznych</w:t>
            </w:r>
          </w:p>
          <w:p w:rsidR="00444854" w:rsidRPr="001D200B" w:rsidRDefault="00444854" w:rsidP="00FD615E">
            <w:pPr>
              <w:spacing w:before="0" w:after="0" w:line="240" w:lineRule="auto"/>
              <w:rPr>
                <w:rFonts w:eastAsia="Calibri"/>
              </w:rPr>
            </w:pPr>
            <w:r w:rsidRPr="001D200B">
              <w:rPr>
                <w:rFonts w:eastAsia="Calibri"/>
              </w:rPr>
              <w:t xml:space="preserve">preferencyjne kredyty na instalacje solarne dla klientów indywidualnych </w:t>
            </w:r>
          </w:p>
        </w:tc>
      </w:tr>
      <w:tr w:rsidR="00444854" w:rsidRPr="001D200B" w:rsidTr="00FD615E">
        <w:tc>
          <w:tcPr>
            <w:tcW w:w="2660" w:type="dxa"/>
            <w:vAlign w:val="center"/>
          </w:tcPr>
          <w:p w:rsidR="00444854" w:rsidRPr="001D200B" w:rsidRDefault="00444854" w:rsidP="00FD615E">
            <w:pPr>
              <w:spacing w:before="0" w:after="0" w:line="240" w:lineRule="auto"/>
              <w:jc w:val="center"/>
              <w:rPr>
                <w:b/>
              </w:rPr>
            </w:pPr>
            <w:r w:rsidRPr="001D200B">
              <w:rPr>
                <w:rStyle w:val="Pogrubienie"/>
                <w:rFonts w:asciiTheme="minorHAnsi" w:hAnsiTheme="minorHAnsi"/>
                <w:b w:val="0"/>
              </w:rPr>
              <w:t>Fundusz termomodernizacyjny</w:t>
            </w:r>
          </w:p>
        </w:tc>
        <w:tc>
          <w:tcPr>
            <w:tcW w:w="6628" w:type="dxa"/>
          </w:tcPr>
          <w:p w:rsidR="00444854" w:rsidRPr="001D200B" w:rsidRDefault="00444854" w:rsidP="00FD615E">
            <w:pPr>
              <w:spacing w:before="0" w:after="0" w:line="240" w:lineRule="auto"/>
              <w:rPr>
                <w:rFonts w:eastAsia="Calibri"/>
              </w:rPr>
            </w:pPr>
            <w:r w:rsidRPr="001D200B">
              <w:rPr>
                <w:rFonts w:eastAsia="Calibri"/>
              </w:rPr>
              <w:t>Zmniejszenie zużycia energii oraz jej nośników z zasobów socjalno-bytowych i komunalnych</w:t>
            </w:r>
          </w:p>
          <w:p w:rsidR="00444854" w:rsidRPr="001D200B" w:rsidRDefault="00444854" w:rsidP="00FD615E">
            <w:pPr>
              <w:spacing w:before="0" w:after="0" w:line="240" w:lineRule="auto"/>
              <w:rPr>
                <w:rFonts w:eastAsia="Calibri"/>
              </w:rPr>
            </w:pPr>
            <w:r w:rsidRPr="001D200B">
              <w:rPr>
                <w:rFonts w:eastAsia="Calibri"/>
              </w:rPr>
              <w:t>Pomoc w finansowaniu i spłacie kredytów w bankach komercyjnych na projekty termomodernizacyjne</w:t>
            </w:r>
          </w:p>
        </w:tc>
      </w:tr>
      <w:tr w:rsidR="00444854" w:rsidRPr="001D200B" w:rsidTr="00FD615E">
        <w:tc>
          <w:tcPr>
            <w:tcW w:w="2660" w:type="dxa"/>
            <w:vAlign w:val="center"/>
          </w:tcPr>
          <w:p w:rsidR="00444854" w:rsidRPr="001D200B" w:rsidRDefault="00444854" w:rsidP="00FD615E">
            <w:pPr>
              <w:spacing w:before="0" w:after="0" w:line="240" w:lineRule="auto"/>
              <w:jc w:val="center"/>
              <w:rPr>
                <w:rStyle w:val="Pogrubienie"/>
                <w:rFonts w:asciiTheme="minorHAnsi" w:hAnsiTheme="minorHAnsi"/>
                <w:b w:val="0"/>
              </w:rPr>
            </w:pPr>
            <w:r w:rsidRPr="001D200B">
              <w:rPr>
                <w:rStyle w:val="Pogrubienie"/>
                <w:rFonts w:asciiTheme="minorHAnsi" w:hAnsiTheme="minorHAnsi"/>
                <w:b w:val="0"/>
              </w:rPr>
              <w:t>Narodowy Fundusz Ochrony Środowiska i Gospodarki Wodnej</w:t>
            </w:r>
          </w:p>
        </w:tc>
        <w:tc>
          <w:tcPr>
            <w:tcW w:w="6628" w:type="dxa"/>
          </w:tcPr>
          <w:p w:rsidR="00444854" w:rsidRPr="001D200B" w:rsidRDefault="00444854" w:rsidP="00FD615E">
            <w:pPr>
              <w:spacing w:before="0" w:after="0" w:line="240" w:lineRule="auto"/>
            </w:pPr>
            <w:r w:rsidRPr="001D200B">
              <w:t>Odpowiadając na współczesne wyzwania sektora energetycznego, będącego w ścisłym związku z ochroną środowiska i zrównoważonym rozwojem, NFOŚiGW przyjął dwa priorytetowe kierunki działań. Kompleksowo wspiera inwestycje w rozwój odnawialnych źródeł energii (OZE) pochodzącej ze słońca, wiatru, wody, ziemi lub biomasy, a równolegle działa na rzecz poprawy efektywności energetycznej – począwszy od energochłonnych procesów przemysłowych, poprzez poprawę zarządzania energią w budynkach użyteczności publicznej, a kończąc na rozwiązaniach dla polskich rodzin inwestujących w energooszczędne domy.</w:t>
            </w:r>
          </w:p>
          <w:p w:rsidR="00444854" w:rsidRPr="001D200B" w:rsidRDefault="00444854" w:rsidP="00FD615E">
            <w:pPr>
              <w:spacing w:before="0" w:after="0" w:line="240" w:lineRule="auto"/>
            </w:pPr>
            <w:r w:rsidRPr="001D200B">
              <w:t>Finansowanie: pożyczkowe, dotacyjne i kapitałowe dla osiągnięcia efektu ekologicznego.</w:t>
            </w:r>
          </w:p>
          <w:p w:rsidR="00444854" w:rsidRPr="001D200B" w:rsidRDefault="00444854" w:rsidP="00FD615E">
            <w:pPr>
              <w:spacing w:before="0" w:after="0" w:line="240" w:lineRule="auto"/>
            </w:pPr>
            <w:r w:rsidRPr="001D200B">
              <w:t>W 2014r. rozpoczęto wdrażanie programu PROSUMENT wspierającego gospodarstwa domowe zainteresowane montażem mikroinstalacji OZE. Celem programu jest ograniczenie lub uniknięcie emisji CO</w:t>
            </w:r>
            <w:r w:rsidRPr="001D200B">
              <w:rPr>
                <w:vertAlign w:val="subscript"/>
              </w:rPr>
              <w:t>2</w:t>
            </w:r>
            <w:r w:rsidRPr="001D200B">
              <w:t xml:space="preserve"> w wyniku zwiększenia produkcji energii z odnawialnych źródeł, poprzez zakup i montaż małych instalacji lub mikroinstalacji odnawialnych źródeł energii, do produkcji energii elektrycznej lub ciepła dla osób fizycznych oraz wspólnot lub spółdzielni mieszkaniowych. Program promuje nowe technologie OZE oraz postawy prosumenckie (podniesienie świadomości inwestorskiej i ekologicznej), a także wpływa na </w:t>
            </w:r>
            <w:r w:rsidRPr="001D200B">
              <w:lastRenderedPageBreak/>
              <w:t xml:space="preserve">rozwój rynku dostawców urządzeń i instalatorów oraz zwiększenie liczby miejsc pracy w tym sektorze. </w:t>
            </w:r>
          </w:p>
          <w:p w:rsidR="00444854" w:rsidRPr="001D200B" w:rsidRDefault="00444854" w:rsidP="00FD615E">
            <w:pPr>
              <w:spacing w:before="0" w:after="0" w:line="240" w:lineRule="auto"/>
            </w:pPr>
          </w:p>
          <w:p w:rsidR="00444854" w:rsidRPr="001D200B" w:rsidRDefault="00444854" w:rsidP="00FD615E">
            <w:pPr>
              <w:spacing w:before="0" w:after="0" w:line="240" w:lineRule="auto"/>
            </w:pPr>
            <w:r w:rsidRPr="001D200B">
              <w:rPr>
                <w:shd w:val="clear" w:color="auto" w:fill="FFFFFF"/>
              </w:rPr>
              <w:t>W latach 2018-2029 realizowany będzie program „</w:t>
            </w:r>
            <w:r w:rsidRPr="001D200B">
              <w:rPr>
                <w:b/>
                <w:shd w:val="clear" w:color="auto" w:fill="FFFFFF"/>
              </w:rPr>
              <w:t>Czyste Powietrze</w:t>
            </w:r>
            <w:r w:rsidRPr="001D200B">
              <w:rPr>
                <w:shd w:val="clear" w:color="auto" w:fill="FFFFFF"/>
              </w:rPr>
              <w:t>”, który stwarza możliwość uzyskania wsparcia finansowego przez osoby fizyczne, właścicieli domów jednorodzinnych na</w:t>
            </w:r>
            <w:r w:rsidRPr="001D200B">
              <w:t>: wymianę starych źródeł ciepła oraz zakup wraz z montażem nowych, spełniających kryteria programu; wymianę okien i drzwi; montaż lub modernizację instalacji centralnego ogrzewania i ciepłej wody użytkowej; docieplenie przegród budynku; montaż wentylacji mechanicznej z odzyskiem ciepła; instalację OZE czyli odnawialnych źródeł energii.</w:t>
            </w:r>
          </w:p>
          <w:p w:rsidR="00444854" w:rsidRPr="001D200B" w:rsidRDefault="00444854" w:rsidP="00FD615E">
            <w:pPr>
              <w:spacing w:before="0" w:after="0" w:line="240" w:lineRule="auto"/>
            </w:pPr>
          </w:p>
          <w:p w:rsidR="00444854" w:rsidRPr="001D200B" w:rsidRDefault="00444854" w:rsidP="00FD615E">
            <w:pPr>
              <w:spacing w:before="0" w:after="0" w:line="240" w:lineRule="auto"/>
            </w:pPr>
            <w:r w:rsidRPr="001D200B">
              <w:t xml:space="preserve">Program </w:t>
            </w:r>
            <w:r w:rsidRPr="001D200B">
              <w:rPr>
                <w:b/>
              </w:rPr>
              <w:t>„Mój prąd”</w:t>
            </w:r>
            <w:r w:rsidRPr="001D200B">
              <w:t xml:space="preserve"> dedykowany jest dla osób fizycznych i polega na wsparciu rozwoju mikroinstalacji fotowoltaicznych (PV). Dofinansowanie można uzyskać na instalacje PV o mocy 2-10kW.</w:t>
            </w:r>
          </w:p>
        </w:tc>
      </w:tr>
    </w:tbl>
    <w:p w:rsidR="00444854" w:rsidRPr="001D200B" w:rsidRDefault="00444854" w:rsidP="007C1101"/>
    <w:p w:rsidR="00444854" w:rsidRPr="001D200B" w:rsidRDefault="00444854" w:rsidP="007C1101"/>
    <w:p w:rsidR="00444854" w:rsidRPr="001D200B" w:rsidRDefault="00444854" w:rsidP="007C1101"/>
    <w:p w:rsidR="00444854" w:rsidRPr="001D200B" w:rsidRDefault="00444854" w:rsidP="007C1101"/>
    <w:p w:rsidR="00444854" w:rsidRPr="001D200B" w:rsidRDefault="00444854" w:rsidP="007C1101"/>
    <w:p w:rsidR="00444854" w:rsidRPr="001D200B" w:rsidRDefault="00444854" w:rsidP="007C1101"/>
    <w:p w:rsidR="00394D84" w:rsidRPr="001D200B" w:rsidRDefault="00394D84" w:rsidP="006B37CD">
      <w:pPr>
        <w:rPr>
          <w:rFonts w:cstheme="minorHAnsi"/>
        </w:rPr>
      </w:pPr>
    </w:p>
    <w:p w:rsidR="00E70864" w:rsidRPr="001D200B" w:rsidRDefault="00E70864" w:rsidP="006B37CD">
      <w:pPr>
        <w:rPr>
          <w:rFonts w:cstheme="minorHAnsi"/>
        </w:rPr>
        <w:sectPr w:rsidR="00E70864" w:rsidRPr="001D200B" w:rsidSect="00E931B6">
          <w:pgSz w:w="11906" w:h="16838"/>
          <w:pgMar w:top="1418" w:right="1418" w:bottom="1418" w:left="1418" w:header="709" w:footer="709" w:gutter="0"/>
          <w:cols w:space="708"/>
          <w:docGrid w:linePitch="360"/>
        </w:sectPr>
      </w:pPr>
    </w:p>
    <w:p w:rsidR="000170C9" w:rsidRPr="001D200B" w:rsidRDefault="000170C9" w:rsidP="000170C9">
      <w:pPr>
        <w:pStyle w:val="Nagwek1"/>
        <w:rPr>
          <w:rFonts w:cstheme="minorHAnsi"/>
        </w:rPr>
      </w:pPr>
      <w:bookmarkStart w:id="104" w:name="_Toc31972855"/>
      <w:r w:rsidRPr="001D200B">
        <w:rPr>
          <w:rFonts w:cstheme="minorHAnsi"/>
        </w:rPr>
        <w:lastRenderedPageBreak/>
        <w:t>VIII. Współpraca z innymi gminami</w:t>
      </w:r>
      <w:bookmarkEnd w:id="104"/>
    </w:p>
    <w:p w:rsidR="00AB1203" w:rsidRPr="001D200B" w:rsidRDefault="00AB1203" w:rsidP="00AB1203">
      <w:r w:rsidRPr="001D200B">
        <w:t>Konieczność uzgodnienia współpracy z sąsiednimi gminami w zakresie tematycznym niniejszego opracowania wynika z ustawy</w:t>
      </w:r>
      <w:r w:rsidRPr="001D200B">
        <w:rPr>
          <w:i/>
        </w:rPr>
        <w:t xml:space="preserve"> Prawo energetyczne </w:t>
      </w:r>
      <w:r w:rsidRPr="001D200B">
        <w:t>(art.19, ust.3, pkt. 4). Nośniki energii dostarczane na teren gminy w sposób zorganizowany, tj. za pomocą ciągów zasilających to energia elektryczna, ciepło i gaz ziemny. Inwestycje związane z rozbudową infrastruktury przesyłowej i dystrybucyjnej realizowane są przez przedsiębiorstwa energetyczne, które są właścicielem urządzeń sieciowych i działają na danym terenie wyłącznie w porozumieniu z gminą.</w:t>
      </w:r>
    </w:p>
    <w:p w:rsidR="000170C9" w:rsidRPr="001D200B" w:rsidRDefault="00E321DB" w:rsidP="006844FD">
      <w:pPr>
        <w:rPr>
          <w:rFonts w:cstheme="minorHAnsi"/>
          <w:szCs w:val="24"/>
        </w:rPr>
      </w:pPr>
      <w:r w:rsidRPr="001D200B">
        <w:t>Możliwości współpracy samorządów lokalnych w zakresie systemów energetycznych oceniono na podstawie korespondencji z gminami ościennymi:</w:t>
      </w:r>
      <w:r w:rsidR="000170C9" w:rsidRPr="001D200B">
        <w:rPr>
          <w:rFonts w:cstheme="minorHAnsi"/>
          <w:szCs w:val="24"/>
        </w:rPr>
        <w:t xml:space="preserve"> </w:t>
      </w:r>
      <w:r w:rsidR="00EF75D4" w:rsidRPr="001D200B">
        <w:rPr>
          <w:rFonts w:cstheme="minorHAnsi"/>
          <w:szCs w:val="24"/>
        </w:rPr>
        <w:t xml:space="preserve">gminą </w:t>
      </w:r>
      <w:r w:rsidR="008E2FD4" w:rsidRPr="001D200B">
        <w:rPr>
          <w:rFonts w:cstheme="minorHAnsi"/>
          <w:szCs w:val="24"/>
        </w:rPr>
        <w:t>Osiek</w:t>
      </w:r>
      <w:r w:rsidR="00EF75D4" w:rsidRPr="001D200B">
        <w:rPr>
          <w:rFonts w:cstheme="minorHAnsi"/>
          <w:szCs w:val="24"/>
        </w:rPr>
        <w:t xml:space="preserve">, gminą </w:t>
      </w:r>
      <w:r w:rsidR="008E2FD4" w:rsidRPr="001D200B">
        <w:rPr>
          <w:rFonts w:cstheme="minorHAnsi"/>
          <w:szCs w:val="24"/>
        </w:rPr>
        <w:t>Rytwiany</w:t>
      </w:r>
      <w:r w:rsidR="00EF75D4" w:rsidRPr="001D200B">
        <w:rPr>
          <w:rFonts w:cstheme="minorHAnsi"/>
          <w:szCs w:val="24"/>
        </w:rPr>
        <w:t>, gmin</w:t>
      </w:r>
      <w:r w:rsidR="008E2FD4" w:rsidRPr="001D200B">
        <w:rPr>
          <w:rFonts w:cstheme="minorHAnsi"/>
          <w:szCs w:val="24"/>
        </w:rPr>
        <w:t>ą</w:t>
      </w:r>
      <w:r w:rsidR="00EF75D4" w:rsidRPr="001D200B">
        <w:rPr>
          <w:rFonts w:cstheme="minorHAnsi"/>
          <w:szCs w:val="24"/>
        </w:rPr>
        <w:t xml:space="preserve"> </w:t>
      </w:r>
      <w:r w:rsidR="008E2FD4" w:rsidRPr="001D200B">
        <w:rPr>
          <w:rFonts w:cstheme="minorHAnsi"/>
          <w:szCs w:val="24"/>
        </w:rPr>
        <w:t>Łubnice</w:t>
      </w:r>
      <w:r w:rsidR="00EF75D4" w:rsidRPr="001D200B">
        <w:rPr>
          <w:rFonts w:cstheme="minorHAnsi"/>
          <w:szCs w:val="24"/>
        </w:rPr>
        <w:t>, gminą B</w:t>
      </w:r>
      <w:r w:rsidR="008E2FD4" w:rsidRPr="001D200B">
        <w:rPr>
          <w:rFonts w:cstheme="minorHAnsi"/>
          <w:szCs w:val="24"/>
        </w:rPr>
        <w:t>orowa</w:t>
      </w:r>
      <w:r w:rsidR="00EF75D4" w:rsidRPr="001D200B">
        <w:rPr>
          <w:rFonts w:cstheme="minorHAnsi"/>
          <w:szCs w:val="24"/>
        </w:rPr>
        <w:t xml:space="preserve"> oraz gmin </w:t>
      </w:r>
      <w:r w:rsidR="008E2FD4" w:rsidRPr="001D200B">
        <w:rPr>
          <w:rFonts w:cstheme="minorHAnsi"/>
          <w:szCs w:val="24"/>
        </w:rPr>
        <w:t>Gawłuszowice</w:t>
      </w:r>
      <w:r w:rsidR="00EF75D4" w:rsidRPr="001D200B">
        <w:rPr>
          <w:rFonts w:cstheme="minorHAnsi"/>
          <w:szCs w:val="24"/>
        </w:rPr>
        <w:t>.</w:t>
      </w:r>
    </w:p>
    <w:p w:rsidR="00E321DB" w:rsidRPr="001D200B" w:rsidRDefault="00E321DB" w:rsidP="00EE5C38">
      <w:pPr>
        <w:shd w:val="clear" w:color="auto" w:fill="F2F2F2" w:themeFill="background1" w:themeFillShade="F2"/>
        <w:rPr>
          <w:b/>
        </w:rPr>
      </w:pPr>
      <w:r w:rsidRPr="001D200B">
        <w:rPr>
          <w:b/>
        </w:rPr>
        <w:t>Systemy ciepłownicze</w:t>
      </w:r>
    </w:p>
    <w:p w:rsidR="006F2A38" w:rsidRPr="001D200B" w:rsidRDefault="006F2A38" w:rsidP="006F2A38">
      <w:pPr>
        <w:rPr>
          <w:rFonts w:cstheme="minorHAnsi"/>
        </w:rPr>
      </w:pPr>
      <w:r w:rsidRPr="001D200B">
        <w:rPr>
          <w:rFonts w:cstheme="minorHAnsi"/>
        </w:rPr>
        <w:t>O</w:t>
      </w:r>
      <w:r w:rsidR="006B2E2E" w:rsidRPr="001D200B">
        <w:rPr>
          <w:rFonts w:cstheme="minorHAnsi"/>
        </w:rPr>
        <w:t xml:space="preserve">becnie nie istnieją wspólne systemy </w:t>
      </w:r>
      <w:r w:rsidRPr="001D200B">
        <w:rPr>
          <w:rFonts w:cstheme="minorHAnsi"/>
        </w:rPr>
        <w:t xml:space="preserve">ciepłownicze </w:t>
      </w:r>
      <w:r w:rsidR="006B2E2E" w:rsidRPr="001D200B">
        <w:rPr>
          <w:rFonts w:cstheme="minorHAnsi"/>
        </w:rPr>
        <w:t xml:space="preserve">i nie przewiduje się wykorzystania funkcjonujących na obszarach sąsiednich gmin systemów ciepłowniczych do ogrzewania obiektów na terenie </w:t>
      </w:r>
      <w:r w:rsidR="008E2FD4" w:rsidRPr="001D200B">
        <w:rPr>
          <w:rFonts w:cstheme="minorHAnsi"/>
        </w:rPr>
        <w:t>gminy Połaniec</w:t>
      </w:r>
      <w:r w:rsidR="006B2E2E" w:rsidRPr="001D200B">
        <w:rPr>
          <w:rFonts w:cstheme="minorHAnsi"/>
        </w:rPr>
        <w:t>.</w:t>
      </w:r>
      <w:r w:rsidR="00D749A4" w:rsidRPr="001D200B">
        <w:rPr>
          <w:rFonts w:cstheme="minorHAnsi"/>
        </w:rPr>
        <w:t xml:space="preserve"> </w:t>
      </w:r>
      <w:r w:rsidRPr="001D200B">
        <w:rPr>
          <w:rFonts w:cstheme="minorHAnsi"/>
        </w:rPr>
        <w:t xml:space="preserve">Z Elektrowni w Połańcu poprowadzony jest ciepłociąg do kopalni siarki „Osiek”, warunki dostawy ciepłej wody ustalone zostały pomiędzy podmiotami: Elektrownia </w:t>
      </w:r>
      <w:r w:rsidR="007E7DA7" w:rsidRPr="001D200B">
        <w:rPr>
          <w:rFonts w:cstheme="minorHAnsi"/>
        </w:rPr>
        <w:t xml:space="preserve">Enea </w:t>
      </w:r>
      <w:r w:rsidRPr="001D200B">
        <w:rPr>
          <w:rFonts w:cstheme="minorHAnsi"/>
        </w:rPr>
        <w:t xml:space="preserve">Połaniec S.A. oraz </w:t>
      </w:r>
      <w:r w:rsidR="008261E9" w:rsidRPr="001D200B">
        <w:rPr>
          <w:rFonts w:cstheme="minorHAnsi"/>
        </w:rPr>
        <w:t xml:space="preserve">przedsiębiorstwem </w:t>
      </w:r>
      <w:r w:rsidR="007E7DA7" w:rsidRPr="001D200B">
        <w:rPr>
          <w:rFonts w:cstheme="minorHAnsi"/>
        </w:rPr>
        <w:t>Grupa Azoty Kopalnie i Zakłady Chemiczne Siarki „</w:t>
      </w:r>
      <w:r w:rsidR="008261E9" w:rsidRPr="001D200B">
        <w:rPr>
          <w:rFonts w:cstheme="minorHAnsi"/>
        </w:rPr>
        <w:t>Siarkopol</w:t>
      </w:r>
      <w:r w:rsidR="007E7DA7" w:rsidRPr="001D200B">
        <w:rPr>
          <w:rFonts w:cstheme="minorHAnsi"/>
        </w:rPr>
        <w:t>” S.A.</w:t>
      </w:r>
      <w:r w:rsidR="008261E9" w:rsidRPr="001D200B">
        <w:rPr>
          <w:rFonts w:cstheme="minorHAnsi"/>
        </w:rPr>
        <w:t xml:space="preserve">. </w:t>
      </w:r>
      <w:r w:rsidRPr="001D200B">
        <w:rPr>
          <w:rFonts w:cstheme="minorHAnsi"/>
        </w:rPr>
        <w:t xml:space="preserve"> </w:t>
      </w:r>
    </w:p>
    <w:p w:rsidR="004710AC" w:rsidRPr="001D200B" w:rsidRDefault="006F2A38" w:rsidP="006F2A38">
      <w:pPr>
        <w:rPr>
          <w:rFonts w:cstheme="minorHAnsi"/>
        </w:rPr>
      </w:pPr>
      <w:r w:rsidRPr="001D200B">
        <w:rPr>
          <w:rFonts w:cstheme="minorHAnsi"/>
        </w:rPr>
        <w:t>W zakresie zaopatrzenia w ciepło nie występuje koniec</w:t>
      </w:r>
      <w:r w:rsidR="008261E9" w:rsidRPr="001D200B">
        <w:rPr>
          <w:rFonts w:cstheme="minorHAnsi"/>
        </w:rPr>
        <w:t>zność współpracy międzygminnej.</w:t>
      </w:r>
    </w:p>
    <w:p w:rsidR="00E321DB" w:rsidRPr="001D200B" w:rsidRDefault="00E321DB" w:rsidP="00EE5C38">
      <w:pPr>
        <w:shd w:val="clear" w:color="auto" w:fill="F2F2F2" w:themeFill="background1" w:themeFillShade="F2"/>
        <w:rPr>
          <w:b/>
        </w:rPr>
      </w:pPr>
      <w:r w:rsidRPr="001D200B">
        <w:rPr>
          <w:b/>
        </w:rPr>
        <w:t>Systemy elektroenergetyczne</w:t>
      </w:r>
    </w:p>
    <w:p w:rsidR="000170C9" w:rsidRPr="001D200B" w:rsidRDefault="000170C9" w:rsidP="006844FD">
      <w:pPr>
        <w:rPr>
          <w:rFonts w:cstheme="minorHAnsi"/>
        </w:rPr>
      </w:pPr>
      <w:r w:rsidRPr="001D200B">
        <w:rPr>
          <w:rFonts w:cstheme="minorHAnsi"/>
        </w:rPr>
        <w:t xml:space="preserve">System </w:t>
      </w:r>
      <w:r w:rsidR="001D514F" w:rsidRPr="001D200B">
        <w:rPr>
          <w:rFonts w:cstheme="minorHAnsi"/>
        </w:rPr>
        <w:t>elektro</w:t>
      </w:r>
      <w:r w:rsidRPr="001D200B">
        <w:rPr>
          <w:rFonts w:cstheme="minorHAnsi"/>
        </w:rPr>
        <w:t xml:space="preserve">energetyczny ma charakter regionalny i zarządzany jest przez właściwy terytorialnie </w:t>
      </w:r>
      <w:r w:rsidR="00755E17" w:rsidRPr="001D200B">
        <w:rPr>
          <w:rFonts w:cstheme="minorHAnsi"/>
        </w:rPr>
        <w:t>rejon</w:t>
      </w:r>
      <w:r w:rsidRPr="001D200B">
        <w:rPr>
          <w:rFonts w:cstheme="minorHAnsi"/>
        </w:rPr>
        <w:t xml:space="preserve"> energetyczny. </w:t>
      </w:r>
      <w:r w:rsidR="00755E17" w:rsidRPr="001D200B">
        <w:rPr>
          <w:rFonts w:cstheme="minorHAnsi"/>
        </w:rPr>
        <w:t>W ramach systemu elektroenergetycznego współpraca z</w:t>
      </w:r>
      <w:r w:rsidR="00D66A9C" w:rsidRPr="001D200B">
        <w:rPr>
          <w:rFonts w:cstheme="minorHAnsi"/>
        </w:rPr>
        <w:t> </w:t>
      </w:r>
      <w:r w:rsidR="00755E17" w:rsidRPr="001D200B">
        <w:rPr>
          <w:rFonts w:cstheme="minorHAnsi"/>
        </w:rPr>
        <w:t xml:space="preserve">sąsiadującymi gminami realizowana jest na szczeblu przedsiębiorstwa energetycznego jakim jest PGE Dystrybucja S.A. Oddział </w:t>
      </w:r>
      <w:r w:rsidR="008E2FD4" w:rsidRPr="001D200B">
        <w:rPr>
          <w:rFonts w:cstheme="minorHAnsi"/>
        </w:rPr>
        <w:t>Rzeszów</w:t>
      </w:r>
      <w:r w:rsidR="00755E17" w:rsidRPr="001D200B">
        <w:rPr>
          <w:rFonts w:cstheme="minorHAnsi"/>
        </w:rPr>
        <w:t xml:space="preserve">, której ponadgminny charakter determinuje wzajemne powiązania sieciowe. </w:t>
      </w:r>
      <w:r w:rsidRPr="001D200B">
        <w:rPr>
          <w:rFonts w:cstheme="minorHAnsi"/>
        </w:rPr>
        <w:t xml:space="preserve">Inwestycje z zakresu modernizacji lub rozbudowy sieci elektroenergetycznych realizowane są w uzgodnieniu z właściwym terytorialnie </w:t>
      </w:r>
      <w:r w:rsidR="00E032AC" w:rsidRPr="001D200B">
        <w:rPr>
          <w:rFonts w:cstheme="minorHAnsi"/>
        </w:rPr>
        <w:t>z</w:t>
      </w:r>
      <w:r w:rsidRPr="001D200B">
        <w:rPr>
          <w:rFonts w:cstheme="minorHAnsi"/>
        </w:rPr>
        <w:t xml:space="preserve">akładem </w:t>
      </w:r>
      <w:r w:rsidR="00E032AC" w:rsidRPr="001D200B">
        <w:rPr>
          <w:rFonts w:cstheme="minorHAnsi"/>
        </w:rPr>
        <w:t>e</w:t>
      </w:r>
      <w:r w:rsidRPr="001D200B">
        <w:rPr>
          <w:rFonts w:cstheme="minorHAnsi"/>
        </w:rPr>
        <w:t>nergetycznym, bez konieczności współpracy z innymi gminami.</w:t>
      </w:r>
    </w:p>
    <w:p w:rsidR="00830F4C" w:rsidRPr="001D200B" w:rsidRDefault="00830F4C" w:rsidP="00830F4C">
      <w:pPr>
        <w:shd w:val="clear" w:color="auto" w:fill="F2F2F2" w:themeFill="background1" w:themeFillShade="F2"/>
        <w:rPr>
          <w:b/>
        </w:rPr>
      </w:pPr>
      <w:r w:rsidRPr="001D200B">
        <w:rPr>
          <w:b/>
        </w:rPr>
        <w:t>Zaopatrzenie w paliwa gazowe</w:t>
      </w:r>
    </w:p>
    <w:p w:rsidR="008A309E" w:rsidRPr="001D200B" w:rsidRDefault="000113A3" w:rsidP="000113A3">
      <w:pPr>
        <w:rPr>
          <w:rFonts w:cstheme="minorHAnsi"/>
        </w:rPr>
      </w:pPr>
      <w:r w:rsidRPr="001D200B">
        <w:rPr>
          <w:rFonts w:cstheme="minorHAnsi"/>
        </w:rPr>
        <w:t xml:space="preserve">Rozbudowa sieci gazowej na terenie </w:t>
      </w:r>
      <w:r w:rsidR="008E2FD4" w:rsidRPr="001D200B">
        <w:rPr>
          <w:rFonts w:cstheme="minorHAnsi"/>
        </w:rPr>
        <w:t>gminy</w:t>
      </w:r>
      <w:r w:rsidRPr="001D200B">
        <w:rPr>
          <w:rFonts w:cstheme="minorHAnsi"/>
        </w:rPr>
        <w:t xml:space="preserve">, jeśli wystąpi zapotrzebowanie i zostaną spełnione warunki techniczno – ekonomiczne dla przeprowadzenia inwestycji, nie wymaga konieczności uzgodnień z gminami sąsiednimi. </w:t>
      </w:r>
      <w:r w:rsidR="002713E6" w:rsidRPr="001D200B">
        <w:rPr>
          <w:rFonts w:cstheme="minorHAnsi"/>
        </w:rPr>
        <w:t xml:space="preserve">Inwestycje przyłączeniowe realizowane są na podstawie umów pomiędzy odbiorcą a </w:t>
      </w:r>
      <w:r w:rsidR="008A309E" w:rsidRPr="001D200B">
        <w:rPr>
          <w:rFonts w:cstheme="minorHAnsi"/>
        </w:rPr>
        <w:t>właściwym terenowo z</w:t>
      </w:r>
      <w:r w:rsidR="002713E6" w:rsidRPr="001D200B">
        <w:rPr>
          <w:rFonts w:cstheme="minorHAnsi"/>
        </w:rPr>
        <w:t>akład</w:t>
      </w:r>
      <w:r w:rsidR="008A309E" w:rsidRPr="001D200B">
        <w:rPr>
          <w:rFonts w:cstheme="minorHAnsi"/>
        </w:rPr>
        <w:t>em g</w:t>
      </w:r>
      <w:r w:rsidR="002713E6" w:rsidRPr="001D200B">
        <w:rPr>
          <w:rFonts w:cstheme="minorHAnsi"/>
        </w:rPr>
        <w:t>azowniczy</w:t>
      </w:r>
      <w:r w:rsidR="008A309E" w:rsidRPr="001D200B">
        <w:rPr>
          <w:rFonts w:cstheme="minorHAnsi"/>
        </w:rPr>
        <w:t>m.</w:t>
      </w:r>
    </w:p>
    <w:p w:rsidR="00830F4C" w:rsidRPr="001D200B" w:rsidRDefault="00830F4C" w:rsidP="00830F4C">
      <w:r w:rsidRPr="001D200B">
        <w:t>Przedmiotem współpracy międzygminnej w zakresie gospodarki energetycznej może być, m.in.:</w:t>
      </w:r>
    </w:p>
    <w:p w:rsidR="00830F4C" w:rsidRPr="001D200B" w:rsidRDefault="00830F4C" w:rsidP="00830F4C">
      <w:pPr>
        <w:pStyle w:val="wypunktowanie"/>
      </w:pPr>
      <w:r w:rsidRPr="001D200B">
        <w:t>wykorzystanie odnawialnych źródeł energii,</w:t>
      </w:r>
    </w:p>
    <w:p w:rsidR="00830F4C" w:rsidRPr="001D200B" w:rsidRDefault="00830F4C" w:rsidP="00830F4C">
      <w:pPr>
        <w:pStyle w:val="wypunktowanie"/>
      </w:pPr>
      <w:r w:rsidRPr="001D200B">
        <w:t>możliwości pozyskania funduszy na inwestycje ekologiczne,</w:t>
      </w:r>
    </w:p>
    <w:p w:rsidR="00830F4C" w:rsidRPr="001D200B" w:rsidRDefault="00830F4C" w:rsidP="00830F4C">
      <w:pPr>
        <w:pStyle w:val="wypunktowanie"/>
      </w:pPr>
      <w:r w:rsidRPr="001D200B">
        <w:lastRenderedPageBreak/>
        <w:t>upowszechnienie informacji o urządzeniach i technologiach ekologicznych oraz energooszczędnych.</w:t>
      </w:r>
    </w:p>
    <w:p w:rsidR="00830F4C" w:rsidRPr="001D200B" w:rsidRDefault="00830F4C" w:rsidP="00830F4C">
      <w:r w:rsidRPr="001D200B">
        <w:t>Odpowiedzi gmin sąsiadujących z gminą Połaniec, dotyczące koordynacji działań w zakresie systemów energetycznych, zamieszczono w załączniku do niniejszego opracowania.</w:t>
      </w:r>
    </w:p>
    <w:p w:rsidR="00915383" w:rsidRPr="001D200B" w:rsidRDefault="00915383">
      <w:pPr>
        <w:spacing w:before="0" w:after="0" w:line="240" w:lineRule="auto"/>
        <w:jc w:val="left"/>
      </w:pPr>
      <w:r w:rsidRPr="001D200B">
        <w:br w:type="page"/>
      </w:r>
    </w:p>
    <w:p w:rsidR="003F13F1" w:rsidRPr="001D200B" w:rsidRDefault="003F13F1" w:rsidP="00E17944">
      <w:pPr>
        <w:pStyle w:val="Nagwek1"/>
        <w:rPr>
          <w:rFonts w:cstheme="minorHAnsi"/>
        </w:rPr>
      </w:pPr>
      <w:bookmarkStart w:id="105" w:name="_Toc31972856"/>
      <w:r w:rsidRPr="001D200B">
        <w:rPr>
          <w:rFonts w:cstheme="minorHAnsi"/>
        </w:rPr>
        <w:lastRenderedPageBreak/>
        <w:t>IX. Podsumowanie, wnioski, zalecenia</w:t>
      </w:r>
      <w:bookmarkEnd w:id="105"/>
    </w:p>
    <w:p w:rsidR="003F13F1" w:rsidRPr="001D200B" w:rsidRDefault="00B71AE4" w:rsidP="00B71AE4">
      <w:pPr>
        <w:pStyle w:val="Nagwek2"/>
        <w:rPr>
          <w:rFonts w:cstheme="minorHAnsi"/>
        </w:rPr>
      </w:pPr>
      <w:bookmarkStart w:id="106" w:name="_Toc31972857"/>
      <w:r w:rsidRPr="001D200B">
        <w:rPr>
          <w:rFonts w:cstheme="minorHAnsi"/>
        </w:rPr>
        <w:t xml:space="preserve">1. </w:t>
      </w:r>
      <w:r w:rsidR="003F13F1" w:rsidRPr="001D200B">
        <w:rPr>
          <w:rFonts w:cstheme="minorHAnsi"/>
        </w:rPr>
        <w:t>S</w:t>
      </w:r>
      <w:r w:rsidRPr="001D200B">
        <w:rPr>
          <w:rFonts w:cstheme="minorHAnsi"/>
        </w:rPr>
        <w:t>tan środowiska</w:t>
      </w:r>
      <w:r w:rsidR="003F13F1" w:rsidRPr="001D200B">
        <w:rPr>
          <w:rFonts w:cstheme="minorHAnsi"/>
        </w:rPr>
        <w:t xml:space="preserve"> </w:t>
      </w:r>
      <w:r w:rsidRPr="001D200B">
        <w:rPr>
          <w:rFonts w:cstheme="minorHAnsi"/>
        </w:rPr>
        <w:t>naturalnego – j</w:t>
      </w:r>
      <w:r w:rsidR="003F13F1" w:rsidRPr="001D200B">
        <w:rPr>
          <w:rFonts w:cstheme="minorHAnsi"/>
        </w:rPr>
        <w:t>akość powietrza</w:t>
      </w:r>
      <w:bookmarkEnd w:id="106"/>
    </w:p>
    <w:p w:rsidR="00602182" w:rsidRPr="001D200B" w:rsidRDefault="00602182" w:rsidP="00602182">
      <w:r w:rsidRPr="001D200B">
        <w:t xml:space="preserve">Głównymi źródłami zanieczyszczeń powietrza są emisje wynikające bezpośrednio z działalności człowieka oraz warunków i zjawisk naturalnie zachodzących w środowisku. Źródła zanieczyszczeń powietrza związane z działalnością człowieka (emisja antropogeniczna) obejmują: </w:t>
      </w:r>
    </w:p>
    <w:p w:rsidR="00602182" w:rsidRPr="001D200B" w:rsidRDefault="00602182" w:rsidP="00F006D6">
      <w:pPr>
        <w:pStyle w:val="Akapitzlist"/>
      </w:pPr>
      <w:r w:rsidRPr="001D200B">
        <w:rPr>
          <w:b/>
          <w:i/>
        </w:rPr>
        <w:t>emisję punktową</w:t>
      </w:r>
      <w:r w:rsidRPr="001D200B">
        <w:t xml:space="preserve"> pochodzącą ze zorganizowanych źródeł w wyniku energetycznego spalania paliw i przemysłowych procesów technologicznych, </w:t>
      </w:r>
    </w:p>
    <w:p w:rsidR="00602182" w:rsidRPr="001D200B" w:rsidRDefault="00602182" w:rsidP="00F006D6">
      <w:pPr>
        <w:pStyle w:val="Akapitzlist"/>
      </w:pPr>
      <w:r w:rsidRPr="001D200B">
        <w:rPr>
          <w:b/>
          <w:i/>
        </w:rPr>
        <w:t>emisję liniową</w:t>
      </w:r>
      <w:r w:rsidRPr="001D200B">
        <w:t xml:space="preserve"> – komunikacyjną pochodzącą głównie z transportu samochodowego, jak również kolejowego, wodnego i lotniczego,</w:t>
      </w:r>
    </w:p>
    <w:p w:rsidR="00602182" w:rsidRPr="001D200B" w:rsidRDefault="00602182" w:rsidP="00F006D6">
      <w:pPr>
        <w:pStyle w:val="Akapitzlist"/>
      </w:pPr>
      <w:r w:rsidRPr="001D200B">
        <w:rPr>
          <w:b/>
          <w:i/>
        </w:rPr>
        <w:t>emisję powierzchniową</w:t>
      </w:r>
      <w:r w:rsidRPr="001D200B">
        <w:t xml:space="preserve">, w skład której wchodzą zanieczyszczenia komunalne z palenisk domowych, gromadzenia i utylizacji ścieków i odpadów. </w:t>
      </w:r>
    </w:p>
    <w:p w:rsidR="00323734" w:rsidRPr="001D200B" w:rsidRDefault="00444FDD" w:rsidP="00323734">
      <w:pPr>
        <w:rPr>
          <w:rFonts w:cstheme="minorHAnsi"/>
        </w:rPr>
      </w:pPr>
      <w:r w:rsidRPr="001D200B">
        <w:rPr>
          <w:b/>
          <w:i/>
        </w:rPr>
        <w:t>Emisja punktowa (ze źródeł przemysłowych)</w:t>
      </w:r>
      <w:r w:rsidRPr="001D200B">
        <w:t xml:space="preserve"> - emisja zanieczyszczeń ze źródeł punktowych tj. z zakładów przemysłowych, przedsiębiorstw energetyki zawodowej. Emisja z zakładów przemysłowych i przedsiębiorstw energetyki jest objęta kontrolą i ewidencją, natomiast emisja z pozostałych źródeł, ze względu na charakter i rozproszenie jest trudna do zbilansowania. </w:t>
      </w:r>
      <w:r w:rsidR="00A42FFA" w:rsidRPr="001D200B">
        <w:rPr>
          <w:rFonts w:cstheme="minorHAnsi"/>
          <w:szCs w:val="24"/>
        </w:rPr>
        <w:t xml:space="preserve">Na terenie województwa świętokrzyskiego zlokalizowanych jest </w:t>
      </w:r>
      <w:r w:rsidR="0037469C" w:rsidRPr="001D200B">
        <w:rPr>
          <w:rFonts w:cstheme="minorHAnsi"/>
          <w:szCs w:val="24"/>
        </w:rPr>
        <w:t xml:space="preserve">kilkadziesiąt </w:t>
      </w:r>
      <w:r w:rsidR="00A42FFA" w:rsidRPr="001D200B">
        <w:rPr>
          <w:rFonts w:cstheme="minorHAnsi"/>
          <w:szCs w:val="24"/>
        </w:rPr>
        <w:t xml:space="preserve">punktowych źródeł zanieczyszczeń o szczególnie </w:t>
      </w:r>
      <w:r w:rsidR="0037469C" w:rsidRPr="001D200B">
        <w:rPr>
          <w:rFonts w:cstheme="minorHAnsi"/>
          <w:szCs w:val="24"/>
        </w:rPr>
        <w:t xml:space="preserve">znaczącej emisji zanieczyszczeń, do których zalicza się </w:t>
      </w:r>
      <w:r w:rsidR="00C01BB9" w:rsidRPr="001D200B">
        <w:rPr>
          <w:rFonts w:cstheme="minorHAnsi"/>
          <w:szCs w:val="24"/>
        </w:rPr>
        <w:t xml:space="preserve">zlokalizowaną na terenie gminy Połaniec </w:t>
      </w:r>
      <w:r w:rsidR="005035C1" w:rsidRPr="001D200B">
        <w:rPr>
          <w:rFonts w:cstheme="minorHAnsi"/>
          <w:szCs w:val="24"/>
        </w:rPr>
        <w:t xml:space="preserve">elektrownię zawodową, tj. </w:t>
      </w:r>
      <w:r w:rsidR="0037469C" w:rsidRPr="001D200B">
        <w:rPr>
          <w:rFonts w:cstheme="minorHAnsi"/>
          <w:szCs w:val="24"/>
        </w:rPr>
        <w:t xml:space="preserve">Elektrownię Enea Połaniec S.A. </w:t>
      </w:r>
      <w:r w:rsidR="005035C1" w:rsidRPr="001D200B">
        <w:rPr>
          <w:rFonts w:eastAsia="Calibri" w:cstheme="minorHAnsi"/>
        </w:rPr>
        <w:t>E</w:t>
      </w:r>
      <w:r w:rsidR="00323734" w:rsidRPr="001D200B">
        <w:rPr>
          <w:rFonts w:eastAsia="Calibri" w:cstheme="minorHAnsi"/>
        </w:rPr>
        <w:t>lektrownia wytwarza energię elektryczną, cieplną, popiół, gips i popioło - żużle przydatne dla drogownictwa i budownictwa - najbardziej znaczące ognisko zanieczyszczeń w sektorze przemysłu.</w:t>
      </w:r>
      <w:r w:rsidR="00323734" w:rsidRPr="001D200B">
        <w:rPr>
          <w:rFonts w:cstheme="minorHAnsi"/>
          <w:szCs w:val="24"/>
        </w:rPr>
        <w:t xml:space="preserve"> </w:t>
      </w:r>
    </w:p>
    <w:p w:rsidR="00323734" w:rsidRPr="001D200B" w:rsidRDefault="00323734" w:rsidP="00323734">
      <w:pPr>
        <w:rPr>
          <w:rFonts w:eastAsia="Calibri" w:cstheme="minorHAnsi"/>
        </w:rPr>
      </w:pPr>
      <w:r w:rsidRPr="001D200B">
        <w:rPr>
          <w:rFonts w:eastAsia="Calibri" w:cstheme="minorHAnsi"/>
        </w:rPr>
        <w:t>Wykonana w ostatnich latach modernizacja tego obiektu pozwoliła na obniżenie emisji substancji szkodliwych w postaci pyłu, dwutlenku siarki czy tlenków azotu. W celu dalszej minimalizacji uciążliwości elektrowni dla środowiska zastosowano nowoczesną technologię odsiarczania spalin metodą mokrą dla bloków energetycznych. Zastosowane w elektrowni elektrofiltry odznaczają się wysoką sprawnością i posiadają niemal stuprocentową skuteczność odpylania.</w:t>
      </w:r>
    </w:p>
    <w:p w:rsidR="00323734" w:rsidRPr="001D200B" w:rsidRDefault="00323734" w:rsidP="00323734">
      <w:pPr>
        <w:rPr>
          <w:rFonts w:cstheme="minorHAnsi"/>
          <w:szCs w:val="24"/>
        </w:rPr>
      </w:pPr>
      <w:r w:rsidRPr="001D200B">
        <w:rPr>
          <w:rFonts w:cstheme="minorHAnsi"/>
        </w:rPr>
        <w:t xml:space="preserve">Pozostałe obiekty przemysłowe/produkcyjne zlokalizowane na terenie gminy z uwagi na profil produkcyjny bądź też położenie z dala od zwartej zabudowy </w:t>
      </w:r>
      <w:r w:rsidRPr="001D200B">
        <w:rPr>
          <w:rFonts w:cstheme="minorHAnsi"/>
          <w:szCs w:val="24"/>
        </w:rPr>
        <w:t>stanowią mniejsze zagrożenia dla warunków higieny atmosfery.</w:t>
      </w:r>
    </w:p>
    <w:p w:rsidR="008071FA" w:rsidRPr="001D200B" w:rsidRDefault="008071FA" w:rsidP="008071FA">
      <w:r w:rsidRPr="001D200B">
        <w:t xml:space="preserve">Wpływ na jakość powietrza w gminie będą miały zanieczyszczenia napływające wraz z masami powietrza </w:t>
      </w:r>
      <w:r w:rsidR="00E2321D" w:rsidRPr="001D200B">
        <w:t>z sąsiednich terenów</w:t>
      </w:r>
      <w:r w:rsidRPr="001D200B">
        <w:t xml:space="preserve"> oraz zanieczyszczenia pyłowe i gazowe o zasiągu ponadregionalnym</w:t>
      </w:r>
      <w:r w:rsidR="00726D13" w:rsidRPr="001D200B">
        <w:t xml:space="preserve"> (udział poszczególnych źródeł emisji na obszarze terenie powiatu staszowskiego podano niżej).</w:t>
      </w:r>
    </w:p>
    <w:p w:rsidR="00BB5118" w:rsidRPr="001D200B" w:rsidRDefault="00BB5118" w:rsidP="00BB5118">
      <w:r w:rsidRPr="001D200B">
        <w:rPr>
          <w:b/>
          <w:i/>
        </w:rPr>
        <w:lastRenderedPageBreak/>
        <w:t>Emisja liniowa (komunikacyjna)</w:t>
      </w:r>
      <w:r w:rsidRPr="001D200B">
        <w:t xml:space="preserve"> szczególnie skoncentrowana jest wzdłuż głównych szlaków komunikacyjnych i charakteryzuje się dużą nierównomiernością w ciągu doby. W przypadku zanieczyszczeń pochodzących ze środków transportu drogowego (substancje emitowane z silników pojazdów, zanieczyszczenia ze ścierania klocków hamulcowych, opon, nawierzchni drogi, czy emisja wtórna - wzniecanie kurzu) źródło emisji znajduje się nisko nad ziemią, co powoduje, że zanieczyszczenia oddziałują w największym zakresie na stan jakości powietrza w najbliższym otoczeniu dróg, a ich wpływ maleje wraz z odległością.. </w:t>
      </w:r>
    </w:p>
    <w:p w:rsidR="00BB5118" w:rsidRPr="001D200B" w:rsidRDefault="00BB5118" w:rsidP="00BB5118">
      <w:pPr>
        <w:rPr>
          <w:snapToGrid w:val="0"/>
        </w:rPr>
      </w:pPr>
      <w:r w:rsidRPr="001D200B">
        <w:t xml:space="preserve">Na terenie gminy </w:t>
      </w:r>
      <w:r w:rsidRPr="001D200B">
        <w:rPr>
          <w:snapToGrid w:val="0"/>
        </w:rPr>
        <w:t xml:space="preserve">emisja komunikacyjna </w:t>
      </w:r>
      <w:r w:rsidRPr="001D200B">
        <w:t xml:space="preserve">szczególnie nasilona jest wzdłuż głównych szlaków komunikacji </w:t>
      </w:r>
      <w:r w:rsidRPr="001D200B">
        <w:rPr>
          <w:snapToGrid w:val="0"/>
        </w:rPr>
        <w:t xml:space="preserve">drogowej, są to: </w:t>
      </w:r>
      <w:r w:rsidR="000D7DA5" w:rsidRPr="001D200B">
        <w:t xml:space="preserve">droga krajowa nr 79, droga wojewódzka nr 764 i droga powiatowa nr 0105 T Stopnica – Oleśnica – Połaniec. </w:t>
      </w:r>
    </w:p>
    <w:p w:rsidR="00BB5118" w:rsidRPr="001D200B" w:rsidRDefault="00BB5118" w:rsidP="00BB5118">
      <w:r w:rsidRPr="001D200B">
        <w:t>Oddziaływanie ruchu samochodowego na środowisko ma tendencje rosnące –pojazdów poruszających się po drogach systematycznie przybywa.</w:t>
      </w:r>
    </w:p>
    <w:p w:rsidR="00BB5118" w:rsidRPr="001D200B" w:rsidRDefault="00BB5118" w:rsidP="00BB5118">
      <w:r w:rsidRPr="001D200B">
        <w:t xml:space="preserve">Określenie wielkości stężeń zanieczyszczeń gazowych oraz zapylenia utrudnia brak punktów pomiaru jakości powietrza w obszarze wskazanych stref komunikacji, niemniej w przypadku odcinków dróg o zwiększonym natężeniu ruchu należy zakładać, że zanieczyszczenia te będą się kumulować. </w:t>
      </w:r>
    </w:p>
    <w:p w:rsidR="00323734" w:rsidRPr="001D200B" w:rsidRDefault="00323734" w:rsidP="00A42FFA">
      <w:r w:rsidRPr="001D200B">
        <w:rPr>
          <w:b/>
          <w:i/>
        </w:rPr>
        <w:t>Emisja powierzchniowa (niska)</w:t>
      </w:r>
      <w:r w:rsidRPr="001D200B">
        <w:t xml:space="preserve"> wynika z powszechności stosowania paliw stałych, szczególnie węgla kamiennego o niskiej jakości w domowych instalacjach grzewczych. Wzrost stężenia zanieczyszczeń powstałych w wyniku emisji powierzchniowej notuje się cyklicznie w okresie zimowym. Wyniki badań monitoringowych wskazują, że emisja niska z palenisk domowych ma ogromny udział w ogólnej emisji zanieczyszczeń do powietrza, a jej wpływ uwidacznia się szczególnie w obszarach charakteryzujących się zwartą, gęstą zabudową, gdzie nie ma możliwości przewietrzenia. Największą grupę budynków na terenie gminy stanowią budynki mieszkalne jednorodzinne i to one w głównej mierze odpowiadają za niską emisję. Zanieczyszczenia emitowane są emitorami o wysokości około 10m, co powoduje rozprzestrzenianie się zanieczyszczeń po najbliższej okolicy - zbyt niska wysokość emitorów w powiązaniu z częstą w okresie zimowym inwersją temperatury sprzyja kumulacji zanieczyszczeń. Indywidualne gospodarstwa domowe nie posiadają urządzeń ochrony powietrza, wielkość emisji z tych źródeł jest trudna do oszacowania i wykazuje zmienność sezonową (związaną z okresem grzewczym).</w:t>
      </w:r>
    </w:p>
    <w:p w:rsidR="008071FA" w:rsidRPr="001D200B" w:rsidRDefault="008071FA" w:rsidP="008071FA">
      <w:r w:rsidRPr="001D200B">
        <w:t xml:space="preserve">Według </w:t>
      </w:r>
      <w:r w:rsidRPr="001D200B">
        <w:rPr>
          <w:i/>
        </w:rPr>
        <w:t xml:space="preserve">Aktualizacji programu ochrony powietrza dla województwa świętokrzyskiego wraz </w:t>
      </w:r>
      <w:r w:rsidRPr="001D200B">
        <w:rPr>
          <w:i/>
        </w:rPr>
        <w:br/>
        <w:t>z planem działań krótkoterminowych</w:t>
      </w:r>
      <w:r w:rsidRPr="001D200B">
        <w:t xml:space="preserve"> udział poszczególnych źródeł emisji na obszarze całej strefy świętokrzyskiej oraz na terenie powiatu staszowskiego w stężeniach średniorocznych pyłu PM10, pyłu PM2,5 oraz B(a)P przedstawia się następująco:</w:t>
      </w:r>
    </w:p>
    <w:p w:rsidR="008B3E54" w:rsidRPr="001D200B" w:rsidRDefault="008B3E54" w:rsidP="008B3E54">
      <w:r w:rsidRPr="001D200B">
        <w:t xml:space="preserve">- w stężeniach średniorocznych pyłu PM10 na obszarze całej strefy znaczący udział ma tło ponadregionalne – dla powiatu </w:t>
      </w:r>
      <w:r w:rsidR="0068727F" w:rsidRPr="001D200B">
        <w:t>staszowskiego</w:t>
      </w:r>
      <w:r w:rsidRPr="001D200B">
        <w:t xml:space="preserve"> 5</w:t>
      </w:r>
      <w:r w:rsidR="0068727F" w:rsidRPr="001D200B">
        <w:t>7,83</w:t>
      </w:r>
      <w:r w:rsidRPr="001D200B">
        <w:t xml:space="preserve">%; </w:t>
      </w:r>
      <w:r w:rsidR="0068727F" w:rsidRPr="001D200B">
        <w:t>16,70</w:t>
      </w:r>
      <w:r w:rsidRPr="001D200B">
        <w:t xml:space="preserve">% stanowi udział źródeł lokalnych (przemysł, rolnictwo, komunikacja, emisja niezorganizowana i powierzchniowa); </w:t>
      </w:r>
      <w:r w:rsidR="0068727F" w:rsidRPr="001D200B">
        <w:t>17,21</w:t>
      </w:r>
      <w:r w:rsidRPr="001D200B">
        <w:t xml:space="preserve">% to emisja spoza województwa (przemysł, komunikacja i emisja powierzchniowa), </w:t>
      </w:r>
      <w:r w:rsidRPr="001D200B">
        <w:lastRenderedPageBreak/>
        <w:t xml:space="preserve">natomiast </w:t>
      </w:r>
      <w:r w:rsidR="0068727F" w:rsidRPr="001D200B">
        <w:t>8,25</w:t>
      </w:r>
      <w:r w:rsidRPr="001D200B">
        <w:t>% stanowi wpływ powiatów województwa świętokrzyskiego (przemysł, rolnictwo, komunikacja, emisja niezorganizowana i powierzchniowa);</w:t>
      </w:r>
    </w:p>
    <w:p w:rsidR="008B3E54" w:rsidRPr="001D200B" w:rsidRDefault="008B3E54" w:rsidP="008B3E54">
      <w:r w:rsidRPr="001D200B">
        <w:t xml:space="preserve">- udziały źródeł emisji w stężeniach pyłu PM2,5 kształtują się podobnie jak dla stężeń pyłu PM10. W największym stopniu za przekroczenia stężeń pyłu PM2,5 odpowiadają źródła powierzchniowe lokalne dla powiatu </w:t>
      </w:r>
      <w:r w:rsidR="00932556" w:rsidRPr="001D200B">
        <w:t>staszowskiego</w:t>
      </w:r>
      <w:r w:rsidRPr="001D200B">
        <w:t xml:space="preserve"> – </w:t>
      </w:r>
      <w:r w:rsidR="0068727F" w:rsidRPr="001D200B">
        <w:t>70,51</w:t>
      </w:r>
      <w:r w:rsidRPr="001D200B">
        <w:t xml:space="preserve">%; wpływ sąsiadujących powiatów stanowi </w:t>
      </w:r>
      <w:r w:rsidR="0068727F" w:rsidRPr="001D200B">
        <w:t>2,18</w:t>
      </w:r>
      <w:r w:rsidRPr="001D200B">
        <w:t xml:space="preserve">%, tło ponadregionalne to </w:t>
      </w:r>
      <w:r w:rsidR="00932556" w:rsidRPr="001D200B">
        <w:t>18,03</w:t>
      </w:r>
      <w:r w:rsidRPr="001D200B">
        <w:t xml:space="preserve">%, natomiast emisja spoza województwa to </w:t>
      </w:r>
      <w:r w:rsidR="00932556" w:rsidRPr="001D200B">
        <w:t>2,18</w:t>
      </w:r>
      <w:r w:rsidRPr="001D200B">
        <w:t>%;</w:t>
      </w:r>
    </w:p>
    <w:p w:rsidR="008B3E54" w:rsidRPr="001D200B" w:rsidRDefault="008B3E54" w:rsidP="008B3E54">
      <w:r w:rsidRPr="001D200B">
        <w:t xml:space="preserve">- udział źródeł emisji w stężeniach średniorocznych B(a)P na obszarze przekroczeń w strefie świętokrzyskiej wskazuje na przyczynę występowania wysokich stężeń. Dla powiatu </w:t>
      </w:r>
      <w:r w:rsidR="00932556" w:rsidRPr="001D200B">
        <w:t>staszowskiego</w:t>
      </w:r>
      <w:r w:rsidRPr="001D200B">
        <w:t xml:space="preserve"> największy wpływ (</w:t>
      </w:r>
      <w:r w:rsidR="00932556" w:rsidRPr="001D200B">
        <w:t>36,69</w:t>
      </w:r>
      <w:r w:rsidRPr="001D200B">
        <w:t xml:space="preserve">%) na kształtowanie się wysokości stężeń B(a)P mają źródła lokalne w powiecie. Ponadto </w:t>
      </w:r>
      <w:r w:rsidR="00932556" w:rsidRPr="001D200B">
        <w:t>15,97</w:t>
      </w:r>
      <w:r w:rsidRPr="001D200B">
        <w:t xml:space="preserve">% stanowi udział źródeł z innych powiatów, </w:t>
      </w:r>
      <w:r w:rsidR="00932556" w:rsidRPr="001D200B">
        <w:t>34,95</w:t>
      </w:r>
      <w:r w:rsidRPr="001D200B">
        <w:t xml:space="preserve">% to emisja spoza województwa, a </w:t>
      </w:r>
      <w:r w:rsidR="00932556" w:rsidRPr="001D200B">
        <w:t>12,39</w:t>
      </w:r>
      <w:r w:rsidRPr="001D200B">
        <w:t xml:space="preserve"> % to tło ponadregionalne.</w:t>
      </w:r>
    </w:p>
    <w:p w:rsidR="00323734" w:rsidRPr="001D200B" w:rsidRDefault="00323734" w:rsidP="00323734">
      <w:pPr>
        <w:shd w:val="clear" w:color="auto" w:fill="D9D9D9" w:themeFill="background1" w:themeFillShade="D9"/>
        <w:rPr>
          <w:b/>
        </w:rPr>
      </w:pPr>
      <w:r w:rsidRPr="001D200B">
        <w:rPr>
          <w:b/>
        </w:rPr>
        <w:t>Ocena jakości powietrza według GIOŚ</w:t>
      </w:r>
    </w:p>
    <w:p w:rsidR="00323734" w:rsidRPr="001D200B" w:rsidRDefault="00323734" w:rsidP="00323734">
      <w:r w:rsidRPr="001D200B">
        <w:t xml:space="preserve">Ocena jakości powietrza i obserwacja zachodzących zmian dokonywana jest corocznie w ramach państwowego monitoringu. Oceny tej w poszczególnych województwach dokonuje Główny Inspektorat Ochrony Środowiska. Województwo świętokrzyskie podzielone jest na dwie strefy badania tj.: strefę miasto Kielce oraz strefę świętokrzyską. Klasyfikacji stref dokonuje się oddzielnie dla dwóch grup kryteriów ustanowionych ze względu na ochronę zdrowia oraz ze względu na ochronę roślin. </w:t>
      </w:r>
    </w:p>
    <w:p w:rsidR="00323734" w:rsidRPr="001D200B" w:rsidRDefault="00323734" w:rsidP="00323734">
      <w:r w:rsidRPr="001D200B">
        <w:t xml:space="preserve">Podstawą klasyfikacji stref w rocznej ocenie jakości powietrza są wartości poziomów: dopuszczalnego, docelowego i celu długoterminowego, określone w rozporządzeniu Ministra Środowiska z dnia 24 sierpnia 2012 r. </w:t>
      </w:r>
      <w:r w:rsidRPr="001D200B">
        <w:rPr>
          <w:i/>
        </w:rPr>
        <w:t>w sprawie poziomów niektórych substancji w powietrzu</w:t>
      </w:r>
      <w:r w:rsidRPr="001D200B">
        <w:t xml:space="preserve"> (Dz. U. z 2012 r. poz. 1031). Wynikiem oceny jest zaliczenie strefy pod względem wszystkich substancji podlegających ocenie, do jednej z poniższych klas: </w:t>
      </w:r>
    </w:p>
    <w:p w:rsidR="00323734" w:rsidRPr="001D200B" w:rsidRDefault="00323734" w:rsidP="00F006D6">
      <w:pPr>
        <w:pStyle w:val="Punktory"/>
        <w:rPr>
          <w:lang w:val="pl-PL"/>
        </w:rPr>
      </w:pPr>
      <w:r w:rsidRPr="001D200B">
        <w:rPr>
          <w:b/>
          <w:lang w:val="pl-PL"/>
        </w:rPr>
        <w:t>klasa A</w:t>
      </w:r>
      <w:r w:rsidRPr="001D200B">
        <w:rPr>
          <w:lang w:val="pl-PL"/>
        </w:rPr>
        <w:t xml:space="preserve"> (D1) – jeżeli stężenia zanieczyszczenia na terenie strefy nie przekraczają odpowiednio poziomów dopuszczalnych, poziomów docelowych, poziomów celów długoterminowych (D1)</w:t>
      </w:r>
    </w:p>
    <w:p w:rsidR="00323734" w:rsidRPr="001D200B" w:rsidRDefault="00323734" w:rsidP="00F006D6">
      <w:pPr>
        <w:pStyle w:val="Punktory"/>
        <w:rPr>
          <w:lang w:val="pl-PL"/>
        </w:rPr>
      </w:pPr>
      <w:r w:rsidRPr="001D200B">
        <w:rPr>
          <w:b/>
          <w:lang w:val="pl-PL"/>
        </w:rPr>
        <w:t>klasa C</w:t>
      </w:r>
      <w:r w:rsidRPr="001D200B">
        <w:rPr>
          <w:lang w:val="pl-PL"/>
        </w:rPr>
        <w:t xml:space="preserve"> (D2) – jeżeli stężenia zanieczyszczeń na terenie strefy przekraczają poziomy dopuszczalne, poziomy docelowe, poziomy celów długoterminowych (D2)</w:t>
      </w:r>
    </w:p>
    <w:p w:rsidR="00323734" w:rsidRPr="001D200B" w:rsidRDefault="00323734" w:rsidP="00323734">
      <w:r w:rsidRPr="001D200B">
        <w:t xml:space="preserve">Zaliczenie strefy do określonej klasy wiąże się z koniecznością podjęcia konkretnych działań na rzecz poprawy jakości powietrza lub utrzymania jego jakości na niezmienionym poziomie. </w:t>
      </w:r>
    </w:p>
    <w:p w:rsidR="00323734" w:rsidRPr="001D200B" w:rsidRDefault="00323734" w:rsidP="00323734">
      <w:r w:rsidRPr="001D200B">
        <w:t>W celu scharakteryzowania stanu aktualnego w zakresie jako</w:t>
      </w:r>
      <w:r w:rsidRPr="001D200B">
        <w:rPr>
          <w:rFonts w:eastAsia="TimesNewRoman"/>
        </w:rPr>
        <w:t>ś</w:t>
      </w:r>
      <w:r w:rsidRPr="001D200B">
        <w:t xml:space="preserve">ci powietrza atmosferycznego odniesiono się do ogólnej oceny jakości powietrza prezentowanej dla obszaru strefy świętokrzyskiej PL 2602. Strefa badania jest rozległa i obejmuje m.in. przedmiotowy obszar gminy </w:t>
      </w:r>
      <w:r w:rsidR="0012422D" w:rsidRPr="001D200B">
        <w:t>Połaniec.</w:t>
      </w:r>
      <w:r w:rsidRPr="001D200B">
        <w:t xml:space="preserve"> </w:t>
      </w:r>
      <w:r w:rsidRPr="001D200B">
        <w:rPr>
          <w:rFonts w:cs="Calibri"/>
        </w:rPr>
        <w:t xml:space="preserve">Ocenę stanu powietrza atmosferycznego przeprowadzono w oparciu o dane za 2018 rok pochodzące z opracowania </w:t>
      </w:r>
      <w:r w:rsidRPr="001D200B">
        <w:t xml:space="preserve">GIOŚ Departament Środowiska Regionalny Wydział </w:t>
      </w:r>
      <w:r w:rsidRPr="001D200B">
        <w:lastRenderedPageBreak/>
        <w:t xml:space="preserve">Monitoringu Środowiska w Kielcach </w:t>
      </w:r>
      <w:r w:rsidRPr="001D200B">
        <w:rPr>
          <w:rFonts w:cs="Calibri"/>
        </w:rPr>
        <w:t xml:space="preserve">pt.: </w:t>
      </w:r>
      <w:r w:rsidRPr="001D200B">
        <w:rPr>
          <w:i/>
        </w:rPr>
        <w:t>Roczna ocena jakości powietrza w województwie świętokrzyskim</w:t>
      </w:r>
      <w:r w:rsidRPr="001D200B">
        <w:t xml:space="preserve">. </w:t>
      </w:r>
      <w:r w:rsidRPr="001D200B">
        <w:rPr>
          <w:i/>
        </w:rPr>
        <w:t>Raport wojewódzki za rok 2018</w:t>
      </w:r>
      <w:r w:rsidRPr="001D200B">
        <w:t>.</w:t>
      </w:r>
    </w:p>
    <w:p w:rsidR="00323734" w:rsidRPr="001D200B" w:rsidRDefault="00323734" w:rsidP="00323734">
      <w:pPr>
        <w:pStyle w:val="Legenda"/>
        <w:rPr>
          <w:rFonts w:cstheme="minorHAnsi"/>
          <w:color w:val="auto"/>
          <w:highlight w:val="yellow"/>
        </w:rPr>
      </w:pPr>
      <w:bookmarkStart w:id="107" w:name="_Toc39476588"/>
      <w:r w:rsidRPr="001D200B">
        <w:rPr>
          <w:color w:val="auto"/>
        </w:rPr>
        <w:t xml:space="preserve">Tabela </w:t>
      </w:r>
      <w:r w:rsidR="005B7234" w:rsidRPr="001D200B">
        <w:rPr>
          <w:color w:val="auto"/>
        </w:rPr>
        <w:fldChar w:fldCharType="begin"/>
      </w:r>
      <w:r w:rsidR="005B7234" w:rsidRPr="001D200B">
        <w:rPr>
          <w:color w:val="auto"/>
        </w:rPr>
        <w:instrText xml:space="preserve"> SEQ Tabela \* ARABIC </w:instrText>
      </w:r>
      <w:r w:rsidR="005B7234" w:rsidRPr="001D200B">
        <w:rPr>
          <w:color w:val="auto"/>
        </w:rPr>
        <w:fldChar w:fldCharType="separate"/>
      </w:r>
      <w:r w:rsidR="00D2721B" w:rsidRPr="001D200B">
        <w:rPr>
          <w:noProof/>
          <w:color w:val="auto"/>
        </w:rPr>
        <w:t>36</w:t>
      </w:r>
      <w:r w:rsidR="005B7234" w:rsidRPr="001D200B">
        <w:rPr>
          <w:color w:val="auto"/>
        </w:rPr>
        <w:fldChar w:fldCharType="end"/>
      </w:r>
      <w:r w:rsidRPr="001D200B">
        <w:rPr>
          <w:color w:val="auto"/>
        </w:rPr>
        <w:t>. Wynikowe klasy strefy świętokrzyskiej dla poszczególnych zanieczyszczeń, uzyskane w ocenie rocznej dokonanej z uwzględnieniem kryteriów ustanowionych w celu ochrony zdrowia</w:t>
      </w:r>
      <w:bookmarkEnd w:id="107"/>
    </w:p>
    <w:tbl>
      <w:tblPr>
        <w:tblStyle w:val="Tabela-Siatka"/>
        <w:tblW w:w="9322" w:type="dxa"/>
        <w:tblLayout w:type="fixed"/>
        <w:tblLook w:val="04A0"/>
      </w:tblPr>
      <w:tblGrid>
        <w:gridCol w:w="675"/>
        <w:gridCol w:w="676"/>
        <w:gridCol w:w="750"/>
        <w:gridCol w:w="677"/>
        <w:gridCol w:w="679"/>
        <w:gridCol w:w="682"/>
        <w:gridCol w:w="685"/>
        <w:gridCol w:w="677"/>
        <w:gridCol w:w="676"/>
        <w:gridCol w:w="594"/>
        <w:gridCol w:w="82"/>
        <w:gridCol w:w="906"/>
        <w:gridCol w:w="146"/>
        <w:gridCol w:w="636"/>
        <w:gridCol w:w="781"/>
      </w:tblGrid>
      <w:tr w:rsidR="00323734" w:rsidRPr="001D200B" w:rsidTr="005E12D1">
        <w:trPr>
          <w:trHeight w:val="340"/>
        </w:trPr>
        <w:tc>
          <w:tcPr>
            <w:tcW w:w="9322" w:type="dxa"/>
            <w:gridSpan w:val="15"/>
            <w:shd w:val="clear" w:color="auto" w:fill="F2F2F2" w:themeFill="background1" w:themeFillShade="F2"/>
          </w:tcPr>
          <w:p w:rsidR="00323734" w:rsidRPr="001D200B" w:rsidRDefault="00323734" w:rsidP="005E12D1">
            <w:pPr>
              <w:spacing w:before="100" w:beforeAutospacing="1" w:after="100" w:afterAutospacing="1"/>
              <w:jc w:val="center"/>
              <w:rPr>
                <w:b/>
              </w:rPr>
            </w:pPr>
            <w:r w:rsidRPr="001D200B">
              <w:rPr>
                <w:b/>
              </w:rPr>
              <w:t>Symbol klasy wynikowej dla poszczególnych zanieczyszczeń dla obszaru całej strefy</w:t>
            </w:r>
          </w:p>
        </w:tc>
      </w:tr>
      <w:tr w:rsidR="00323734" w:rsidRPr="001D200B" w:rsidTr="005E12D1">
        <w:trPr>
          <w:trHeight w:hRule="exact" w:val="454"/>
        </w:trPr>
        <w:tc>
          <w:tcPr>
            <w:tcW w:w="675" w:type="dxa"/>
            <w:vAlign w:val="center"/>
          </w:tcPr>
          <w:p w:rsidR="00323734" w:rsidRPr="001D200B" w:rsidRDefault="00323734" w:rsidP="005E12D1">
            <w:pPr>
              <w:spacing w:before="100" w:beforeAutospacing="1" w:after="100" w:afterAutospacing="1"/>
              <w:rPr>
                <w:b/>
                <w:sz w:val="22"/>
                <w:szCs w:val="22"/>
              </w:rPr>
            </w:pPr>
            <w:r w:rsidRPr="001D200B">
              <w:rPr>
                <w:b/>
                <w:sz w:val="22"/>
                <w:szCs w:val="22"/>
              </w:rPr>
              <w:t>SO</w:t>
            </w:r>
            <w:r w:rsidRPr="001D200B">
              <w:rPr>
                <w:b/>
                <w:sz w:val="22"/>
                <w:szCs w:val="22"/>
                <w:vertAlign w:val="subscript"/>
              </w:rPr>
              <w:t>2</w:t>
            </w:r>
          </w:p>
        </w:tc>
        <w:tc>
          <w:tcPr>
            <w:tcW w:w="676" w:type="dxa"/>
            <w:vAlign w:val="center"/>
          </w:tcPr>
          <w:p w:rsidR="00323734" w:rsidRPr="001D200B" w:rsidRDefault="00323734" w:rsidP="005E12D1">
            <w:pPr>
              <w:spacing w:before="100" w:beforeAutospacing="1" w:after="100" w:afterAutospacing="1"/>
              <w:rPr>
                <w:b/>
                <w:sz w:val="22"/>
                <w:szCs w:val="22"/>
              </w:rPr>
            </w:pPr>
            <w:r w:rsidRPr="001D200B">
              <w:rPr>
                <w:b/>
                <w:sz w:val="22"/>
                <w:szCs w:val="22"/>
              </w:rPr>
              <w:t>NO</w:t>
            </w:r>
            <w:r w:rsidRPr="001D200B">
              <w:rPr>
                <w:b/>
                <w:sz w:val="22"/>
                <w:szCs w:val="22"/>
                <w:vertAlign w:val="subscript"/>
              </w:rPr>
              <w:t>2</w:t>
            </w:r>
          </w:p>
        </w:tc>
        <w:tc>
          <w:tcPr>
            <w:tcW w:w="750" w:type="dxa"/>
            <w:vAlign w:val="center"/>
          </w:tcPr>
          <w:p w:rsidR="00323734" w:rsidRPr="001D200B" w:rsidRDefault="00323734" w:rsidP="005E12D1">
            <w:pPr>
              <w:spacing w:before="100" w:beforeAutospacing="1" w:after="100" w:afterAutospacing="1"/>
              <w:rPr>
                <w:b/>
                <w:sz w:val="22"/>
                <w:szCs w:val="22"/>
              </w:rPr>
            </w:pPr>
            <w:r w:rsidRPr="001D200B">
              <w:rPr>
                <w:b/>
                <w:sz w:val="22"/>
                <w:szCs w:val="22"/>
              </w:rPr>
              <w:t>PM10</w:t>
            </w:r>
          </w:p>
        </w:tc>
        <w:tc>
          <w:tcPr>
            <w:tcW w:w="677" w:type="dxa"/>
            <w:vAlign w:val="center"/>
          </w:tcPr>
          <w:p w:rsidR="00323734" w:rsidRPr="001D200B" w:rsidRDefault="00323734" w:rsidP="005E12D1">
            <w:pPr>
              <w:spacing w:before="100" w:beforeAutospacing="1" w:after="100" w:afterAutospacing="1"/>
              <w:rPr>
                <w:b/>
                <w:sz w:val="22"/>
                <w:szCs w:val="22"/>
              </w:rPr>
            </w:pPr>
            <w:r w:rsidRPr="001D200B">
              <w:rPr>
                <w:b/>
                <w:sz w:val="22"/>
                <w:szCs w:val="22"/>
              </w:rPr>
              <w:t>Pb</w:t>
            </w:r>
          </w:p>
        </w:tc>
        <w:tc>
          <w:tcPr>
            <w:tcW w:w="679" w:type="dxa"/>
            <w:vAlign w:val="center"/>
          </w:tcPr>
          <w:p w:rsidR="00323734" w:rsidRPr="001D200B" w:rsidRDefault="00323734" w:rsidP="005E12D1">
            <w:pPr>
              <w:spacing w:before="100" w:beforeAutospacing="1" w:after="100" w:afterAutospacing="1"/>
              <w:rPr>
                <w:b/>
                <w:sz w:val="22"/>
                <w:szCs w:val="22"/>
              </w:rPr>
            </w:pPr>
            <w:r w:rsidRPr="001D200B">
              <w:rPr>
                <w:b/>
                <w:sz w:val="22"/>
                <w:szCs w:val="22"/>
              </w:rPr>
              <w:t>C</w:t>
            </w:r>
            <w:r w:rsidRPr="001D200B">
              <w:rPr>
                <w:b/>
                <w:sz w:val="22"/>
                <w:szCs w:val="22"/>
                <w:vertAlign w:val="subscript"/>
              </w:rPr>
              <w:t>6</w:t>
            </w:r>
            <w:r w:rsidRPr="001D200B">
              <w:rPr>
                <w:b/>
                <w:sz w:val="22"/>
                <w:szCs w:val="22"/>
              </w:rPr>
              <w:t>H</w:t>
            </w:r>
            <w:r w:rsidRPr="001D200B">
              <w:rPr>
                <w:b/>
                <w:sz w:val="22"/>
                <w:szCs w:val="22"/>
                <w:vertAlign w:val="subscript"/>
              </w:rPr>
              <w:t>6</w:t>
            </w:r>
          </w:p>
        </w:tc>
        <w:tc>
          <w:tcPr>
            <w:tcW w:w="682" w:type="dxa"/>
            <w:vAlign w:val="center"/>
          </w:tcPr>
          <w:p w:rsidR="00323734" w:rsidRPr="001D200B" w:rsidRDefault="00323734" w:rsidP="005E12D1">
            <w:pPr>
              <w:spacing w:before="100" w:beforeAutospacing="1" w:after="100" w:afterAutospacing="1"/>
              <w:rPr>
                <w:b/>
                <w:sz w:val="22"/>
                <w:szCs w:val="22"/>
              </w:rPr>
            </w:pPr>
            <w:r w:rsidRPr="001D200B">
              <w:rPr>
                <w:b/>
                <w:sz w:val="22"/>
                <w:szCs w:val="22"/>
              </w:rPr>
              <w:t>CO</w:t>
            </w:r>
          </w:p>
        </w:tc>
        <w:tc>
          <w:tcPr>
            <w:tcW w:w="685" w:type="dxa"/>
            <w:vAlign w:val="center"/>
          </w:tcPr>
          <w:p w:rsidR="00323734" w:rsidRPr="001D200B" w:rsidRDefault="00323734" w:rsidP="005E12D1">
            <w:pPr>
              <w:spacing w:before="100" w:beforeAutospacing="1" w:after="100" w:afterAutospacing="1"/>
              <w:rPr>
                <w:b/>
                <w:sz w:val="22"/>
                <w:szCs w:val="22"/>
              </w:rPr>
            </w:pPr>
            <w:r w:rsidRPr="001D200B">
              <w:rPr>
                <w:b/>
                <w:sz w:val="22"/>
                <w:szCs w:val="22"/>
              </w:rPr>
              <w:t>As</w:t>
            </w:r>
          </w:p>
        </w:tc>
        <w:tc>
          <w:tcPr>
            <w:tcW w:w="677" w:type="dxa"/>
            <w:vAlign w:val="center"/>
          </w:tcPr>
          <w:p w:rsidR="00323734" w:rsidRPr="001D200B" w:rsidRDefault="00323734" w:rsidP="005E12D1">
            <w:pPr>
              <w:spacing w:before="100" w:beforeAutospacing="1" w:after="100" w:afterAutospacing="1"/>
              <w:rPr>
                <w:b/>
                <w:sz w:val="22"/>
                <w:szCs w:val="22"/>
              </w:rPr>
            </w:pPr>
            <w:r w:rsidRPr="001D200B">
              <w:rPr>
                <w:b/>
                <w:sz w:val="22"/>
                <w:szCs w:val="22"/>
              </w:rPr>
              <w:t>Cd</w:t>
            </w:r>
          </w:p>
        </w:tc>
        <w:tc>
          <w:tcPr>
            <w:tcW w:w="676" w:type="dxa"/>
            <w:vAlign w:val="center"/>
          </w:tcPr>
          <w:p w:rsidR="00323734" w:rsidRPr="001D200B" w:rsidRDefault="00323734" w:rsidP="005E12D1">
            <w:pPr>
              <w:spacing w:before="100" w:beforeAutospacing="1" w:after="100" w:afterAutospacing="1"/>
              <w:rPr>
                <w:b/>
                <w:sz w:val="22"/>
                <w:szCs w:val="22"/>
              </w:rPr>
            </w:pPr>
            <w:r w:rsidRPr="001D200B">
              <w:rPr>
                <w:b/>
                <w:sz w:val="22"/>
                <w:szCs w:val="22"/>
              </w:rPr>
              <w:t>Ni</w:t>
            </w:r>
          </w:p>
        </w:tc>
        <w:tc>
          <w:tcPr>
            <w:tcW w:w="594" w:type="dxa"/>
            <w:vAlign w:val="center"/>
          </w:tcPr>
          <w:p w:rsidR="00323734" w:rsidRPr="001D200B" w:rsidRDefault="00323734" w:rsidP="005E12D1">
            <w:pPr>
              <w:spacing w:before="100" w:beforeAutospacing="1" w:after="100" w:afterAutospacing="1"/>
              <w:rPr>
                <w:b/>
                <w:sz w:val="22"/>
                <w:szCs w:val="22"/>
              </w:rPr>
            </w:pPr>
            <w:r w:rsidRPr="001D200B">
              <w:rPr>
                <w:b/>
                <w:sz w:val="22"/>
                <w:szCs w:val="22"/>
              </w:rPr>
              <w:t>BaP</w:t>
            </w:r>
          </w:p>
        </w:tc>
        <w:tc>
          <w:tcPr>
            <w:tcW w:w="1134" w:type="dxa"/>
            <w:gridSpan w:val="3"/>
            <w:vAlign w:val="center"/>
          </w:tcPr>
          <w:p w:rsidR="00323734" w:rsidRPr="001D200B" w:rsidRDefault="00323734" w:rsidP="005E12D1">
            <w:pPr>
              <w:spacing w:before="100" w:beforeAutospacing="1" w:after="100" w:afterAutospacing="1"/>
              <w:rPr>
                <w:b/>
                <w:sz w:val="22"/>
                <w:szCs w:val="22"/>
              </w:rPr>
            </w:pPr>
            <w:r w:rsidRPr="001D200B">
              <w:rPr>
                <w:b/>
                <w:sz w:val="22"/>
                <w:szCs w:val="22"/>
              </w:rPr>
              <w:t>PM2,5</w:t>
            </w:r>
            <w:r w:rsidRPr="001D200B">
              <w:rPr>
                <w:b/>
                <w:sz w:val="22"/>
                <w:szCs w:val="22"/>
                <w:vertAlign w:val="superscript"/>
              </w:rPr>
              <w:t>1</w:t>
            </w:r>
          </w:p>
        </w:tc>
        <w:tc>
          <w:tcPr>
            <w:tcW w:w="636" w:type="dxa"/>
            <w:vAlign w:val="center"/>
          </w:tcPr>
          <w:p w:rsidR="00323734" w:rsidRPr="001D200B" w:rsidRDefault="00323734" w:rsidP="005E12D1">
            <w:pPr>
              <w:spacing w:before="100" w:beforeAutospacing="1" w:after="100" w:afterAutospacing="1"/>
              <w:rPr>
                <w:b/>
                <w:sz w:val="22"/>
                <w:szCs w:val="22"/>
              </w:rPr>
            </w:pPr>
            <w:r w:rsidRPr="001D200B">
              <w:rPr>
                <w:b/>
                <w:sz w:val="22"/>
                <w:szCs w:val="22"/>
              </w:rPr>
              <w:t>O</w:t>
            </w:r>
            <w:r w:rsidRPr="001D200B">
              <w:rPr>
                <w:b/>
                <w:sz w:val="22"/>
                <w:szCs w:val="22"/>
                <w:vertAlign w:val="subscript"/>
              </w:rPr>
              <w:t>3</w:t>
            </w:r>
            <w:r w:rsidRPr="001D200B">
              <w:rPr>
                <w:b/>
                <w:sz w:val="22"/>
                <w:szCs w:val="22"/>
              </w:rPr>
              <w:t>*</w:t>
            </w:r>
          </w:p>
        </w:tc>
        <w:tc>
          <w:tcPr>
            <w:tcW w:w="781" w:type="dxa"/>
            <w:vAlign w:val="center"/>
          </w:tcPr>
          <w:p w:rsidR="00323734" w:rsidRPr="001D200B" w:rsidRDefault="00323734" w:rsidP="005E12D1">
            <w:pPr>
              <w:spacing w:before="100" w:beforeAutospacing="1" w:after="100" w:afterAutospacing="1"/>
              <w:rPr>
                <w:b/>
                <w:sz w:val="22"/>
                <w:szCs w:val="22"/>
              </w:rPr>
            </w:pPr>
            <w:r w:rsidRPr="001D200B">
              <w:rPr>
                <w:b/>
                <w:sz w:val="22"/>
                <w:szCs w:val="22"/>
              </w:rPr>
              <w:t>O</w:t>
            </w:r>
            <w:r w:rsidRPr="001D200B">
              <w:rPr>
                <w:b/>
                <w:sz w:val="22"/>
                <w:szCs w:val="22"/>
                <w:vertAlign w:val="subscript"/>
              </w:rPr>
              <w:t>3</w:t>
            </w:r>
            <w:r w:rsidRPr="001D200B">
              <w:rPr>
                <w:b/>
                <w:sz w:val="22"/>
                <w:szCs w:val="22"/>
              </w:rPr>
              <w:t>**</w:t>
            </w:r>
          </w:p>
        </w:tc>
      </w:tr>
      <w:tr w:rsidR="00323734" w:rsidRPr="001D200B" w:rsidTr="005E12D1">
        <w:trPr>
          <w:trHeight w:hRule="exact" w:val="397"/>
        </w:trPr>
        <w:tc>
          <w:tcPr>
            <w:tcW w:w="9322" w:type="dxa"/>
            <w:gridSpan w:val="15"/>
            <w:vAlign w:val="center"/>
          </w:tcPr>
          <w:p w:rsidR="00323734" w:rsidRPr="001D200B" w:rsidRDefault="00323734" w:rsidP="005E12D1">
            <w:pPr>
              <w:spacing w:before="100" w:beforeAutospacing="1" w:after="100" w:afterAutospacing="1"/>
              <w:jc w:val="center"/>
              <w:rPr>
                <w:b/>
                <w:sz w:val="22"/>
                <w:szCs w:val="22"/>
              </w:rPr>
            </w:pPr>
            <w:r w:rsidRPr="001D200B">
              <w:rPr>
                <w:b/>
                <w:sz w:val="22"/>
                <w:szCs w:val="22"/>
              </w:rPr>
              <w:t>Strefa PL2602 - rok 2018</w:t>
            </w:r>
          </w:p>
        </w:tc>
      </w:tr>
      <w:tr w:rsidR="00323734" w:rsidRPr="001D200B" w:rsidTr="005E12D1">
        <w:trPr>
          <w:trHeight w:hRule="exact" w:val="397"/>
        </w:trPr>
        <w:tc>
          <w:tcPr>
            <w:tcW w:w="675" w:type="dxa"/>
            <w:vAlign w:val="center"/>
          </w:tcPr>
          <w:p w:rsidR="00323734" w:rsidRPr="001D200B" w:rsidRDefault="00323734" w:rsidP="005E12D1">
            <w:pPr>
              <w:pStyle w:val="podtabelk"/>
              <w:spacing w:before="100" w:beforeAutospacing="1" w:after="100" w:afterAutospacing="1"/>
              <w:jc w:val="center"/>
              <w:rPr>
                <w:sz w:val="22"/>
                <w:szCs w:val="22"/>
              </w:rPr>
            </w:pPr>
            <w:r w:rsidRPr="001D200B">
              <w:rPr>
                <w:sz w:val="22"/>
                <w:szCs w:val="22"/>
              </w:rPr>
              <w:t>A</w:t>
            </w:r>
          </w:p>
        </w:tc>
        <w:tc>
          <w:tcPr>
            <w:tcW w:w="676" w:type="dxa"/>
            <w:vAlign w:val="center"/>
          </w:tcPr>
          <w:p w:rsidR="00323734" w:rsidRPr="001D200B" w:rsidRDefault="00323734" w:rsidP="005E12D1">
            <w:pPr>
              <w:pStyle w:val="podtabelk"/>
              <w:spacing w:before="100" w:beforeAutospacing="1" w:after="100" w:afterAutospacing="1"/>
              <w:jc w:val="center"/>
              <w:rPr>
                <w:sz w:val="22"/>
                <w:szCs w:val="22"/>
              </w:rPr>
            </w:pPr>
            <w:r w:rsidRPr="001D200B">
              <w:rPr>
                <w:sz w:val="22"/>
                <w:szCs w:val="22"/>
              </w:rPr>
              <w:t>A</w:t>
            </w:r>
          </w:p>
        </w:tc>
        <w:tc>
          <w:tcPr>
            <w:tcW w:w="750" w:type="dxa"/>
            <w:shd w:val="clear" w:color="auto" w:fill="FFC000"/>
            <w:vAlign w:val="center"/>
          </w:tcPr>
          <w:p w:rsidR="00323734" w:rsidRPr="001D200B" w:rsidRDefault="00323734" w:rsidP="005E12D1">
            <w:pPr>
              <w:pStyle w:val="podtabelk"/>
              <w:spacing w:before="100" w:beforeAutospacing="1" w:after="100" w:afterAutospacing="1"/>
              <w:jc w:val="center"/>
              <w:rPr>
                <w:b/>
                <w:sz w:val="22"/>
                <w:szCs w:val="22"/>
              </w:rPr>
            </w:pPr>
            <w:r w:rsidRPr="001D200B">
              <w:rPr>
                <w:b/>
                <w:sz w:val="22"/>
                <w:szCs w:val="22"/>
              </w:rPr>
              <w:t>C</w:t>
            </w:r>
          </w:p>
        </w:tc>
        <w:tc>
          <w:tcPr>
            <w:tcW w:w="677" w:type="dxa"/>
            <w:vAlign w:val="center"/>
          </w:tcPr>
          <w:p w:rsidR="00323734" w:rsidRPr="001D200B" w:rsidRDefault="00323734" w:rsidP="005E12D1">
            <w:pPr>
              <w:pStyle w:val="podtabelk"/>
              <w:spacing w:before="100" w:beforeAutospacing="1" w:after="100" w:afterAutospacing="1"/>
              <w:jc w:val="center"/>
              <w:rPr>
                <w:sz w:val="22"/>
                <w:szCs w:val="22"/>
              </w:rPr>
            </w:pPr>
            <w:r w:rsidRPr="001D200B">
              <w:rPr>
                <w:sz w:val="22"/>
                <w:szCs w:val="22"/>
              </w:rPr>
              <w:t>A</w:t>
            </w:r>
          </w:p>
        </w:tc>
        <w:tc>
          <w:tcPr>
            <w:tcW w:w="679" w:type="dxa"/>
            <w:vAlign w:val="center"/>
          </w:tcPr>
          <w:p w:rsidR="00323734" w:rsidRPr="001D200B" w:rsidRDefault="00323734" w:rsidP="005E12D1">
            <w:pPr>
              <w:pStyle w:val="podtabelk"/>
              <w:spacing w:before="100" w:beforeAutospacing="1" w:after="100" w:afterAutospacing="1"/>
              <w:jc w:val="center"/>
              <w:rPr>
                <w:sz w:val="22"/>
                <w:szCs w:val="22"/>
              </w:rPr>
            </w:pPr>
            <w:r w:rsidRPr="001D200B">
              <w:rPr>
                <w:sz w:val="22"/>
                <w:szCs w:val="22"/>
              </w:rPr>
              <w:t>A</w:t>
            </w:r>
          </w:p>
        </w:tc>
        <w:tc>
          <w:tcPr>
            <w:tcW w:w="682" w:type="dxa"/>
            <w:vAlign w:val="center"/>
          </w:tcPr>
          <w:p w:rsidR="00323734" w:rsidRPr="001D200B" w:rsidRDefault="00323734" w:rsidP="005E12D1">
            <w:pPr>
              <w:pStyle w:val="podtabelk"/>
              <w:spacing w:before="100" w:beforeAutospacing="1" w:after="100" w:afterAutospacing="1"/>
              <w:jc w:val="center"/>
              <w:rPr>
                <w:sz w:val="22"/>
                <w:szCs w:val="22"/>
              </w:rPr>
            </w:pPr>
            <w:r w:rsidRPr="001D200B">
              <w:rPr>
                <w:sz w:val="22"/>
                <w:szCs w:val="22"/>
              </w:rPr>
              <w:t>A</w:t>
            </w:r>
          </w:p>
        </w:tc>
        <w:tc>
          <w:tcPr>
            <w:tcW w:w="685" w:type="dxa"/>
            <w:vAlign w:val="center"/>
          </w:tcPr>
          <w:p w:rsidR="00323734" w:rsidRPr="001D200B" w:rsidRDefault="00323734" w:rsidP="005E12D1">
            <w:pPr>
              <w:pStyle w:val="podtabelk"/>
              <w:spacing w:before="100" w:beforeAutospacing="1" w:after="100" w:afterAutospacing="1"/>
              <w:jc w:val="center"/>
              <w:rPr>
                <w:sz w:val="22"/>
                <w:szCs w:val="22"/>
              </w:rPr>
            </w:pPr>
            <w:r w:rsidRPr="001D200B">
              <w:rPr>
                <w:sz w:val="22"/>
                <w:szCs w:val="22"/>
              </w:rPr>
              <w:t>A</w:t>
            </w:r>
          </w:p>
        </w:tc>
        <w:tc>
          <w:tcPr>
            <w:tcW w:w="677" w:type="dxa"/>
            <w:vAlign w:val="center"/>
          </w:tcPr>
          <w:p w:rsidR="00323734" w:rsidRPr="001D200B" w:rsidRDefault="00323734" w:rsidP="005E12D1">
            <w:pPr>
              <w:pStyle w:val="podtabelk"/>
              <w:spacing w:before="100" w:beforeAutospacing="1" w:after="100" w:afterAutospacing="1"/>
              <w:jc w:val="center"/>
              <w:rPr>
                <w:sz w:val="22"/>
                <w:szCs w:val="22"/>
              </w:rPr>
            </w:pPr>
            <w:r w:rsidRPr="001D200B">
              <w:rPr>
                <w:sz w:val="22"/>
                <w:szCs w:val="22"/>
              </w:rPr>
              <w:t>A</w:t>
            </w:r>
          </w:p>
        </w:tc>
        <w:tc>
          <w:tcPr>
            <w:tcW w:w="676" w:type="dxa"/>
            <w:vAlign w:val="center"/>
          </w:tcPr>
          <w:p w:rsidR="00323734" w:rsidRPr="001D200B" w:rsidRDefault="00323734" w:rsidP="005E12D1">
            <w:pPr>
              <w:pStyle w:val="podtabelk"/>
              <w:spacing w:before="100" w:beforeAutospacing="1" w:after="100" w:afterAutospacing="1"/>
              <w:jc w:val="center"/>
              <w:rPr>
                <w:sz w:val="22"/>
                <w:szCs w:val="22"/>
              </w:rPr>
            </w:pPr>
            <w:r w:rsidRPr="001D200B">
              <w:rPr>
                <w:sz w:val="22"/>
                <w:szCs w:val="22"/>
              </w:rPr>
              <w:t>A</w:t>
            </w:r>
          </w:p>
        </w:tc>
        <w:tc>
          <w:tcPr>
            <w:tcW w:w="676" w:type="dxa"/>
            <w:gridSpan w:val="2"/>
            <w:shd w:val="clear" w:color="auto" w:fill="FFC000"/>
            <w:vAlign w:val="center"/>
          </w:tcPr>
          <w:p w:rsidR="00323734" w:rsidRPr="001D200B" w:rsidRDefault="00323734" w:rsidP="005E12D1">
            <w:pPr>
              <w:pStyle w:val="podtabelk"/>
              <w:spacing w:before="100" w:beforeAutospacing="1" w:after="100" w:afterAutospacing="1"/>
              <w:jc w:val="center"/>
              <w:rPr>
                <w:b/>
                <w:sz w:val="22"/>
                <w:szCs w:val="22"/>
              </w:rPr>
            </w:pPr>
            <w:r w:rsidRPr="001D200B">
              <w:rPr>
                <w:b/>
                <w:sz w:val="22"/>
                <w:szCs w:val="22"/>
              </w:rPr>
              <w:t>C</w:t>
            </w:r>
          </w:p>
        </w:tc>
        <w:tc>
          <w:tcPr>
            <w:tcW w:w="906" w:type="dxa"/>
            <w:shd w:val="clear" w:color="auto" w:fill="auto"/>
            <w:vAlign w:val="center"/>
          </w:tcPr>
          <w:p w:rsidR="00323734" w:rsidRPr="001D200B" w:rsidRDefault="00323734" w:rsidP="005E12D1">
            <w:pPr>
              <w:pStyle w:val="podtabelk"/>
              <w:spacing w:before="100" w:beforeAutospacing="1" w:after="100" w:afterAutospacing="1"/>
              <w:jc w:val="center"/>
              <w:rPr>
                <w:sz w:val="22"/>
                <w:szCs w:val="22"/>
              </w:rPr>
            </w:pPr>
            <w:r w:rsidRPr="001D200B">
              <w:rPr>
                <w:sz w:val="22"/>
                <w:szCs w:val="22"/>
              </w:rPr>
              <w:t>A</w:t>
            </w:r>
          </w:p>
        </w:tc>
        <w:tc>
          <w:tcPr>
            <w:tcW w:w="782" w:type="dxa"/>
            <w:gridSpan w:val="2"/>
            <w:shd w:val="clear" w:color="auto" w:fill="auto"/>
            <w:vAlign w:val="center"/>
          </w:tcPr>
          <w:p w:rsidR="00323734" w:rsidRPr="001D200B" w:rsidRDefault="00323734" w:rsidP="005E12D1">
            <w:pPr>
              <w:pStyle w:val="podtabelk"/>
              <w:spacing w:before="100" w:beforeAutospacing="1" w:after="100" w:afterAutospacing="1"/>
              <w:jc w:val="center"/>
              <w:rPr>
                <w:sz w:val="22"/>
                <w:szCs w:val="22"/>
              </w:rPr>
            </w:pPr>
            <w:r w:rsidRPr="001D200B">
              <w:rPr>
                <w:sz w:val="22"/>
                <w:szCs w:val="22"/>
              </w:rPr>
              <w:t>A</w:t>
            </w:r>
          </w:p>
        </w:tc>
        <w:tc>
          <w:tcPr>
            <w:tcW w:w="781" w:type="dxa"/>
            <w:shd w:val="clear" w:color="auto" w:fill="FFC000"/>
            <w:vAlign w:val="center"/>
          </w:tcPr>
          <w:p w:rsidR="00323734" w:rsidRPr="001D200B" w:rsidRDefault="00323734" w:rsidP="005E12D1">
            <w:pPr>
              <w:pStyle w:val="podtabelk"/>
              <w:spacing w:before="100" w:beforeAutospacing="1" w:after="100" w:afterAutospacing="1"/>
              <w:jc w:val="center"/>
              <w:rPr>
                <w:b/>
                <w:sz w:val="22"/>
                <w:szCs w:val="22"/>
              </w:rPr>
            </w:pPr>
            <w:r w:rsidRPr="001D200B">
              <w:rPr>
                <w:b/>
                <w:sz w:val="22"/>
                <w:szCs w:val="22"/>
              </w:rPr>
              <w:t>D2</w:t>
            </w:r>
          </w:p>
        </w:tc>
      </w:tr>
    </w:tbl>
    <w:p w:rsidR="00323734" w:rsidRPr="001D200B" w:rsidRDefault="00323734" w:rsidP="00323734">
      <w:pPr>
        <w:pStyle w:val="podtabelk"/>
      </w:pPr>
      <w:r w:rsidRPr="001D200B">
        <w:t xml:space="preserve">* według poziomu docelowego, ** według poziomu celu długoterminowego; 1- w odniesieniu do poziomu dopuszczalnego dla fazy I </w:t>
      </w:r>
    </w:p>
    <w:p w:rsidR="00323734" w:rsidRPr="001D200B" w:rsidRDefault="00323734" w:rsidP="00323734">
      <w:pPr>
        <w:pStyle w:val="Legenda"/>
        <w:rPr>
          <w:rFonts w:cstheme="minorHAnsi"/>
          <w:color w:val="auto"/>
          <w:highlight w:val="yellow"/>
        </w:rPr>
      </w:pPr>
      <w:bookmarkStart w:id="108" w:name="_Toc39476589"/>
      <w:r w:rsidRPr="001D200B">
        <w:rPr>
          <w:color w:val="auto"/>
        </w:rPr>
        <w:t xml:space="preserve">Tabela </w:t>
      </w:r>
      <w:r w:rsidR="005B7234" w:rsidRPr="001D200B">
        <w:rPr>
          <w:color w:val="auto"/>
        </w:rPr>
        <w:fldChar w:fldCharType="begin"/>
      </w:r>
      <w:r w:rsidR="005B7234" w:rsidRPr="001D200B">
        <w:rPr>
          <w:color w:val="auto"/>
        </w:rPr>
        <w:instrText xml:space="preserve"> SEQ Tabela \* ARABIC </w:instrText>
      </w:r>
      <w:r w:rsidR="005B7234" w:rsidRPr="001D200B">
        <w:rPr>
          <w:color w:val="auto"/>
        </w:rPr>
        <w:fldChar w:fldCharType="separate"/>
      </w:r>
      <w:r w:rsidR="00D2721B" w:rsidRPr="001D200B">
        <w:rPr>
          <w:noProof/>
          <w:color w:val="auto"/>
        </w:rPr>
        <w:t>37</w:t>
      </w:r>
      <w:r w:rsidR="005B7234" w:rsidRPr="001D200B">
        <w:rPr>
          <w:color w:val="auto"/>
        </w:rPr>
        <w:fldChar w:fldCharType="end"/>
      </w:r>
      <w:r w:rsidRPr="001D200B">
        <w:rPr>
          <w:color w:val="auto"/>
        </w:rPr>
        <w:t>. Klasyfikacja strefy świętokrzyskiej według parametrów, z uwzględnieniem kryteriów ustanowionych dla ochrony roślin</w:t>
      </w:r>
      <w:bookmarkEnd w:id="108"/>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912"/>
        <w:gridCol w:w="1657"/>
        <w:gridCol w:w="1748"/>
        <w:gridCol w:w="1935"/>
        <w:gridCol w:w="2034"/>
      </w:tblGrid>
      <w:tr w:rsidR="00323734" w:rsidRPr="001D200B" w:rsidTr="00323734">
        <w:trPr>
          <w:trHeight w:val="246"/>
        </w:trPr>
        <w:tc>
          <w:tcPr>
            <w:tcW w:w="1030" w:type="pct"/>
            <w:vMerge w:val="restart"/>
            <w:shd w:val="clear" w:color="auto" w:fill="D9D9D9" w:themeFill="background1" w:themeFillShade="D9"/>
            <w:vAlign w:val="center"/>
          </w:tcPr>
          <w:p w:rsidR="00323734" w:rsidRPr="001D200B" w:rsidRDefault="00323734" w:rsidP="005E12D1">
            <w:pPr>
              <w:pStyle w:val="podtabelk"/>
              <w:spacing w:after="0"/>
              <w:rPr>
                <w:b/>
                <w:sz w:val="22"/>
                <w:szCs w:val="22"/>
              </w:rPr>
            </w:pPr>
            <w:r w:rsidRPr="001D200B">
              <w:rPr>
                <w:b/>
                <w:sz w:val="22"/>
                <w:szCs w:val="22"/>
              </w:rPr>
              <w:t>Rok</w:t>
            </w:r>
          </w:p>
        </w:tc>
        <w:tc>
          <w:tcPr>
            <w:tcW w:w="3970" w:type="pct"/>
            <w:gridSpan w:val="4"/>
            <w:tcBorders>
              <w:right w:val="single" w:sz="4" w:space="0" w:color="auto"/>
            </w:tcBorders>
            <w:shd w:val="clear" w:color="auto" w:fill="D9D9D9" w:themeFill="background1" w:themeFillShade="D9"/>
          </w:tcPr>
          <w:p w:rsidR="00323734" w:rsidRPr="001D200B" w:rsidRDefault="00323734" w:rsidP="005E12D1">
            <w:pPr>
              <w:pStyle w:val="podtabelk"/>
              <w:spacing w:after="0"/>
              <w:rPr>
                <w:b/>
                <w:sz w:val="22"/>
                <w:szCs w:val="22"/>
              </w:rPr>
            </w:pPr>
            <w:r w:rsidRPr="001D200B">
              <w:rPr>
                <w:b/>
                <w:sz w:val="22"/>
                <w:szCs w:val="22"/>
              </w:rPr>
              <w:t>Symbol klasy wynikowej dla poszczególnych zanieczyszczeń dla obszaru całej strefy</w:t>
            </w:r>
          </w:p>
        </w:tc>
      </w:tr>
      <w:tr w:rsidR="00323734" w:rsidRPr="001D200B" w:rsidTr="00323734">
        <w:trPr>
          <w:trHeight w:val="339"/>
        </w:trPr>
        <w:tc>
          <w:tcPr>
            <w:tcW w:w="1030" w:type="pct"/>
            <w:vMerge/>
            <w:shd w:val="clear" w:color="auto" w:fill="auto"/>
          </w:tcPr>
          <w:p w:rsidR="00323734" w:rsidRPr="001D200B" w:rsidRDefault="00323734" w:rsidP="005E12D1">
            <w:pPr>
              <w:pStyle w:val="podtabelk"/>
              <w:spacing w:after="0"/>
              <w:rPr>
                <w:sz w:val="22"/>
                <w:szCs w:val="22"/>
              </w:rPr>
            </w:pPr>
          </w:p>
        </w:tc>
        <w:tc>
          <w:tcPr>
            <w:tcW w:w="892" w:type="pct"/>
            <w:shd w:val="clear" w:color="auto" w:fill="D9D9D9" w:themeFill="background1" w:themeFillShade="D9"/>
            <w:vAlign w:val="center"/>
          </w:tcPr>
          <w:p w:rsidR="00323734" w:rsidRPr="001D200B" w:rsidRDefault="00323734" w:rsidP="005E12D1">
            <w:pPr>
              <w:pStyle w:val="podtabelk"/>
              <w:spacing w:after="0"/>
              <w:rPr>
                <w:b/>
                <w:sz w:val="22"/>
                <w:szCs w:val="22"/>
              </w:rPr>
            </w:pPr>
            <w:r w:rsidRPr="001D200B">
              <w:rPr>
                <w:b/>
                <w:sz w:val="22"/>
                <w:szCs w:val="22"/>
              </w:rPr>
              <w:t>SO</w:t>
            </w:r>
            <w:r w:rsidRPr="001D200B">
              <w:rPr>
                <w:b/>
                <w:sz w:val="22"/>
                <w:szCs w:val="22"/>
                <w:vertAlign w:val="subscript"/>
              </w:rPr>
              <w:t>2</w:t>
            </w:r>
          </w:p>
        </w:tc>
        <w:tc>
          <w:tcPr>
            <w:tcW w:w="941" w:type="pct"/>
            <w:shd w:val="clear" w:color="auto" w:fill="D9D9D9" w:themeFill="background1" w:themeFillShade="D9"/>
            <w:vAlign w:val="center"/>
          </w:tcPr>
          <w:p w:rsidR="00323734" w:rsidRPr="001D200B" w:rsidRDefault="00323734" w:rsidP="005E12D1">
            <w:pPr>
              <w:pStyle w:val="podtabelk"/>
              <w:spacing w:after="0"/>
              <w:rPr>
                <w:b/>
                <w:sz w:val="22"/>
                <w:szCs w:val="22"/>
              </w:rPr>
            </w:pPr>
            <w:r w:rsidRPr="001D200B">
              <w:rPr>
                <w:b/>
                <w:sz w:val="22"/>
                <w:szCs w:val="22"/>
              </w:rPr>
              <w:t>NO</w:t>
            </w:r>
            <w:r w:rsidRPr="001D200B">
              <w:rPr>
                <w:b/>
                <w:sz w:val="22"/>
                <w:szCs w:val="22"/>
                <w:vertAlign w:val="subscript"/>
              </w:rPr>
              <w:t>x</w:t>
            </w:r>
          </w:p>
        </w:tc>
        <w:tc>
          <w:tcPr>
            <w:tcW w:w="1042" w:type="pct"/>
            <w:shd w:val="clear" w:color="auto" w:fill="D9D9D9" w:themeFill="background1" w:themeFillShade="D9"/>
            <w:vAlign w:val="center"/>
          </w:tcPr>
          <w:p w:rsidR="00323734" w:rsidRPr="001D200B" w:rsidRDefault="00323734" w:rsidP="005E12D1">
            <w:pPr>
              <w:pStyle w:val="podtabelk"/>
              <w:spacing w:after="0"/>
              <w:rPr>
                <w:b/>
                <w:sz w:val="22"/>
                <w:szCs w:val="22"/>
              </w:rPr>
            </w:pPr>
            <w:r w:rsidRPr="001D200B">
              <w:rPr>
                <w:b/>
                <w:sz w:val="22"/>
                <w:szCs w:val="22"/>
              </w:rPr>
              <w:t>O</w:t>
            </w:r>
            <w:r w:rsidRPr="001D200B">
              <w:rPr>
                <w:b/>
                <w:sz w:val="22"/>
                <w:szCs w:val="22"/>
                <w:vertAlign w:val="subscript"/>
              </w:rPr>
              <w:t xml:space="preserve">3 </w:t>
            </w:r>
            <w:r w:rsidRPr="001D200B">
              <w:rPr>
                <w:b/>
                <w:sz w:val="22"/>
                <w:szCs w:val="22"/>
              </w:rPr>
              <w:t>(według poziomu docelowego)</w:t>
            </w:r>
          </w:p>
        </w:tc>
        <w:tc>
          <w:tcPr>
            <w:tcW w:w="1095" w:type="pct"/>
            <w:tcBorders>
              <w:right w:val="single" w:sz="4" w:space="0" w:color="auto"/>
            </w:tcBorders>
            <w:shd w:val="clear" w:color="auto" w:fill="D9D9D9" w:themeFill="background1" w:themeFillShade="D9"/>
            <w:vAlign w:val="center"/>
          </w:tcPr>
          <w:p w:rsidR="00323734" w:rsidRPr="001D200B" w:rsidRDefault="00323734" w:rsidP="005E12D1">
            <w:pPr>
              <w:pStyle w:val="podtabelk"/>
              <w:spacing w:after="0"/>
              <w:rPr>
                <w:b/>
                <w:sz w:val="22"/>
                <w:szCs w:val="22"/>
              </w:rPr>
            </w:pPr>
            <w:r w:rsidRPr="001D200B">
              <w:rPr>
                <w:b/>
                <w:sz w:val="22"/>
                <w:szCs w:val="22"/>
              </w:rPr>
              <w:t>O</w:t>
            </w:r>
            <w:r w:rsidRPr="001D200B">
              <w:rPr>
                <w:b/>
                <w:sz w:val="22"/>
                <w:szCs w:val="22"/>
                <w:vertAlign w:val="subscript"/>
              </w:rPr>
              <w:t xml:space="preserve">3 </w:t>
            </w:r>
            <w:r w:rsidRPr="001D200B">
              <w:rPr>
                <w:b/>
                <w:sz w:val="22"/>
                <w:szCs w:val="22"/>
              </w:rPr>
              <w:t>(według poziomu długoterminowego)</w:t>
            </w:r>
          </w:p>
        </w:tc>
      </w:tr>
      <w:tr w:rsidR="00323734" w:rsidRPr="001D200B" w:rsidTr="00323734">
        <w:trPr>
          <w:trHeight w:val="94"/>
        </w:trPr>
        <w:tc>
          <w:tcPr>
            <w:tcW w:w="1030" w:type="pct"/>
            <w:shd w:val="clear" w:color="auto" w:fill="auto"/>
          </w:tcPr>
          <w:p w:rsidR="00323734" w:rsidRPr="001D200B" w:rsidRDefault="00323734" w:rsidP="005E12D1">
            <w:pPr>
              <w:pStyle w:val="podtabelk"/>
              <w:spacing w:after="0"/>
              <w:rPr>
                <w:sz w:val="22"/>
                <w:szCs w:val="22"/>
              </w:rPr>
            </w:pPr>
            <w:r w:rsidRPr="001D200B">
              <w:rPr>
                <w:sz w:val="22"/>
                <w:szCs w:val="22"/>
              </w:rPr>
              <w:t>2018</w:t>
            </w:r>
          </w:p>
        </w:tc>
        <w:tc>
          <w:tcPr>
            <w:tcW w:w="892" w:type="pct"/>
            <w:shd w:val="clear" w:color="auto" w:fill="auto"/>
            <w:vAlign w:val="center"/>
          </w:tcPr>
          <w:p w:rsidR="00323734" w:rsidRPr="001D200B" w:rsidRDefault="00323734" w:rsidP="005E12D1">
            <w:pPr>
              <w:pStyle w:val="podtabelk"/>
              <w:spacing w:after="0"/>
              <w:jc w:val="center"/>
              <w:rPr>
                <w:sz w:val="22"/>
                <w:szCs w:val="22"/>
              </w:rPr>
            </w:pPr>
            <w:r w:rsidRPr="001D200B">
              <w:rPr>
                <w:sz w:val="22"/>
                <w:szCs w:val="22"/>
              </w:rPr>
              <w:t>A</w:t>
            </w:r>
          </w:p>
        </w:tc>
        <w:tc>
          <w:tcPr>
            <w:tcW w:w="941" w:type="pct"/>
            <w:shd w:val="clear" w:color="auto" w:fill="auto"/>
            <w:vAlign w:val="center"/>
          </w:tcPr>
          <w:p w:rsidR="00323734" w:rsidRPr="001D200B" w:rsidRDefault="00323734" w:rsidP="005E12D1">
            <w:pPr>
              <w:pStyle w:val="podtabelk"/>
              <w:spacing w:after="0"/>
              <w:jc w:val="center"/>
              <w:rPr>
                <w:sz w:val="22"/>
                <w:szCs w:val="22"/>
              </w:rPr>
            </w:pPr>
            <w:r w:rsidRPr="001D200B">
              <w:rPr>
                <w:sz w:val="22"/>
                <w:szCs w:val="22"/>
              </w:rPr>
              <w:t>A</w:t>
            </w:r>
          </w:p>
        </w:tc>
        <w:tc>
          <w:tcPr>
            <w:tcW w:w="1042" w:type="pct"/>
            <w:shd w:val="clear" w:color="auto" w:fill="auto"/>
            <w:vAlign w:val="center"/>
          </w:tcPr>
          <w:p w:rsidR="00323734" w:rsidRPr="001D200B" w:rsidRDefault="00323734" w:rsidP="005E12D1">
            <w:pPr>
              <w:pStyle w:val="podtabelk"/>
              <w:spacing w:after="0"/>
              <w:jc w:val="center"/>
              <w:rPr>
                <w:sz w:val="22"/>
                <w:szCs w:val="22"/>
              </w:rPr>
            </w:pPr>
            <w:r w:rsidRPr="001D200B">
              <w:rPr>
                <w:sz w:val="22"/>
                <w:szCs w:val="22"/>
              </w:rPr>
              <w:t>A</w:t>
            </w:r>
          </w:p>
        </w:tc>
        <w:tc>
          <w:tcPr>
            <w:tcW w:w="1095" w:type="pct"/>
            <w:tcBorders>
              <w:right w:val="single" w:sz="4" w:space="0" w:color="auto"/>
            </w:tcBorders>
            <w:shd w:val="clear" w:color="auto" w:fill="FFC000"/>
            <w:vAlign w:val="center"/>
          </w:tcPr>
          <w:p w:rsidR="00323734" w:rsidRPr="001D200B" w:rsidRDefault="00323734" w:rsidP="005E12D1">
            <w:pPr>
              <w:pStyle w:val="podtabelk"/>
              <w:spacing w:after="0"/>
              <w:jc w:val="center"/>
              <w:rPr>
                <w:b/>
                <w:sz w:val="22"/>
                <w:szCs w:val="22"/>
              </w:rPr>
            </w:pPr>
            <w:r w:rsidRPr="001D200B">
              <w:rPr>
                <w:b/>
                <w:sz w:val="22"/>
                <w:szCs w:val="22"/>
              </w:rPr>
              <w:t>D2</w:t>
            </w:r>
          </w:p>
        </w:tc>
      </w:tr>
    </w:tbl>
    <w:p w:rsidR="00323734" w:rsidRPr="001D200B" w:rsidRDefault="00323734" w:rsidP="00323734">
      <w:pPr>
        <w:pStyle w:val="podtabelk"/>
        <w:rPr>
          <w:rFonts w:cstheme="minorHAnsi"/>
          <w:highlight w:val="yellow"/>
        </w:rPr>
      </w:pPr>
      <w:r w:rsidRPr="001D200B">
        <w:rPr>
          <w:lang w:eastAsia="ar-SA"/>
        </w:rPr>
        <w:t xml:space="preserve">Źródło – </w:t>
      </w:r>
      <w:r w:rsidRPr="001D200B">
        <w:t>Roczna ocena jakości powietrza w województwie świętokrzyskim. Raport wojewódzki za rok 2018</w:t>
      </w:r>
    </w:p>
    <w:p w:rsidR="00323734" w:rsidRPr="001D200B" w:rsidRDefault="00323734" w:rsidP="00323734">
      <w:r w:rsidRPr="001D200B">
        <w:t xml:space="preserve">Wyniki klasyfikacji strefy świętokrzyskiej w 2018 roku przedstawiają się następująco: </w:t>
      </w:r>
    </w:p>
    <w:p w:rsidR="00323734" w:rsidRPr="001D200B" w:rsidRDefault="00323734" w:rsidP="00323734">
      <w:pPr>
        <w:pStyle w:val="wypunktowanie"/>
      </w:pPr>
      <w:r w:rsidRPr="001D200B">
        <w:t>ze względu na ochronę zdrowia dla zanieczyszczeń takich jak dwutlenek azotu (NO</w:t>
      </w:r>
      <w:r w:rsidRPr="001D200B">
        <w:rPr>
          <w:vertAlign w:val="subscript"/>
        </w:rPr>
        <w:t>2</w:t>
      </w:r>
      <w:r w:rsidRPr="001D200B">
        <w:t>), dwutlenek siarki (SO</w:t>
      </w:r>
      <w:r w:rsidRPr="001D200B">
        <w:rPr>
          <w:vertAlign w:val="subscript"/>
        </w:rPr>
        <w:t>2</w:t>
      </w:r>
      <w:r w:rsidRPr="001D200B">
        <w:t>), benzen (C</w:t>
      </w:r>
      <w:r w:rsidRPr="001D200B">
        <w:rPr>
          <w:vertAlign w:val="subscript"/>
        </w:rPr>
        <w:t>6</w:t>
      </w:r>
      <w:r w:rsidRPr="001D200B">
        <w:t>H</w:t>
      </w:r>
      <w:r w:rsidRPr="001D200B">
        <w:rPr>
          <w:vertAlign w:val="subscript"/>
        </w:rPr>
        <w:t>6</w:t>
      </w:r>
      <w:r w:rsidRPr="001D200B">
        <w:t>), ołów (Pb), arsen (As), kadm (Cd), nikiel (Ni), tlenek węgla (CO), pył zawieszony P2,5 strefę, ozon (O</w:t>
      </w:r>
      <w:r w:rsidRPr="001D200B">
        <w:rPr>
          <w:vertAlign w:val="subscript"/>
        </w:rPr>
        <w:t>3</w:t>
      </w:r>
      <w:r w:rsidRPr="001D200B">
        <w:t>) zaliczono do klasy A. Oznacza to, że w obszarze strefy standardy imisyjne dla tych zanieczyszczeń zostały dotrzymane. Natomiast dla opadu pyłu PM10 oraz benzo(a)pirenu strefa świętokrzyska zaliczana jest do klasy C, co oznacza niedotrzymanie unormowanych poziomów. Dla ozonu notuje się przekroczenia w zakresie poziomu celu długoterminowego. Za prawdopodobne przyczyny tego zjawiska uznać należy przede wszystkim procesy spalania paliw w celach energetycznych i technologicznych oraz komunikacyjnych. Duży jest napływ zanieczyszczeń spoza województwa;</w:t>
      </w:r>
    </w:p>
    <w:p w:rsidR="00323734" w:rsidRPr="001D200B" w:rsidRDefault="00323734" w:rsidP="00323734">
      <w:pPr>
        <w:pStyle w:val="wypunktowanie"/>
      </w:pPr>
      <w:r w:rsidRPr="001D200B">
        <w:t>ze względu na ochronę roślin przekroczenia notuje się dla ozonu.</w:t>
      </w:r>
    </w:p>
    <w:p w:rsidR="00323734" w:rsidRPr="001D200B" w:rsidRDefault="00323734" w:rsidP="00323734">
      <w:r w:rsidRPr="001D200B">
        <w:t xml:space="preserve">Przedstawione informacje dotyczą podstawowych zanieczyszczeń powietrza w skali całej strefy badania i stanowią wyłącznie punkt wyjścia do oceny jakości powietrza w obszarze gminy. Stan powietrza w ujęciu lokalnym zależy od charakteru gminy, wielkości i gęstości źródeł emisji, jak również od ilości ładunków napływających z terenów sąsiednich. </w:t>
      </w:r>
    </w:p>
    <w:p w:rsidR="00323734" w:rsidRPr="001D200B" w:rsidRDefault="00323734" w:rsidP="00323734">
      <w:pPr>
        <w:rPr>
          <w:rFonts w:cstheme="minorHAnsi"/>
        </w:rPr>
      </w:pPr>
      <w:r w:rsidRPr="001D200B">
        <w:lastRenderedPageBreak/>
        <w:t>W programie ochrony powietrza (</w:t>
      </w:r>
      <w:r w:rsidRPr="001D200B">
        <w:rPr>
          <w:i/>
        </w:rPr>
        <w:t>Aktualizacja Programu ochrony powietrza dla województwa świętokrzyskiego wraz z planem działań krótkoterminowych</w:t>
      </w:r>
      <w:r w:rsidRPr="001D200B">
        <w:t xml:space="preserve">) dla strefy świętokrzyskiej, w której znajduje się gmina Połaniec określono działania zmierzające do przywrócenia standardów jakości powietrza, w tym następujące działania </w:t>
      </w:r>
      <w:r w:rsidRPr="001D200B">
        <w:rPr>
          <w:rFonts w:cstheme="minorHAnsi"/>
        </w:rPr>
        <w:t xml:space="preserve">w zakresie ograniczania emisji powierzchniowej (niskiej, rozproszonej emisji komunalno – bytowej i technologicznej): </w:t>
      </w:r>
    </w:p>
    <w:p w:rsidR="00323734" w:rsidRPr="001D200B" w:rsidRDefault="00323734" w:rsidP="007E7DA7">
      <w:pPr>
        <w:pStyle w:val="Punktory"/>
        <w:rPr>
          <w:lang w:val="pl-PL"/>
        </w:rPr>
      </w:pPr>
      <w:r w:rsidRPr="001D200B">
        <w:rPr>
          <w:lang w:val="pl-PL"/>
        </w:rPr>
        <w:t>Wymiana niskosprawnych źródeł spalania paliw na niskoemisyjne w obiektach sektora komunalno-bytowego;</w:t>
      </w:r>
    </w:p>
    <w:p w:rsidR="00323734" w:rsidRPr="001D200B" w:rsidRDefault="00323734" w:rsidP="007E7DA7">
      <w:pPr>
        <w:pStyle w:val="Punktory"/>
        <w:rPr>
          <w:lang w:val="pl-PL"/>
        </w:rPr>
      </w:pPr>
      <w:r w:rsidRPr="001D200B">
        <w:rPr>
          <w:lang w:val="pl-PL"/>
        </w:rPr>
        <w:t>Likwidacja niskosprawnych źródeł spalania paliw i zastąpienie siecią ciepłowniczą lub ogrzewaniem elektrycznym w sektorze komunalno bytowym;</w:t>
      </w:r>
    </w:p>
    <w:p w:rsidR="00323734" w:rsidRPr="001D200B" w:rsidRDefault="00323734" w:rsidP="007E7DA7">
      <w:pPr>
        <w:pStyle w:val="Punktory"/>
        <w:rPr>
          <w:lang w:val="pl-PL"/>
        </w:rPr>
      </w:pPr>
      <w:r w:rsidRPr="001D200B">
        <w:rPr>
          <w:lang w:val="pl-PL"/>
        </w:rPr>
        <w:t>Wymiana niskosprawnych źródeł spalania paliw w budynkach użyteczności publicznej;</w:t>
      </w:r>
    </w:p>
    <w:p w:rsidR="00323734" w:rsidRPr="001D200B" w:rsidRDefault="00323734" w:rsidP="007E7DA7">
      <w:pPr>
        <w:pStyle w:val="Punktory"/>
        <w:rPr>
          <w:lang w:val="pl-PL"/>
        </w:rPr>
      </w:pPr>
      <w:r w:rsidRPr="001D200B">
        <w:rPr>
          <w:lang w:val="pl-PL"/>
        </w:rPr>
        <w:t>Likwidacja niskosprawnych źródeł spalania paliw i zastąpienie siecią ciepłowniczą lub ogrzewaniem elektrycznym w obiektach użyteczności publicznej;</w:t>
      </w:r>
    </w:p>
    <w:p w:rsidR="00323734" w:rsidRPr="001D200B" w:rsidRDefault="00323734" w:rsidP="007E7DA7">
      <w:pPr>
        <w:pStyle w:val="Punktory"/>
        <w:rPr>
          <w:lang w:val="pl-PL"/>
        </w:rPr>
      </w:pPr>
      <w:r w:rsidRPr="001D200B">
        <w:rPr>
          <w:lang w:val="pl-PL"/>
        </w:rPr>
        <w:t>Realizacja Programów Ograniczania Niskiej Emisji lub Planów Gospodarki Niskoemisyjnej na obszarach występowania przekroczeń wartości dopuszczalnych pyłu PM10 i pyłu PM2,5;</w:t>
      </w:r>
    </w:p>
    <w:p w:rsidR="00323734" w:rsidRPr="001D200B" w:rsidRDefault="00323734" w:rsidP="007E7DA7">
      <w:pPr>
        <w:pStyle w:val="Punktory"/>
        <w:rPr>
          <w:lang w:val="pl-PL"/>
        </w:rPr>
      </w:pPr>
      <w:r w:rsidRPr="001D200B">
        <w:rPr>
          <w:lang w:val="pl-PL"/>
        </w:rPr>
        <w:t>Termomodernizacja obiektów budowlanych;</w:t>
      </w:r>
    </w:p>
    <w:p w:rsidR="00323734" w:rsidRPr="001D200B" w:rsidRDefault="00323734" w:rsidP="007E7DA7">
      <w:pPr>
        <w:pStyle w:val="Punktory"/>
        <w:rPr>
          <w:lang w:val="pl-PL"/>
        </w:rPr>
      </w:pPr>
      <w:r w:rsidRPr="001D200B">
        <w:rPr>
          <w:lang w:val="pl-PL"/>
        </w:rPr>
        <w:t>Rozbudowa sieci ciepłowniczej oraz podłączenie nowych obiektów;</w:t>
      </w:r>
    </w:p>
    <w:p w:rsidR="00323734" w:rsidRPr="001D200B" w:rsidRDefault="00323734" w:rsidP="007E7DA7">
      <w:pPr>
        <w:pStyle w:val="Punktory"/>
        <w:rPr>
          <w:lang w:val="pl-PL"/>
        </w:rPr>
      </w:pPr>
      <w:r w:rsidRPr="001D200B">
        <w:rPr>
          <w:lang w:val="pl-PL"/>
        </w:rPr>
        <w:t>Rozbudowa sieci gazowej oraz podłączenie nowych obiektów;</w:t>
      </w:r>
    </w:p>
    <w:p w:rsidR="00323734" w:rsidRPr="001D200B" w:rsidRDefault="00323734" w:rsidP="007E7DA7">
      <w:pPr>
        <w:pStyle w:val="Punktory"/>
        <w:rPr>
          <w:lang w:val="pl-PL"/>
        </w:rPr>
      </w:pPr>
      <w:r w:rsidRPr="001D200B">
        <w:rPr>
          <w:lang w:val="pl-PL"/>
        </w:rPr>
        <w:t>Produkcja energii prosumenckiej z odnawialnych źródeł energii w sektorze publicznym i mieszkaniowym;</w:t>
      </w:r>
    </w:p>
    <w:p w:rsidR="00323734" w:rsidRPr="001D200B" w:rsidRDefault="00323734" w:rsidP="007E7DA7">
      <w:pPr>
        <w:pStyle w:val="Punktory"/>
        <w:rPr>
          <w:lang w:val="pl-PL"/>
        </w:rPr>
      </w:pPr>
      <w:r w:rsidRPr="001D200B">
        <w:rPr>
          <w:lang w:val="pl-PL"/>
        </w:rPr>
        <w:t>Budownictwo energooszczędne i pasywne.</w:t>
      </w:r>
    </w:p>
    <w:p w:rsidR="00C618C5" w:rsidRPr="001D200B" w:rsidRDefault="00932556" w:rsidP="00915383">
      <w:pPr>
        <w:rPr>
          <w:rFonts w:cstheme="minorHAnsi"/>
          <w:highlight w:val="yellow"/>
        </w:rPr>
      </w:pPr>
      <w:r w:rsidRPr="001D200B">
        <w:t xml:space="preserve">Podstawowym narzędziem wspomagającym proces redukcji niskiej emisji może być gminna polityka finansowa wspomagająca właścicieli mieszkań i lokali użytkowych zdecydowanych do zamiany ogrzewania węglowego na ogrzewanie proekologiczne. Gmina opracowała i przystąpiła do realizacji dokumentu strategicznego w zakresie gospodarki niskoemisyjnej pn. </w:t>
      </w:r>
      <w:r w:rsidRPr="001D200B">
        <w:rPr>
          <w:i/>
        </w:rPr>
        <w:t>Plan Gospodarki Niskoemisyjnej dla Gminy Połaniec (</w:t>
      </w:r>
      <w:r w:rsidRPr="001D200B">
        <w:t>Uchwała Nr XXVII/174/2016 Rady Miejskiej w Połańcu z dnia 18 lipca 2016r.</w:t>
      </w:r>
      <w:r w:rsidRPr="001D200B">
        <w:rPr>
          <w:rFonts w:cstheme="minorHAnsi"/>
        </w:rPr>
        <w:t>). O</w:t>
      </w:r>
      <w:r w:rsidRPr="001D200B">
        <w:t xml:space="preserve">pracowanie planu gospodarki niskoemisyjnej stanowi pewnego rodzaju zobowiązanie do podejmowania działań na rzecz poprawy jakości powietrza, a w szczególności: redukcji emisji gazów cieplarnianych; zwiększenia udziału energii pochodzącej ze źródeł odnawialnych; redukcji zużycia energii finalnej; redukcji zanieczyszczeń do powietrza. W tym też zamyśle </w:t>
      </w:r>
      <w:r w:rsidRPr="001D200B">
        <w:rPr>
          <w:rFonts w:cstheme="minorHAnsi"/>
        </w:rPr>
        <w:t xml:space="preserve">Gmina realizuje projekt polegający na dofinansowaniu gospodarstw domowych, w obszarze wymiany przestarzałych pieców/kotłów na nowoczesne o wyższej sprawności (bądź w przypadku nowych domów montażu nowoczesnych kotłów c.o.). </w:t>
      </w:r>
      <w:r w:rsidR="00C618C5" w:rsidRPr="001D200B">
        <w:rPr>
          <w:rFonts w:cstheme="minorHAnsi"/>
          <w:highlight w:val="yellow"/>
        </w:rPr>
        <w:br w:type="page"/>
      </w:r>
    </w:p>
    <w:p w:rsidR="003F13F1" w:rsidRPr="001D200B" w:rsidRDefault="00E06166" w:rsidP="00E06166">
      <w:pPr>
        <w:pStyle w:val="Nagwek2"/>
        <w:rPr>
          <w:rFonts w:cstheme="minorHAnsi"/>
        </w:rPr>
      </w:pPr>
      <w:bookmarkStart w:id="109" w:name="_Toc31972858"/>
      <w:r w:rsidRPr="001D200B">
        <w:rPr>
          <w:rFonts w:cstheme="minorHAnsi"/>
        </w:rPr>
        <w:lastRenderedPageBreak/>
        <w:t xml:space="preserve">2. </w:t>
      </w:r>
      <w:r w:rsidR="003F13F1" w:rsidRPr="001D200B">
        <w:rPr>
          <w:rFonts w:cstheme="minorHAnsi"/>
        </w:rPr>
        <w:t>Z</w:t>
      </w:r>
      <w:r w:rsidRPr="001D200B">
        <w:rPr>
          <w:rFonts w:cstheme="minorHAnsi"/>
        </w:rPr>
        <w:t>aopatrzenie w ciepło</w:t>
      </w:r>
      <w:bookmarkEnd w:id="109"/>
    </w:p>
    <w:p w:rsidR="00D22AEE" w:rsidRPr="001D200B" w:rsidRDefault="000355F0" w:rsidP="004050D6">
      <w:pPr>
        <w:rPr>
          <w:rFonts w:cstheme="minorHAnsi"/>
        </w:rPr>
      </w:pPr>
      <w:r w:rsidRPr="001D200B">
        <w:rPr>
          <w:rFonts w:cstheme="minorHAnsi"/>
        </w:rPr>
        <w:t xml:space="preserve">Zaopatrzenie w ciepło na terenie gminy Połaniec </w:t>
      </w:r>
      <w:r w:rsidR="00E00751" w:rsidRPr="001D200B">
        <w:rPr>
          <w:rFonts w:cstheme="minorHAnsi"/>
        </w:rPr>
        <w:t>realizowane jest za pomocą</w:t>
      </w:r>
      <w:r w:rsidR="00D22AEE" w:rsidRPr="001D200B">
        <w:rPr>
          <w:rFonts w:cstheme="minorHAnsi"/>
        </w:rPr>
        <w:t>:</w:t>
      </w:r>
    </w:p>
    <w:p w:rsidR="00D22AEE" w:rsidRPr="001D200B" w:rsidRDefault="000355F0" w:rsidP="00F21741">
      <w:pPr>
        <w:pStyle w:val="Punktatory1"/>
      </w:pPr>
      <w:r w:rsidRPr="001D200B">
        <w:t xml:space="preserve">sieci ciepłowniczej (obszar miasta) </w:t>
      </w:r>
      <w:r w:rsidR="00D22AEE" w:rsidRPr="001D200B">
        <w:t xml:space="preserve">zasilanej ze źródła </w:t>
      </w:r>
      <w:r w:rsidR="004050D6" w:rsidRPr="001D200B">
        <w:t>produkującego w skojarzeni</w:t>
      </w:r>
      <w:r w:rsidR="00EC408F" w:rsidRPr="001D200B">
        <w:t>u energię elektryczną i ciepło,</w:t>
      </w:r>
    </w:p>
    <w:p w:rsidR="00EC408F" w:rsidRPr="001D200B" w:rsidRDefault="00EC408F" w:rsidP="00EC408F">
      <w:pPr>
        <w:pStyle w:val="Punktatory1"/>
      </w:pPr>
      <w:r w:rsidRPr="001D200B">
        <w:t>kotłowni lokalnych</w:t>
      </w:r>
      <w:r w:rsidR="00B517B8" w:rsidRPr="001D200B">
        <w:t xml:space="preserve"> małych mocy</w:t>
      </w:r>
      <w:r w:rsidRPr="001D200B">
        <w:t>,</w:t>
      </w:r>
    </w:p>
    <w:p w:rsidR="00E41D7E" w:rsidRPr="001D200B" w:rsidRDefault="000355F0" w:rsidP="00F21741">
      <w:pPr>
        <w:pStyle w:val="Punktatory1"/>
      </w:pPr>
      <w:r w:rsidRPr="001D200B">
        <w:t>indywidualnych</w:t>
      </w:r>
      <w:r w:rsidR="004050D6" w:rsidRPr="001D200B">
        <w:t>,</w:t>
      </w:r>
      <w:r w:rsidRPr="001D200B">
        <w:t xml:space="preserve"> instalacjach grzewczych</w:t>
      </w:r>
      <w:r w:rsidR="00A231B2" w:rsidRPr="001D200B">
        <w:t xml:space="preserve"> postaci: </w:t>
      </w:r>
      <w:r w:rsidR="004050D6" w:rsidRPr="001D200B">
        <w:t xml:space="preserve">wbudowane </w:t>
      </w:r>
      <w:r w:rsidR="00A231B2" w:rsidRPr="001D200B">
        <w:t>kotłownie centralnego ogrzewania</w:t>
      </w:r>
      <w:r w:rsidR="004050D6" w:rsidRPr="001D200B">
        <w:t xml:space="preserve"> oraz trzony piecowe</w:t>
      </w:r>
      <w:r w:rsidR="00A231B2" w:rsidRPr="001D200B">
        <w:t xml:space="preserve">. </w:t>
      </w:r>
      <w:r w:rsidR="00B7698D" w:rsidRPr="001D200B">
        <w:t>Głównym paliwem wykorzystywanym w zabudowie mieszkaniowej</w:t>
      </w:r>
      <w:r w:rsidR="00B517B8" w:rsidRPr="001D200B">
        <w:t xml:space="preserve"> znajdującej się poza zasięgiem </w:t>
      </w:r>
      <w:r w:rsidR="00833CBF" w:rsidRPr="001D200B">
        <w:t>sieci ciepłowniczej i gazowej</w:t>
      </w:r>
      <w:r w:rsidR="00B7698D" w:rsidRPr="001D200B">
        <w:t xml:space="preserve"> jest węgiel kamienny oraz drewno.</w:t>
      </w:r>
    </w:p>
    <w:p w:rsidR="00833CBF" w:rsidRPr="001D200B" w:rsidRDefault="006E46BA" w:rsidP="006E46BA">
      <w:pPr>
        <w:rPr>
          <w:rFonts w:cstheme="minorHAnsi"/>
        </w:rPr>
      </w:pPr>
      <w:r w:rsidRPr="001D200B">
        <w:rPr>
          <w:rFonts w:cstheme="minorHAnsi"/>
        </w:rPr>
        <w:t>Dostawc</w:t>
      </w:r>
      <w:r w:rsidR="00B7698D" w:rsidRPr="001D200B">
        <w:rPr>
          <w:rFonts w:cstheme="minorHAnsi"/>
        </w:rPr>
        <w:t>a</w:t>
      </w:r>
      <w:r w:rsidRPr="001D200B">
        <w:rPr>
          <w:rFonts w:cstheme="minorHAnsi"/>
        </w:rPr>
        <w:t xml:space="preserve"> ciepła systemowego dysponuj</w:t>
      </w:r>
      <w:r w:rsidR="00B7698D" w:rsidRPr="001D200B">
        <w:rPr>
          <w:rFonts w:cstheme="minorHAnsi"/>
        </w:rPr>
        <w:t>e</w:t>
      </w:r>
      <w:r w:rsidRPr="001D200B">
        <w:rPr>
          <w:rFonts w:cstheme="minorHAnsi"/>
        </w:rPr>
        <w:t xml:space="preserve"> rezerwami mocy cieplnej pozwalającymi na podłączenia nowych odbiorców. </w:t>
      </w:r>
      <w:r w:rsidR="00833CBF" w:rsidRPr="001D200B">
        <w:rPr>
          <w:rFonts w:cstheme="minorHAnsi"/>
        </w:rPr>
        <w:t xml:space="preserve">Elementem systemu ciepłowniczego miasta, wymagającym podjęcia pilnych inwestycji jest Magistrala Przesyłowa dn 300 wykonana w technologii kanałowej, przyczyniająca się do nadmiernych strat energii cieplnej na przesyle. </w:t>
      </w:r>
    </w:p>
    <w:p w:rsidR="0053793C" w:rsidRPr="001D200B" w:rsidRDefault="006E46BA" w:rsidP="006E46BA">
      <w:pPr>
        <w:rPr>
          <w:rFonts w:cstheme="minorHAnsi"/>
        </w:rPr>
      </w:pPr>
      <w:r w:rsidRPr="001D200B">
        <w:rPr>
          <w:rFonts w:cstheme="minorHAnsi"/>
        </w:rPr>
        <w:t xml:space="preserve">W rejonach, gdzie istnieje sieć ciepłownicza, należy podjąć działania umożliwiające podłączenie do istniejącej sieci nowych odbiorców. </w:t>
      </w:r>
    </w:p>
    <w:p w:rsidR="00917DC6" w:rsidRPr="001D200B" w:rsidRDefault="00917DC6" w:rsidP="00917DC6">
      <w:r w:rsidRPr="001D200B">
        <w:t xml:space="preserve">Sektor budownictwa mieszkaniowego jest największym użytkownikiem ciepła w gminie, jednocześnie posiada największe możliwości redukcji potrzeb cieplnych za pomocą działań termomodernizacyjnych. Biorąc pod uwagę wiek istniejących zasobów mieszkaniowych oraz stopień dotychczas przeprowadzonych działań termomodernizacyjnych przyjęto średnie oszczędności ciepła na poziomie ok. 8% do 2035 roku. </w:t>
      </w:r>
    </w:p>
    <w:p w:rsidR="00947101" w:rsidRPr="001D200B" w:rsidRDefault="00947101" w:rsidP="00947101">
      <w:pPr>
        <w:rPr>
          <w:rFonts w:eastAsia="ArialMT"/>
        </w:rPr>
      </w:pPr>
      <w:r w:rsidRPr="001D200B">
        <w:rPr>
          <w:rFonts w:eastAsia="ArialMT"/>
        </w:rPr>
        <w:t xml:space="preserve">Aktualne zapotrzebowanie na moc cieplną wynosi ok. 43,1 MW, a roczne zużycie energii cieplnej przyjmuje szacunkowy wskaźnik ok. 311 TJ. </w:t>
      </w:r>
    </w:p>
    <w:p w:rsidR="00947101" w:rsidRPr="001D200B" w:rsidRDefault="00947101" w:rsidP="00947101">
      <w:pPr>
        <w:rPr>
          <w:snapToGrid w:val="0"/>
        </w:rPr>
      </w:pPr>
      <w:r w:rsidRPr="001D200B">
        <w:t>Założono, iż w przeciągu najbliższych lat nie nastąpią gwałtowne zmiany w wymaganej mocy źródeł ciepła, ani w przewidywanym zużyciu energii cieplnej. Zapotrzebowanie na moc cieplną będzie wzrastać w wyniku powstawania nowej zabudowy, jednocześnie wzrost ilości odbiorców będzie kompensowany wzrostem efektywności wykorzystania tej energii – w oszacowaniu zmian potrzeb cieplnych w perspektywie do 2035 roku uwzględniono działania termomodernizacyjne. Rosnące ceny nośników energii, zanieczyszczenie powietrza wpływają na intensyfikację działań zmniejszających ilość zużywanej energii konwencjonalnej.</w:t>
      </w:r>
    </w:p>
    <w:p w:rsidR="00ED0E29" w:rsidRPr="001D200B" w:rsidRDefault="00ED0E29" w:rsidP="00ED0E29">
      <w:pPr>
        <w:pStyle w:val="Nagwek2"/>
        <w:rPr>
          <w:rFonts w:cstheme="minorHAnsi"/>
        </w:rPr>
      </w:pPr>
      <w:bookmarkStart w:id="110" w:name="_Toc31972859"/>
      <w:r w:rsidRPr="001D200B">
        <w:rPr>
          <w:rFonts w:cstheme="minorHAnsi"/>
        </w:rPr>
        <w:t xml:space="preserve">3. </w:t>
      </w:r>
      <w:r w:rsidR="003F13F1" w:rsidRPr="001D200B">
        <w:rPr>
          <w:rFonts w:cstheme="minorHAnsi"/>
        </w:rPr>
        <w:t>Z</w:t>
      </w:r>
      <w:r w:rsidRPr="001D200B">
        <w:rPr>
          <w:rFonts w:cstheme="minorHAnsi"/>
        </w:rPr>
        <w:t>aopatrzenie w energię elektryczną</w:t>
      </w:r>
      <w:bookmarkEnd w:id="110"/>
      <w:r w:rsidRPr="001D200B">
        <w:rPr>
          <w:rFonts w:cstheme="minorHAnsi"/>
        </w:rPr>
        <w:t xml:space="preserve"> </w:t>
      </w:r>
    </w:p>
    <w:p w:rsidR="009F12D0" w:rsidRPr="001D200B" w:rsidRDefault="009F12D0" w:rsidP="009F12D0">
      <w:pPr>
        <w:rPr>
          <w:rFonts w:cstheme="minorHAnsi"/>
        </w:rPr>
      </w:pPr>
      <w:r w:rsidRPr="001D200B">
        <w:rPr>
          <w:rFonts w:cstheme="minorHAnsi"/>
        </w:rPr>
        <w:t xml:space="preserve">Gminę Połaniec charakteryzuje wysoka gęstością elektroenergetycznych powiązań sieciowych, co wynika z usytuowania na tym elektrowni największej w południowo –wschodniej Polsce elektrowni systemowej – Elektrownia </w:t>
      </w:r>
      <w:r w:rsidR="008A3EDD" w:rsidRPr="001D200B">
        <w:rPr>
          <w:rFonts w:cstheme="minorHAnsi"/>
        </w:rPr>
        <w:t xml:space="preserve">Enea </w:t>
      </w:r>
      <w:r w:rsidRPr="001D200B">
        <w:rPr>
          <w:rFonts w:cstheme="minorHAnsi"/>
        </w:rPr>
        <w:t>Połaniec S</w:t>
      </w:r>
      <w:r w:rsidR="008A3EDD" w:rsidRPr="001D200B">
        <w:rPr>
          <w:rFonts w:cstheme="minorHAnsi"/>
        </w:rPr>
        <w:t>.</w:t>
      </w:r>
      <w:r w:rsidRPr="001D200B">
        <w:rPr>
          <w:rFonts w:cstheme="minorHAnsi"/>
        </w:rPr>
        <w:t>A</w:t>
      </w:r>
      <w:r w:rsidR="008A3EDD" w:rsidRPr="001D200B">
        <w:rPr>
          <w:rFonts w:cstheme="minorHAnsi"/>
        </w:rPr>
        <w:t>.</w:t>
      </w:r>
      <w:r w:rsidRPr="001D200B">
        <w:rPr>
          <w:rFonts w:cstheme="minorHAnsi"/>
        </w:rPr>
        <w:t xml:space="preserve"> </w:t>
      </w:r>
    </w:p>
    <w:p w:rsidR="009F12D0" w:rsidRPr="001D200B" w:rsidRDefault="009F12D0" w:rsidP="009F12D0">
      <w:pPr>
        <w:rPr>
          <w:rFonts w:cstheme="minorHAnsi"/>
        </w:rPr>
      </w:pPr>
      <w:r w:rsidRPr="001D200B">
        <w:rPr>
          <w:rFonts w:cstheme="minorHAnsi"/>
        </w:rPr>
        <w:lastRenderedPageBreak/>
        <w:t>Przez teren gminy przebiegają napowietrzne linie elektroenergetyczne najwyższego napięcia (400kV, 220kV), będące własnością Polskich Sieci Elektroenergetycznych (PSE) Operator S.A., oraz napowietrzne linie wysokiego napięcia (110kV) eksploatowane przez PGE Dystrybucja S.A. Ponadto na terenie gminy znajdują się linie elektroenergetyczne 110kV eksploato</w:t>
      </w:r>
      <w:r w:rsidR="008A3EDD" w:rsidRPr="001D200B">
        <w:rPr>
          <w:rFonts w:cstheme="minorHAnsi"/>
        </w:rPr>
        <w:t>wane przez Elektrownię Połaniec.</w:t>
      </w:r>
      <w:r w:rsidRPr="001D200B">
        <w:rPr>
          <w:rFonts w:cstheme="minorHAnsi"/>
        </w:rPr>
        <w:t xml:space="preserve"> </w:t>
      </w:r>
    </w:p>
    <w:p w:rsidR="009F12D0" w:rsidRPr="001D200B" w:rsidRDefault="008A3EDD" w:rsidP="007E7DA7">
      <w:pPr>
        <w:rPr>
          <w:highlight w:val="yellow"/>
        </w:rPr>
      </w:pPr>
      <w:r w:rsidRPr="001D200B">
        <w:t xml:space="preserve">Dystrybucja energii elektrycznej na terenie gminy </w:t>
      </w:r>
      <w:r w:rsidR="0012422D" w:rsidRPr="001D200B">
        <w:t>Połaniec</w:t>
      </w:r>
      <w:r w:rsidRPr="001D200B">
        <w:t xml:space="preserve"> prowadzona jest z sieci zakładu energetycznego – PGE Dystrybucja S.A. Oddział Rzeszów.</w:t>
      </w:r>
    </w:p>
    <w:p w:rsidR="007E6DD5" w:rsidRPr="001D200B" w:rsidRDefault="007E6DD5" w:rsidP="00AC63D5">
      <w:pPr>
        <w:rPr>
          <w:rFonts w:eastAsia="ArialMT"/>
        </w:rPr>
      </w:pPr>
      <w:r w:rsidRPr="001D200B">
        <w:t>Istniejący system zasilania w energię elektryczną zapewnia pokrycie obecnych potrzeb energetycznych przedmiotowego obszaru. Stopniowy wzrost obciążenia sieci i rozwój przestrzenny gminy powoduje, że rozbudowa sieci średniego i niskiego napięcia oraz stacji transformatorowych 15/0,4 kV jest niezbędna dla zaspokojenia perspektywicznych potrzeb zasilania. Sukcesywna modernizacja i rozbudowa układu zasilania elektroenergetycznego jest uwzględniana w planach rozwoju zakładu energetycznego</w:t>
      </w:r>
      <w:r w:rsidRPr="001D200B">
        <w:rPr>
          <w:rFonts w:eastAsia="ArialMT"/>
        </w:rPr>
        <w:t xml:space="preserve">. </w:t>
      </w:r>
    </w:p>
    <w:p w:rsidR="00170028" w:rsidRPr="001D200B" w:rsidRDefault="00170028" w:rsidP="00170028">
      <w:r w:rsidRPr="001D200B">
        <w:t xml:space="preserve">Energia elektryczna w obszarze gminy wykorzystywana jest głównie do celów socjalno – bytowych oraz do celów technologicznych prosperujących tu zakładów produkcyjnych. Aktualnie wysoka cena energii elektrycznej nie sprzyja wykorzystaniu jej na cele grzewcze. </w:t>
      </w:r>
    </w:p>
    <w:p w:rsidR="00170028" w:rsidRPr="001D200B" w:rsidRDefault="00170028" w:rsidP="00170028">
      <w:r w:rsidRPr="001D200B">
        <w:t>Największy potencjał racjonalizacji użytkowania energii elektrycznej jest po stronie najliczniejszej grupy odbiorców, tj. gospodarstw domowych.</w:t>
      </w:r>
    </w:p>
    <w:p w:rsidR="00170028" w:rsidRPr="001D200B" w:rsidRDefault="00170028" w:rsidP="00170028">
      <w:r w:rsidRPr="001D200B">
        <w:t>Powszechna świadomość i dostęp do informacji o energooszczędnych urządzeniach elektroenergetycznych to główny kierunek zracjonalizowania wielkości zużycia energii elektrycznej, a tym samym ograniczenia jej kosztów. Proces obniżenia wielkości zużycia energii elektrycznej dla celów komunalno-bytowych będzie w dłuższej perspektywie czasu kompensowany wzrostem zużycia ze względu na wzrastającą ilość urządzeń elektrycznych w gospodarstwach domowych, pomimo spadku ich energochłonności.</w:t>
      </w:r>
    </w:p>
    <w:p w:rsidR="003F13F1" w:rsidRPr="001D200B" w:rsidRDefault="00ED0E29" w:rsidP="00ED0E29">
      <w:pPr>
        <w:pStyle w:val="Nagwek2"/>
        <w:rPr>
          <w:rFonts w:cstheme="minorHAnsi"/>
        </w:rPr>
      </w:pPr>
      <w:bookmarkStart w:id="111" w:name="_Toc31972860"/>
      <w:r w:rsidRPr="001D200B">
        <w:rPr>
          <w:rFonts w:cstheme="minorHAnsi"/>
        </w:rPr>
        <w:t>4. Zaopatrzenie w gaz</w:t>
      </w:r>
      <w:bookmarkEnd w:id="111"/>
    </w:p>
    <w:p w:rsidR="00B34E72" w:rsidRPr="001D200B" w:rsidRDefault="00B34E72" w:rsidP="00B34E72">
      <w:r w:rsidRPr="001D200B">
        <w:t xml:space="preserve">Na terenie gminy Połaniec funkcjonuje system sieciowego zaopatrzenia w gaz ziemny wysokometanowy, który rozprowadzany jest przez Przedsiębiorstwo Gazownicze – Polska Spółka Gazownictwa sp. z o.o. Oddział Zakład Gazowniczy w Kielcach. </w:t>
      </w:r>
    </w:p>
    <w:p w:rsidR="00F40449" w:rsidRPr="001D200B" w:rsidRDefault="00F40449" w:rsidP="00F40449">
      <w:r w:rsidRPr="001D200B">
        <w:rPr>
          <w:rFonts w:cstheme="minorHAnsi"/>
        </w:rPr>
        <w:t xml:space="preserve">System zasilania oparty jest o gazociąg dystrybucyjny relacji Staszów – Połaniec poprzez stację redukcyjno pomiarową I-go stopnia Q 3000 w miejscowości Staszów. </w:t>
      </w:r>
    </w:p>
    <w:p w:rsidR="008071FA" w:rsidRPr="001D200B" w:rsidRDefault="008071FA" w:rsidP="008071FA">
      <w:r w:rsidRPr="001D200B">
        <w:t>Obecnie niespełna 2% ludności gminy korzysta z sieci gazowej. Wysoki jest jednak w tej grupie wskaźnik wykorzystania gazu ziemnego do celów grzewczych mieszkań.</w:t>
      </w:r>
    </w:p>
    <w:p w:rsidR="008071FA" w:rsidRPr="001D200B" w:rsidRDefault="008071FA" w:rsidP="008071FA">
      <w:r w:rsidRPr="001D200B">
        <w:t xml:space="preserve">Za czynnik decydujący o przystąpieniu do działań inwestycyjnych w zakresie rozwoju sieci gazowej uznaje się możliwości techniczne gazociągu, zainteresowanie społeczne </w:t>
      </w:r>
      <w:r w:rsidRPr="001D200B">
        <w:lastRenderedPageBreak/>
        <w:t xml:space="preserve">przyłączeniem do sieci, w tym wykorzystania gazu sieciowego do ogrzewania mieszkań oraz aprobata przewidywanych kosztów. </w:t>
      </w:r>
    </w:p>
    <w:p w:rsidR="008071FA" w:rsidRPr="001D200B" w:rsidRDefault="008071FA" w:rsidP="008071FA">
      <w:r w:rsidRPr="001D200B">
        <w:t>Mieszkańcy gminy zarówno w celach socjalno-bytowych, jak i w niewielkim stopniu w celach grzewczych korzystają z gazu płynnego LPG. Z uwagi na możliwość zakupu gazu propan – butan w różnych punktach dystrybucji nie prowadzi się ewidencji tego nośnika ciepła.</w:t>
      </w:r>
    </w:p>
    <w:p w:rsidR="00BB644E" w:rsidRPr="001D200B" w:rsidRDefault="00BB644E" w:rsidP="00EB7DC8">
      <w:pPr>
        <w:rPr>
          <w:rFonts w:cstheme="minorHAnsi"/>
          <w:b/>
          <w:bCs/>
          <w:sz w:val="26"/>
          <w:highlight w:val="yellow"/>
        </w:rPr>
      </w:pPr>
    </w:p>
    <w:p w:rsidR="00BB644E" w:rsidRPr="001D200B" w:rsidRDefault="00BB644E" w:rsidP="00EB7DC8">
      <w:pPr>
        <w:rPr>
          <w:rFonts w:cstheme="minorHAnsi"/>
          <w:b/>
          <w:bCs/>
          <w:sz w:val="26"/>
          <w:highlight w:val="yellow"/>
        </w:rPr>
        <w:sectPr w:rsidR="00BB644E" w:rsidRPr="001D200B" w:rsidSect="00DE1BA8">
          <w:pgSz w:w="11906" w:h="16838"/>
          <w:pgMar w:top="1418" w:right="1418" w:bottom="1418" w:left="1418" w:header="709" w:footer="709" w:gutter="0"/>
          <w:cols w:space="708"/>
          <w:docGrid w:linePitch="360"/>
        </w:sectPr>
      </w:pPr>
    </w:p>
    <w:p w:rsidR="00C5364E" w:rsidRPr="001D200B" w:rsidRDefault="00C5364E" w:rsidP="00C5364E">
      <w:pPr>
        <w:pStyle w:val="Nagwek1"/>
        <w:rPr>
          <w:rFonts w:cstheme="minorHAnsi"/>
        </w:rPr>
      </w:pPr>
      <w:bookmarkStart w:id="112" w:name="_Toc31972861"/>
      <w:r w:rsidRPr="001D200B">
        <w:rPr>
          <w:rFonts w:cstheme="minorHAnsi"/>
        </w:rPr>
        <w:lastRenderedPageBreak/>
        <w:t>X. Wykaz materiałów wykorzystanych przy opracowaniu</w:t>
      </w:r>
      <w:bookmarkEnd w:id="112"/>
    </w:p>
    <w:p w:rsidR="00C5364E" w:rsidRPr="001D200B" w:rsidRDefault="00FD615E" w:rsidP="00C41EAB">
      <w:pPr>
        <w:pStyle w:val="Punktory"/>
        <w:spacing w:before="0" w:after="0" w:line="240" w:lineRule="auto"/>
        <w:rPr>
          <w:sz w:val="22"/>
          <w:szCs w:val="22"/>
          <w:lang w:val="pl-PL"/>
        </w:rPr>
      </w:pPr>
      <w:r w:rsidRPr="001D200B">
        <w:rPr>
          <w:sz w:val="22"/>
          <w:szCs w:val="22"/>
          <w:lang w:val="pl-PL"/>
        </w:rPr>
        <w:t>Plan Gospodarki Niskoemisyjnej dla Gminy Połaniec,</w:t>
      </w:r>
    </w:p>
    <w:p w:rsidR="00FD615E" w:rsidRPr="001D200B" w:rsidRDefault="00FD615E" w:rsidP="00C41EAB">
      <w:pPr>
        <w:pStyle w:val="Punktory"/>
        <w:spacing w:before="0" w:after="0" w:line="240" w:lineRule="auto"/>
        <w:rPr>
          <w:sz w:val="22"/>
          <w:szCs w:val="22"/>
          <w:lang w:val="pl-PL"/>
        </w:rPr>
      </w:pPr>
      <w:r w:rsidRPr="001D200B">
        <w:rPr>
          <w:sz w:val="22"/>
          <w:szCs w:val="22"/>
          <w:lang w:val="pl-PL"/>
        </w:rPr>
        <w:t>Baza danych do Planu Gospodarki Niskoemisyjnej dla Gminy Połaniec,</w:t>
      </w:r>
    </w:p>
    <w:p w:rsidR="00FD615E" w:rsidRPr="001D200B" w:rsidRDefault="00FD615E" w:rsidP="00C41EAB">
      <w:pPr>
        <w:pStyle w:val="Punktory"/>
        <w:spacing w:before="0" w:after="0" w:line="240" w:lineRule="auto"/>
        <w:rPr>
          <w:sz w:val="22"/>
          <w:szCs w:val="22"/>
          <w:lang w:val="pl-PL"/>
        </w:rPr>
      </w:pPr>
      <w:r w:rsidRPr="001D200B">
        <w:rPr>
          <w:sz w:val="22"/>
          <w:szCs w:val="22"/>
          <w:lang w:val="pl-PL"/>
        </w:rPr>
        <w:t>Studium uwarunkowań i kierunków zagospodarowania przestrzennego gminy Połaniec</w:t>
      </w:r>
      <w:r w:rsidR="00C41EAB" w:rsidRPr="001D200B">
        <w:rPr>
          <w:sz w:val="22"/>
          <w:szCs w:val="22"/>
          <w:lang w:val="pl-PL"/>
        </w:rPr>
        <w:t>, czerwiec 2016r.;</w:t>
      </w:r>
    </w:p>
    <w:p w:rsidR="00C41EAB" w:rsidRPr="001D200B" w:rsidRDefault="00C41EAB" w:rsidP="00C41EAB">
      <w:pPr>
        <w:pStyle w:val="Punktory"/>
        <w:spacing w:before="0" w:after="0" w:line="240" w:lineRule="auto"/>
        <w:rPr>
          <w:rFonts w:cstheme="minorHAnsi"/>
          <w:sz w:val="22"/>
          <w:szCs w:val="22"/>
          <w:lang w:val="pl-PL"/>
        </w:rPr>
      </w:pPr>
      <w:r w:rsidRPr="001D200B">
        <w:rPr>
          <w:rFonts w:cstheme="minorHAnsi"/>
          <w:sz w:val="22"/>
          <w:szCs w:val="22"/>
          <w:lang w:val="pl-PL"/>
        </w:rPr>
        <w:t>Program Ochrony środowiska dla Ekologicznego Związku Gospodarki Odpadami Komunalnymi z siedzibą w Rzędowie na lata 2017-2020 z perspektywą do 2025r.;</w:t>
      </w:r>
    </w:p>
    <w:p w:rsidR="00C41EAB" w:rsidRPr="001D200B" w:rsidRDefault="00C41EAB" w:rsidP="00C41EAB">
      <w:pPr>
        <w:pStyle w:val="Punktory"/>
        <w:spacing w:before="0" w:after="0" w:line="240" w:lineRule="auto"/>
        <w:rPr>
          <w:rFonts w:cstheme="minorHAnsi"/>
          <w:sz w:val="22"/>
          <w:szCs w:val="22"/>
          <w:lang w:val="pl-PL"/>
        </w:rPr>
      </w:pPr>
      <w:r w:rsidRPr="001D200B">
        <w:rPr>
          <w:rFonts w:cstheme="minorHAnsi"/>
          <w:sz w:val="22"/>
          <w:szCs w:val="22"/>
          <w:lang w:val="pl-PL"/>
        </w:rPr>
        <w:t>Gminny Program Rewitalizacji dla Gminy Połaniec na lata 2016-2023, styczeń 2017r.;</w:t>
      </w:r>
    </w:p>
    <w:p w:rsidR="00C41EAB" w:rsidRPr="001D200B" w:rsidRDefault="00C41EAB" w:rsidP="00C41EAB">
      <w:pPr>
        <w:pStyle w:val="Punktory"/>
        <w:spacing w:before="0" w:after="0" w:line="240" w:lineRule="auto"/>
        <w:rPr>
          <w:rFonts w:cstheme="minorHAnsi"/>
          <w:sz w:val="22"/>
          <w:szCs w:val="22"/>
          <w:lang w:val="pl-PL"/>
        </w:rPr>
      </w:pPr>
      <w:r w:rsidRPr="001D200B">
        <w:rPr>
          <w:rFonts w:cstheme="minorHAnsi"/>
          <w:sz w:val="22"/>
          <w:szCs w:val="22"/>
          <w:lang w:val="pl-PL"/>
        </w:rPr>
        <w:t>Raport o stanie Gminy Połaniec w 2018 roku;</w:t>
      </w:r>
    </w:p>
    <w:p w:rsidR="00B34E72" w:rsidRPr="001D200B" w:rsidRDefault="00B34E72" w:rsidP="00C41EAB">
      <w:pPr>
        <w:pStyle w:val="Punktory"/>
        <w:spacing w:before="0" w:after="0" w:line="240" w:lineRule="auto"/>
        <w:rPr>
          <w:rFonts w:cstheme="minorHAnsi"/>
          <w:sz w:val="22"/>
          <w:szCs w:val="22"/>
          <w:lang w:val="pl-PL"/>
        </w:rPr>
      </w:pPr>
      <w:r w:rsidRPr="001D200B">
        <w:rPr>
          <w:sz w:val="22"/>
          <w:szCs w:val="22"/>
          <w:lang w:val="pl-PL"/>
        </w:rPr>
        <w:t xml:space="preserve">Aktualizacja Programu ochrony powietrza dla województwa świętokrzyskiego wraz z planem działań krótkoterminowych, </w:t>
      </w:r>
    </w:p>
    <w:p w:rsidR="00B34E72" w:rsidRPr="001D200B" w:rsidRDefault="00B34E72" w:rsidP="00C41EAB">
      <w:pPr>
        <w:pStyle w:val="Punktory"/>
        <w:spacing w:before="0" w:after="0" w:line="240" w:lineRule="auto"/>
        <w:rPr>
          <w:sz w:val="22"/>
          <w:szCs w:val="22"/>
          <w:lang w:val="pl-PL"/>
        </w:rPr>
      </w:pPr>
      <w:r w:rsidRPr="001D200B">
        <w:rPr>
          <w:sz w:val="22"/>
          <w:szCs w:val="22"/>
          <w:lang w:val="pl-PL"/>
        </w:rPr>
        <w:t>Plan zagospodarowania przestrzennego województwa świętokrzyskiego, wrzesień 2014r.;</w:t>
      </w:r>
    </w:p>
    <w:p w:rsidR="00B34E72" w:rsidRPr="001D200B" w:rsidRDefault="00B34E72" w:rsidP="00C41EAB">
      <w:pPr>
        <w:pStyle w:val="Punktory"/>
        <w:spacing w:before="0" w:after="0" w:line="240" w:lineRule="auto"/>
        <w:rPr>
          <w:sz w:val="22"/>
          <w:szCs w:val="22"/>
          <w:lang w:val="pl-PL"/>
        </w:rPr>
      </w:pPr>
      <w:r w:rsidRPr="001D200B">
        <w:rPr>
          <w:sz w:val="22"/>
          <w:szCs w:val="22"/>
          <w:lang w:val="pl-PL"/>
        </w:rPr>
        <w:t>Program ochrony środowiska dla województwa świętokrzyskiego na lata 2015-2020 z uwzględnieniem perspektywy do roku 2025, Kielce 2015r;</w:t>
      </w:r>
    </w:p>
    <w:p w:rsidR="00B34E72" w:rsidRPr="001D200B" w:rsidRDefault="00B34E72" w:rsidP="00C41EAB">
      <w:pPr>
        <w:pStyle w:val="Punktory"/>
        <w:spacing w:before="0" w:after="0" w:line="240" w:lineRule="auto"/>
        <w:rPr>
          <w:sz w:val="22"/>
          <w:szCs w:val="22"/>
          <w:lang w:val="pl-PL"/>
        </w:rPr>
      </w:pPr>
      <w:r w:rsidRPr="001D200B">
        <w:rPr>
          <w:sz w:val="22"/>
          <w:szCs w:val="22"/>
          <w:lang w:val="pl-PL"/>
        </w:rPr>
        <w:t>Regionalnego Programu Operacyjnego Województwa Świętokrzyskiego na lata 2014-2020;</w:t>
      </w:r>
    </w:p>
    <w:p w:rsidR="00B34E72" w:rsidRPr="001D200B" w:rsidRDefault="00B34E72" w:rsidP="00C41EAB">
      <w:pPr>
        <w:pStyle w:val="Punktory"/>
        <w:spacing w:before="0" w:after="0" w:line="240" w:lineRule="auto"/>
        <w:rPr>
          <w:sz w:val="22"/>
          <w:szCs w:val="22"/>
          <w:lang w:val="pl-PL"/>
        </w:rPr>
      </w:pPr>
      <w:r w:rsidRPr="001D200B">
        <w:rPr>
          <w:sz w:val="22"/>
          <w:szCs w:val="22"/>
          <w:lang w:val="pl-PL"/>
        </w:rPr>
        <w:t>Strategia Rozwoju Województwa Świętokrzyskiego do roku 2020, Kielce lipiec 2013r.;</w:t>
      </w:r>
    </w:p>
    <w:p w:rsidR="00B34E72" w:rsidRPr="001D200B" w:rsidRDefault="00B34E72" w:rsidP="00C41EAB">
      <w:pPr>
        <w:pStyle w:val="Punktory"/>
        <w:spacing w:before="0" w:after="0" w:line="240" w:lineRule="auto"/>
        <w:rPr>
          <w:sz w:val="22"/>
          <w:szCs w:val="22"/>
          <w:lang w:val="pl-PL"/>
        </w:rPr>
      </w:pPr>
      <w:r w:rsidRPr="001D200B">
        <w:rPr>
          <w:sz w:val="22"/>
          <w:szCs w:val="22"/>
          <w:lang w:val="pl-PL"/>
        </w:rPr>
        <w:t>Roczna ocena jakości powietrza w województwie świętokrzyskim. Raport wojewódzki za rok 2018. GIOŚ Departament Monitoringu Środowiska. Regionalny Wydziała Monitoringu Środowiska w Kielcach, kwiecień 2019r.;</w:t>
      </w:r>
    </w:p>
    <w:p w:rsidR="00B34E72" w:rsidRPr="001D200B" w:rsidRDefault="00B34E72" w:rsidP="00C41EAB">
      <w:pPr>
        <w:pStyle w:val="Punktory"/>
        <w:spacing w:before="0" w:after="0" w:line="240" w:lineRule="auto"/>
        <w:rPr>
          <w:sz w:val="22"/>
          <w:szCs w:val="22"/>
          <w:lang w:val="pl-PL"/>
        </w:rPr>
      </w:pPr>
      <w:r w:rsidRPr="001D200B">
        <w:rPr>
          <w:sz w:val="22"/>
          <w:szCs w:val="22"/>
          <w:lang w:val="pl-PL"/>
        </w:rPr>
        <w:t>Informacje od PGE Dystrybucja S.A. Oddział Rzeszów;</w:t>
      </w:r>
    </w:p>
    <w:p w:rsidR="00B34E72" w:rsidRPr="001D200B" w:rsidRDefault="00B34E72" w:rsidP="00C41EAB">
      <w:pPr>
        <w:pStyle w:val="Punktory"/>
        <w:spacing w:before="0" w:after="0" w:line="240" w:lineRule="auto"/>
        <w:rPr>
          <w:sz w:val="22"/>
          <w:szCs w:val="22"/>
          <w:lang w:val="pl-PL"/>
        </w:rPr>
      </w:pPr>
      <w:r w:rsidRPr="001D200B">
        <w:rPr>
          <w:sz w:val="22"/>
          <w:szCs w:val="22"/>
          <w:lang w:val="pl-PL"/>
        </w:rPr>
        <w:t>Informacje od Polskich Sieci Elektroenergetycznych S.A. Departament Eksploatacji Wydział Zarządzania Majątkiem Sieciowym Radom;</w:t>
      </w:r>
    </w:p>
    <w:p w:rsidR="00B34E72" w:rsidRPr="001D200B" w:rsidRDefault="00B34E72" w:rsidP="00C41EAB">
      <w:pPr>
        <w:pStyle w:val="Punktory"/>
        <w:spacing w:before="0" w:after="0" w:line="240" w:lineRule="auto"/>
        <w:rPr>
          <w:sz w:val="22"/>
          <w:szCs w:val="22"/>
          <w:lang w:val="pl-PL"/>
        </w:rPr>
      </w:pPr>
      <w:r w:rsidRPr="001D200B">
        <w:rPr>
          <w:sz w:val="22"/>
          <w:szCs w:val="22"/>
          <w:lang w:val="pl-PL"/>
        </w:rPr>
        <w:t>Informacje od Polskiej Spółki Gazownictwa sp. z o.o. Oddział Zakład Gazowniczy w Kielcach;</w:t>
      </w:r>
    </w:p>
    <w:p w:rsidR="00B34E72" w:rsidRPr="001D200B" w:rsidRDefault="00B34E72" w:rsidP="00C41EAB">
      <w:pPr>
        <w:pStyle w:val="Punktory"/>
        <w:spacing w:before="0" w:after="0" w:line="240" w:lineRule="auto"/>
        <w:rPr>
          <w:sz w:val="22"/>
          <w:szCs w:val="22"/>
          <w:lang w:val="pl-PL"/>
        </w:rPr>
      </w:pPr>
      <w:r w:rsidRPr="001D200B">
        <w:rPr>
          <w:sz w:val="22"/>
          <w:szCs w:val="22"/>
          <w:lang w:val="pl-PL"/>
        </w:rPr>
        <w:t>Informacje od PGNiG Obrót Detaliczny sp. z o.o. Centrala Spółki Departament Zakupu, Bilansowania Gazu i Energii Sekcja Sprawozdawczości;</w:t>
      </w:r>
    </w:p>
    <w:p w:rsidR="00B34E72" w:rsidRPr="001D200B" w:rsidRDefault="00B34E72" w:rsidP="00C41EAB">
      <w:pPr>
        <w:pStyle w:val="Punktory"/>
        <w:spacing w:before="0" w:after="0" w:line="240" w:lineRule="auto"/>
        <w:rPr>
          <w:sz w:val="22"/>
          <w:szCs w:val="22"/>
          <w:lang w:val="pl-PL"/>
        </w:rPr>
      </w:pPr>
      <w:r w:rsidRPr="001D200B">
        <w:rPr>
          <w:sz w:val="22"/>
          <w:szCs w:val="22"/>
          <w:lang w:val="pl-PL"/>
        </w:rPr>
        <w:t xml:space="preserve">Informacje od </w:t>
      </w:r>
      <w:r w:rsidR="00C41EAB" w:rsidRPr="001D200B">
        <w:rPr>
          <w:sz w:val="22"/>
          <w:szCs w:val="22"/>
          <w:lang w:val="pl-PL"/>
        </w:rPr>
        <w:t>Elektrowni Enea Połaniec S.A.</w:t>
      </w:r>
      <w:r w:rsidRPr="001D200B">
        <w:rPr>
          <w:sz w:val="22"/>
          <w:szCs w:val="22"/>
          <w:lang w:val="pl-PL"/>
        </w:rPr>
        <w:t>;</w:t>
      </w:r>
    </w:p>
    <w:p w:rsidR="00C41EAB" w:rsidRPr="001D200B" w:rsidRDefault="00C41EAB" w:rsidP="00C41EAB">
      <w:pPr>
        <w:pStyle w:val="Punktory"/>
        <w:spacing w:before="0" w:after="0" w:line="240" w:lineRule="auto"/>
        <w:rPr>
          <w:sz w:val="22"/>
          <w:szCs w:val="22"/>
          <w:lang w:val="pl-PL"/>
        </w:rPr>
      </w:pPr>
      <w:r w:rsidRPr="001D200B">
        <w:rPr>
          <w:sz w:val="22"/>
          <w:szCs w:val="22"/>
          <w:lang w:val="pl-PL"/>
        </w:rPr>
        <w:t>Informacje od PGK w Połańcu sp. z o.o.;</w:t>
      </w:r>
    </w:p>
    <w:p w:rsidR="00C41EAB" w:rsidRPr="001D200B" w:rsidRDefault="00C41EAB" w:rsidP="00C41EAB">
      <w:pPr>
        <w:pStyle w:val="Punktory"/>
        <w:spacing w:before="0" w:after="0" w:line="240" w:lineRule="auto"/>
        <w:rPr>
          <w:sz w:val="22"/>
          <w:szCs w:val="22"/>
          <w:lang w:val="pl-PL"/>
        </w:rPr>
      </w:pPr>
      <w:r w:rsidRPr="001D200B">
        <w:rPr>
          <w:sz w:val="22"/>
          <w:szCs w:val="22"/>
          <w:lang w:val="pl-PL"/>
        </w:rPr>
        <w:t>Informacje ze Starostwa Powiatowego w Staszowie;</w:t>
      </w:r>
    </w:p>
    <w:p w:rsidR="00C41EAB" w:rsidRPr="001D200B" w:rsidRDefault="00C41EAB" w:rsidP="00C41EAB">
      <w:pPr>
        <w:pStyle w:val="Punktory"/>
        <w:spacing w:before="0" w:after="0" w:line="240" w:lineRule="auto"/>
        <w:rPr>
          <w:sz w:val="22"/>
          <w:szCs w:val="22"/>
          <w:lang w:val="pl-PL"/>
        </w:rPr>
      </w:pPr>
      <w:r w:rsidRPr="001D200B">
        <w:rPr>
          <w:sz w:val="22"/>
          <w:szCs w:val="22"/>
          <w:lang w:val="pl-PL"/>
        </w:rPr>
        <w:t>Informacje Spółdzielni Mieszkaniowej „Połaniec”;</w:t>
      </w:r>
    </w:p>
    <w:p w:rsidR="00B34E72" w:rsidRPr="001D200B" w:rsidRDefault="00B34E72" w:rsidP="00C41EAB">
      <w:pPr>
        <w:pStyle w:val="Punktory"/>
        <w:spacing w:before="0" w:after="0" w:line="240" w:lineRule="auto"/>
        <w:rPr>
          <w:sz w:val="22"/>
          <w:szCs w:val="22"/>
          <w:lang w:val="pl-PL"/>
        </w:rPr>
      </w:pPr>
      <w:r w:rsidRPr="001D200B">
        <w:rPr>
          <w:sz w:val="22"/>
          <w:szCs w:val="22"/>
          <w:lang w:val="pl-PL"/>
        </w:rPr>
        <w:t>Informacje od Głównego Inspektoratu Ochrony Środowiska Department Monitoringu Środowiska Regionalny Wydział Monitoringu Środowiska w Kielcach;</w:t>
      </w:r>
    </w:p>
    <w:p w:rsidR="00B34E72" w:rsidRPr="001D200B" w:rsidRDefault="00B34E72" w:rsidP="00C41EAB">
      <w:pPr>
        <w:pStyle w:val="Punktory"/>
        <w:spacing w:before="0" w:after="0" w:line="240" w:lineRule="auto"/>
        <w:rPr>
          <w:sz w:val="22"/>
          <w:szCs w:val="22"/>
          <w:lang w:val="pl-PL"/>
        </w:rPr>
      </w:pPr>
      <w:r w:rsidRPr="001D200B">
        <w:rPr>
          <w:sz w:val="22"/>
          <w:szCs w:val="22"/>
          <w:lang w:val="pl-PL"/>
        </w:rPr>
        <w:t>Pomiary oraz analiza pola wiatru dla potrzeb energetycznych, Instytut Geofizyki Uniwersytetu Warszawskiego;</w:t>
      </w:r>
    </w:p>
    <w:p w:rsidR="00B34E72" w:rsidRPr="001D200B" w:rsidRDefault="00B34E72" w:rsidP="00C41EAB">
      <w:pPr>
        <w:pStyle w:val="Punktory"/>
        <w:spacing w:before="0" w:after="0" w:line="240" w:lineRule="auto"/>
        <w:rPr>
          <w:sz w:val="22"/>
          <w:szCs w:val="22"/>
          <w:lang w:val="pl-PL"/>
        </w:rPr>
      </w:pPr>
      <w:r w:rsidRPr="001D200B">
        <w:rPr>
          <w:sz w:val="22"/>
          <w:szCs w:val="22"/>
          <w:lang w:val="pl-PL"/>
        </w:rPr>
        <w:t>Polityka energetyczna Polski do 2030 roku, Ministerstwo Gospodarki, Warszawa 2009r.;</w:t>
      </w:r>
    </w:p>
    <w:p w:rsidR="00B34E72" w:rsidRPr="001D200B" w:rsidRDefault="00B34E72" w:rsidP="00C41EAB">
      <w:pPr>
        <w:pStyle w:val="Punktory"/>
        <w:spacing w:before="0" w:after="0" w:line="240" w:lineRule="auto"/>
        <w:rPr>
          <w:sz w:val="22"/>
          <w:szCs w:val="22"/>
          <w:lang w:val="pl-PL"/>
        </w:rPr>
      </w:pPr>
      <w:r w:rsidRPr="001D200B">
        <w:rPr>
          <w:sz w:val="22"/>
          <w:szCs w:val="22"/>
          <w:lang w:val="pl-PL"/>
        </w:rPr>
        <w:t>Projekt Polityki energetycznej Polski do 2040 roku (PEP 2040), Ministerstwo Energii, Warszawa 2018;</w:t>
      </w:r>
    </w:p>
    <w:p w:rsidR="00B34E72" w:rsidRPr="001D200B" w:rsidRDefault="00B34E72" w:rsidP="00C41EAB">
      <w:pPr>
        <w:pStyle w:val="Punktory"/>
        <w:spacing w:before="0" w:after="0" w:line="240" w:lineRule="auto"/>
        <w:rPr>
          <w:sz w:val="22"/>
          <w:szCs w:val="22"/>
          <w:lang w:val="pl-PL"/>
        </w:rPr>
      </w:pPr>
      <w:r w:rsidRPr="001D200B">
        <w:rPr>
          <w:sz w:val="22"/>
          <w:szCs w:val="22"/>
          <w:lang w:val="pl-PL"/>
        </w:rPr>
        <w:t>Wnioski z analiz prognostycznych na potrzeby Polityki energetycznej Polski do 2050 roku, Warszawa, sierpień 2014r.;</w:t>
      </w:r>
    </w:p>
    <w:p w:rsidR="00B34E72" w:rsidRPr="001D200B" w:rsidRDefault="00B34E72" w:rsidP="00C41EAB">
      <w:pPr>
        <w:pStyle w:val="Punktory"/>
        <w:spacing w:before="0" w:after="0" w:line="240" w:lineRule="auto"/>
        <w:rPr>
          <w:sz w:val="22"/>
          <w:szCs w:val="22"/>
          <w:lang w:val="pl-PL"/>
        </w:rPr>
      </w:pPr>
      <w:r w:rsidRPr="001D200B">
        <w:rPr>
          <w:sz w:val="22"/>
          <w:szCs w:val="22"/>
          <w:lang w:val="pl-PL"/>
        </w:rPr>
        <w:t>Prognoza zapotrzebowania na paliwa i energię do 2030 roku, Agencja Rynku Energii S.A.,</w:t>
      </w:r>
    </w:p>
    <w:p w:rsidR="00B34E72" w:rsidRPr="001D200B" w:rsidRDefault="00B34E72" w:rsidP="00C41EAB">
      <w:pPr>
        <w:pStyle w:val="Punktory"/>
        <w:spacing w:before="0" w:after="0" w:line="240" w:lineRule="auto"/>
        <w:rPr>
          <w:sz w:val="22"/>
          <w:szCs w:val="22"/>
          <w:lang w:val="pl-PL"/>
        </w:rPr>
      </w:pPr>
      <w:r w:rsidRPr="001D200B">
        <w:rPr>
          <w:sz w:val="22"/>
          <w:szCs w:val="22"/>
          <w:lang w:val="pl-PL"/>
        </w:rPr>
        <w:t>Ekonomiczne i prawne aspekty wykorzystania odnawialnych źródeł energii w Polsce – praca badawcza - Europejskie Centrum Energii Odnawialnej;</w:t>
      </w:r>
    </w:p>
    <w:p w:rsidR="00B34E72" w:rsidRPr="001D200B" w:rsidRDefault="00B34E72" w:rsidP="00C41EAB">
      <w:pPr>
        <w:pStyle w:val="Punktory"/>
        <w:spacing w:before="0" w:after="0" w:line="240" w:lineRule="auto"/>
        <w:rPr>
          <w:sz w:val="22"/>
          <w:szCs w:val="22"/>
          <w:lang w:val="pl-PL"/>
        </w:rPr>
      </w:pPr>
      <w:r w:rsidRPr="001D200B">
        <w:rPr>
          <w:sz w:val="22"/>
          <w:szCs w:val="22"/>
          <w:lang w:val="pl-PL"/>
        </w:rPr>
        <w:t>Centrum Alternatywnych Źródeł Energii. Internetowy Serwer Elektryków;</w:t>
      </w:r>
    </w:p>
    <w:p w:rsidR="00B34E72" w:rsidRPr="001D200B" w:rsidRDefault="00B34E72" w:rsidP="00C41EAB">
      <w:pPr>
        <w:pStyle w:val="Punktory"/>
        <w:spacing w:before="0" w:after="0" w:line="240" w:lineRule="auto"/>
        <w:rPr>
          <w:rFonts w:cstheme="minorHAnsi"/>
          <w:sz w:val="22"/>
          <w:szCs w:val="22"/>
          <w:lang w:val="pl-PL"/>
        </w:rPr>
      </w:pPr>
      <w:r w:rsidRPr="001D200B">
        <w:rPr>
          <w:sz w:val="22"/>
          <w:szCs w:val="22"/>
          <w:lang w:val="pl-PL"/>
        </w:rPr>
        <w:t>Linie średniego napięcia w aspekcie awaryjności oraz problemów formalno – technicznych, A. Arciszewski, J.J. Zawodniak, Prace Instytutu Elektrotechniki, zeszyt 247, 2010;</w:t>
      </w:r>
    </w:p>
    <w:p w:rsidR="00B34E72" w:rsidRPr="001D200B" w:rsidRDefault="00B34E72" w:rsidP="00C41EAB">
      <w:pPr>
        <w:pStyle w:val="Punktory"/>
        <w:spacing w:before="0" w:after="0" w:line="240" w:lineRule="auto"/>
        <w:rPr>
          <w:sz w:val="22"/>
          <w:szCs w:val="22"/>
          <w:lang w:val="pl-PL"/>
        </w:rPr>
      </w:pPr>
      <w:r w:rsidRPr="001D200B">
        <w:rPr>
          <w:sz w:val="22"/>
          <w:szCs w:val="22"/>
          <w:lang w:val="pl-PL"/>
        </w:rPr>
        <w:t>Miesięcznik „Energia i Budynek”, Zrzeszenie Audytorów Energetycznych;</w:t>
      </w:r>
    </w:p>
    <w:p w:rsidR="00B34E72" w:rsidRPr="001D200B" w:rsidRDefault="00B34E72" w:rsidP="00C41EAB">
      <w:pPr>
        <w:pStyle w:val="Punktory"/>
        <w:spacing w:before="0" w:after="0" w:line="240" w:lineRule="auto"/>
        <w:rPr>
          <w:sz w:val="22"/>
          <w:szCs w:val="22"/>
          <w:lang w:val="pl-PL"/>
        </w:rPr>
      </w:pPr>
      <w:r w:rsidRPr="001D200B">
        <w:rPr>
          <w:sz w:val="22"/>
          <w:szCs w:val="22"/>
          <w:lang w:val="pl-PL"/>
        </w:rPr>
        <w:t>Wyniki Narodowego Spisu Powszechnego Ludności i Mieszkań;</w:t>
      </w:r>
    </w:p>
    <w:p w:rsidR="00B34E72" w:rsidRPr="001D200B" w:rsidRDefault="00B34E72" w:rsidP="00916C39">
      <w:pPr>
        <w:pStyle w:val="Punktory"/>
        <w:spacing w:before="0" w:after="0" w:line="240" w:lineRule="auto"/>
        <w:jc w:val="left"/>
        <w:rPr>
          <w:rFonts w:cstheme="minorHAnsi"/>
        </w:rPr>
      </w:pPr>
      <w:r w:rsidRPr="001D200B">
        <w:rPr>
          <w:sz w:val="22"/>
          <w:szCs w:val="22"/>
          <w:lang w:val="pl-PL"/>
        </w:rPr>
        <w:t>Wyniku Powszechnego Spisu Rolnego 2002 i 2010</w:t>
      </w:r>
      <w:r w:rsidR="00C41EAB" w:rsidRPr="001D200B">
        <w:rPr>
          <w:sz w:val="22"/>
          <w:szCs w:val="22"/>
          <w:lang w:val="pl-PL"/>
        </w:rPr>
        <w:t>.</w:t>
      </w:r>
      <w:r w:rsidRPr="001D200B">
        <w:rPr>
          <w:rFonts w:cstheme="minorHAnsi"/>
        </w:rPr>
        <w:br w:type="page"/>
      </w:r>
    </w:p>
    <w:p w:rsidR="009162AE" w:rsidRPr="001D200B" w:rsidRDefault="009162AE" w:rsidP="009162AE">
      <w:pPr>
        <w:pStyle w:val="Nagwek1"/>
        <w:rPr>
          <w:rFonts w:cstheme="minorHAnsi"/>
        </w:rPr>
      </w:pPr>
      <w:bookmarkStart w:id="113" w:name="_Toc31972862"/>
      <w:r w:rsidRPr="001D200B">
        <w:rPr>
          <w:rFonts w:cstheme="minorHAnsi"/>
        </w:rPr>
        <w:lastRenderedPageBreak/>
        <w:t xml:space="preserve">XI. Mapa </w:t>
      </w:r>
      <w:r w:rsidR="00817D32" w:rsidRPr="001D200B">
        <w:rPr>
          <w:rFonts w:cstheme="minorHAnsi"/>
        </w:rPr>
        <w:t>Gminy Połaniec</w:t>
      </w:r>
      <w:bookmarkEnd w:id="113"/>
    </w:p>
    <w:p w:rsidR="00170028" w:rsidRPr="001D200B" w:rsidRDefault="00170028">
      <w:pPr>
        <w:spacing w:before="0" w:after="0" w:line="240" w:lineRule="auto"/>
        <w:jc w:val="left"/>
        <w:rPr>
          <w:rFonts w:cstheme="minorHAnsi"/>
        </w:rPr>
      </w:pPr>
      <w:r w:rsidRPr="001D200B">
        <w:rPr>
          <w:rFonts w:cstheme="minorHAnsi"/>
        </w:rPr>
        <w:br w:type="page"/>
      </w:r>
    </w:p>
    <w:p w:rsidR="009162AE" w:rsidRPr="001D200B" w:rsidRDefault="009162AE" w:rsidP="009162AE">
      <w:pPr>
        <w:pStyle w:val="Nagwek1"/>
        <w:rPr>
          <w:rFonts w:cstheme="minorHAnsi"/>
        </w:rPr>
      </w:pPr>
      <w:bookmarkStart w:id="114" w:name="_Toc31972863"/>
      <w:r w:rsidRPr="001D200B">
        <w:rPr>
          <w:rFonts w:cstheme="minorHAnsi"/>
        </w:rPr>
        <w:lastRenderedPageBreak/>
        <w:t>XII. Załączniki</w:t>
      </w:r>
      <w:bookmarkEnd w:id="114"/>
      <w:r w:rsidRPr="001D200B">
        <w:rPr>
          <w:rFonts w:cstheme="minorHAnsi"/>
        </w:rPr>
        <w:t xml:space="preserve"> </w:t>
      </w:r>
    </w:p>
    <w:p w:rsidR="00170028" w:rsidRPr="001D200B" w:rsidRDefault="00170028" w:rsidP="00170028">
      <w:r w:rsidRPr="001D200B">
        <w:t>Korespondencja z sąsiednimi gminami:</w:t>
      </w:r>
    </w:p>
    <w:p w:rsidR="00170028" w:rsidRPr="001D200B" w:rsidRDefault="00170028" w:rsidP="00B34E72">
      <w:pPr>
        <w:pStyle w:val="Punktatory2"/>
      </w:pPr>
      <w:r w:rsidRPr="001D200B">
        <w:t>Borowa</w:t>
      </w:r>
    </w:p>
    <w:p w:rsidR="00170028" w:rsidRPr="001D200B" w:rsidRDefault="00170028" w:rsidP="00B34E72">
      <w:pPr>
        <w:pStyle w:val="Punktatory2"/>
      </w:pPr>
      <w:r w:rsidRPr="001D200B">
        <w:t>Gawłuszowice</w:t>
      </w:r>
    </w:p>
    <w:p w:rsidR="00B34E72" w:rsidRPr="001D200B" w:rsidRDefault="00B34E72" w:rsidP="00B34E72">
      <w:pPr>
        <w:pStyle w:val="Punktatory2"/>
      </w:pPr>
      <w:r w:rsidRPr="001D200B">
        <w:t>Łubnice</w:t>
      </w:r>
    </w:p>
    <w:p w:rsidR="00B34E72" w:rsidRPr="001D200B" w:rsidRDefault="00B34E72" w:rsidP="00B34E72">
      <w:pPr>
        <w:pStyle w:val="Punktatory2"/>
      </w:pPr>
      <w:r w:rsidRPr="001D200B">
        <w:t>Osiek</w:t>
      </w:r>
    </w:p>
    <w:p w:rsidR="00B34E72" w:rsidRPr="001D200B" w:rsidRDefault="00B34E72" w:rsidP="00B34E72">
      <w:pPr>
        <w:pStyle w:val="Punktatory2"/>
      </w:pPr>
      <w:r w:rsidRPr="001D200B">
        <w:t>Rytwiany</w:t>
      </w:r>
    </w:p>
    <w:p w:rsidR="00E01439" w:rsidRPr="001D200B" w:rsidRDefault="00E01439" w:rsidP="006B37CD">
      <w:pPr>
        <w:rPr>
          <w:rFonts w:cstheme="minorHAnsi"/>
        </w:rPr>
      </w:pPr>
    </w:p>
    <w:p w:rsidR="00E01439" w:rsidRPr="001D200B" w:rsidRDefault="00E01439" w:rsidP="006B37CD">
      <w:pPr>
        <w:rPr>
          <w:rFonts w:cstheme="minorHAnsi"/>
        </w:rPr>
      </w:pPr>
    </w:p>
    <w:p w:rsidR="00E01439" w:rsidRPr="001D200B" w:rsidRDefault="00E01439" w:rsidP="006B37CD">
      <w:pPr>
        <w:rPr>
          <w:rFonts w:cstheme="minorHAnsi"/>
        </w:rPr>
      </w:pPr>
    </w:p>
    <w:p w:rsidR="00E01439" w:rsidRPr="001D200B" w:rsidRDefault="00E01439" w:rsidP="006B37CD">
      <w:pPr>
        <w:rPr>
          <w:rFonts w:cstheme="minorHAnsi"/>
        </w:rPr>
      </w:pPr>
    </w:p>
    <w:p w:rsidR="00E01439" w:rsidRPr="001D200B" w:rsidRDefault="00E01439" w:rsidP="006B37CD">
      <w:pPr>
        <w:rPr>
          <w:rFonts w:cstheme="minorHAnsi"/>
        </w:rPr>
      </w:pPr>
    </w:p>
    <w:p w:rsidR="00E01439" w:rsidRPr="001D200B" w:rsidRDefault="00E01439" w:rsidP="006B37CD">
      <w:pPr>
        <w:rPr>
          <w:rFonts w:cstheme="minorHAnsi"/>
        </w:rPr>
      </w:pPr>
    </w:p>
    <w:p w:rsidR="00E01439" w:rsidRPr="001D200B" w:rsidRDefault="00E01439" w:rsidP="006B37CD">
      <w:pPr>
        <w:rPr>
          <w:rFonts w:cstheme="minorHAnsi"/>
        </w:rPr>
      </w:pPr>
    </w:p>
    <w:p w:rsidR="00E01439" w:rsidRPr="001D200B" w:rsidRDefault="00E01439" w:rsidP="006B37CD">
      <w:pPr>
        <w:rPr>
          <w:rFonts w:cstheme="minorHAnsi"/>
          <w:highlight w:val="yellow"/>
        </w:rPr>
      </w:pPr>
    </w:p>
    <w:p w:rsidR="00E01439" w:rsidRPr="001D200B" w:rsidRDefault="00E01439" w:rsidP="006B37CD">
      <w:pPr>
        <w:rPr>
          <w:rFonts w:cstheme="minorHAnsi"/>
          <w:highlight w:val="yellow"/>
        </w:rPr>
      </w:pPr>
    </w:p>
    <w:p w:rsidR="00E01439" w:rsidRPr="001D200B" w:rsidRDefault="00E01439" w:rsidP="006B37CD">
      <w:pPr>
        <w:rPr>
          <w:rFonts w:cstheme="minorHAnsi"/>
          <w:highlight w:val="yellow"/>
        </w:rPr>
      </w:pPr>
    </w:p>
    <w:p w:rsidR="00E01439" w:rsidRPr="001D200B" w:rsidRDefault="00E01439" w:rsidP="006B37CD">
      <w:pPr>
        <w:rPr>
          <w:rFonts w:cstheme="minorHAnsi"/>
          <w:highlight w:val="yellow"/>
        </w:rPr>
      </w:pPr>
    </w:p>
    <w:p w:rsidR="00E01439" w:rsidRPr="001D200B" w:rsidRDefault="00E01439" w:rsidP="006B37CD">
      <w:pPr>
        <w:rPr>
          <w:rFonts w:cstheme="minorHAnsi"/>
          <w:highlight w:val="yellow"/>
        </w:rPr>
      </w:pPr>
    </w:p>
    <w:p w:rsidR="00E01439" w:rsidRPr="001D200B" w:rsidRDefault="00E01439" w:rsidP="006B37CD">
      <w:pPr>
        <w:rPr>
          <w:rFonts w:cstheme="minorHAnsi"/>
          <w:highlight w:val="yellow"/>
        </w:rPr>
      </w:pPr>
    </w:p>
    <w:p w:rsidR="00E01439" w:rsidRPr="001D200B" w:rsidRDefault="00E01439" w:rsidP="006B37CD">
      <w:pPr>
        <w:rPr>
          <w:rFonts w:cstheme="minorHAnsi"/>
          <w:highlight w:val="yellow"/>
        </w:rPr>
      </w:pPr>
    </w:p>
    <w:p w:rsidR="00E01439" w:rsidRPr="001D200B" w:rsidRDefault="00E01439" w:rsidP="006B37CD">
      <w:pPr>
        <w:rPr>
          <w:rFonts w:cstheme="minorHAnsi"/>
          <w:highlight w:val="yellow"/>
        </w:rPr>
      </w:pPr>
    </w:p>
    <w:p w:rsidR="00E01439" w:rsidRPr="001D200B" w:rsidRDefault="00E01439" w:rsidP="006B37CD">
      <w:pPr>
        <w:rPr>
          <w:rFonts w:cstheme="minorHAnsi"/>
          <w:highlight w:val="yellow"/>
        </w:rPr>
      </w:pPr>
    </w:p>
    <w:p w:rsidR="00E01439" w:rsidRPr="001D200B" w:rsidRDefault="00E01439" w:rsidP="006B37CD">
      <w:pPr>
        <w:rPr>
          <w:rFonts w:cstheme="minorHAnsi"/>
          <w:highlight w:val="yellow"/>
        </w:rPr>
      </w:pPr>
    </w:p>
    <w:p w:rsidR="00E01439" w:rsidRPr="001D200B" w:rsidRDefault="00E01439" w:rsidP="006B37CD">
      <w:pPr>
        <w:rPr>
          <w:rFonts w:cstheme="minorHAnsi"/>
          <w:highlight w:val="yellow"/>
        </w:rPr>
      </w:pPr>
    </w:p>
    <w:p w:rsidR="00E01439" w:rsidRPr="001D200B" w:rsidRDefault="00E01439" w:rsidP="006B37CD">
      <w:pPr>
        <w:rPr>
          <w:rFonts w:cstheme="minorHAnsi"/>
          <w:highlight w:val="yellow"/>
        </w:rPr>
      </w:pPr>
    </w:p>
    <w:p w:rsidR="00E01439" w:rsidRPr="001D200B" w:rsidRDefault="00E01439" w:rsidP="006B37CD">
      <w:pPr>
        <w:rPr>
          <w:rFonts w:cstheme="minorHAnsi"/>
          <w:highlight w:val="yellow"/>
        </w:rPr>
      </w:pPr>
    </w:p>
    <w:p w:rsidR="00E01439" w:rsidRPr="001D200B" w:rsidRDefault="00E01439" w:rsidP="006B37CD">
      <w:pPr>
        <w:rPr>
          <w:rFonts w:cstheme="minorHAnsi"/>
          <w:highlight w:val="yellow"/>
        </w:rPr>
      </w:pPr>
    </w:p>
    <w:p w:rsidR="00E01439" w:rsidRPr="001D200B" w:rsidRDefault="00E01439" w:rsidP="006B37CD">
      <w:pPr>
        <w:rPr>
          <w:rFonts w:cstheme="minorHAnsi"/>
          <w:highlight w:val="yellow"/>
        </w:rPr>
      </w:pPr>
    </w:p>
    <w:p w:rsidR="00E01439" w:rsidRPr="001D200B" w:rsidRDefault="00E01439" w:rsidP="006B37CD">
      <w:pPr>
        <w:rPr>
          <w:rFonts w:cstheme="minorHAnsi"/>
          <w:highlight w:val="yellow"/>
        </w:rPr>
        <w:sectPr w:rsidR="00E01439" w:rsidRPr="001D200B" w:rsidSect="00DE1BA8">
          <w:pgSz w:w="11906" w:h="16838"/>
          <w:pgMar w:top="1418" w:right="1418" w:bottom="1418" w:left="1418" w:header="709" w:footer="709" w:gutter="0"/>
          <w:cols w:space="708"/>
          <w:docGrid w:linePitch="360"/>
        </w:sectPr>
      </w:pPr>
    </w:p>
    <w:p w:rsidR="009162AE" w:rsidRPr="001D200B" w:rsidRDefault="009162AE" w:rsidP="0011400E">
      <w:pPr>
        <w:rPr>
          <w:rFonts w:cstheme="minorHAnsi"/>
        </w:rPr>
      </w:pPr>
    </w:p>
    <w:sectPr w:rsidR="009162AE" w:rsidRPr="001D200B" w:rsidSect="00DE1BA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AA5" w:rsidRDefault="00CA3AA5">
      <w:pPr>
        <w:spacing w:line="240" w:lineRule="auto"/>
      </w:pPr>
      <w:r>
        <w:separator/>
      </w:r>
    </w:p>
  </w:endnote>
  <w:endnote w:type="continuationSeparator" w:id="1">
    <w:p w:rsidR="00CA3AA5" w:rsidRDefault="00CA3A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ff2">
    <w:altName w:val="Times New Roman"/>
    <w:panose1 w:val="00000000000000000000"/>
    <w:charset w:val="00"/>
    <w:family w:val="roman"/>
    <w:notTrueType/>
    <w:pitch w:val="default"/>
    <w:sig w:usb0="00000000" w:usb1="00000000" w:usb2="00000000" w:usb3="00000000" w:csb0="00000000" w:csb1="00000000"/>
  </w:font>
  <w:font w:name="ff3">
    <w:altName w:val="Times New Roman"/>
    <w:panose1 w:val="00000000000000000000"/>
    <w:charset w:val="00"/>
    <w:family w:val="roman"/>
    <w:notTrueType/>
    <w:pitch w:val="default"/>
    <w:sig w:usb0="00000000" w:usb1="00000000" w:usb2="00000000" w:usb3="00000000" w:csb0="000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inionPro-Regular">
    <w:altName w:val="MS Mincho"/>
    <w:panose1 w:val="00000000000000000000"/>
    <w:charset w:val="80"/>
    <w:family w:val="auto"/>
    <w:notTrueType/>
    <w:pitch w:val="default"/>
    <w:sig w:usb0="00000001" w:usb1="08070000" w:usb2="00000010" w:usb3="00000000" w:csb0="00020000" w:csb1="00000000"/>
  </w:font>
  <w:font w:name="Calibri,Bold">
    <w:altName w:val="MS Mincho"/>
    <w:panose1 w:val="00000000000000000000"/>
    <w:charset w:val="80"/>
    <w:family w:val="auto"/>
    <w:notTrueType/>
    <w:pitch w:val="default"/>
    <w:sig w:usb0="00000007" w:usb1="08070000" w:usb2="00000010" w:usb3="00000000" w:csb0="00020003" w:csb1="00000000"/>
  </w:font>
  <w:font w:name="Calibri,BoldItalic">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MSTT31f16d5a04o187074S00">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5" w:usb1="08070000" w:usb2="00000010" w:usb3="00000000" w:csb0="00020002" w:csb1="00000000"/>
  </w:font>
  <w:font w:name="TTE2E1A00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DB6" w:rsidRDefault="007D4DB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D4DB6" w:rsidRDefault="007D4DB6">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DB6" w:rsidRDefault="007D4DB6">
    <w:pPr>
      <w:pStyle w:val="Stopka"/>
      <w:jc w:val="center"/>
    </w:pPr>
    <w:fldSimple w:instr=" PAGE   \* MERGEFORMAT ">
      <w:r>
        <w:rPr>
          <w:noProof/>
        </w:rPr>
        <w:t>2</w:t>
      </w:r>
    </w:fldSimple>
  </w:p>
  <w:p w:rsidR="007D4DB6" w:rsidRDefault="007D4DB6">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DB6" w:rsidRDefault="007D4DB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D4DB6" w:rsidRDefault="007D4DB6">
    <w:pPr>
      <w:pStyle w:val="Stopk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36515"/>
      <w:docPartObj>
        <w:docPartGallery w:val="Page Numbers (Bottom of Page)"/>
        <w:docPartUnique/>
      </w:docPartObj>
    </w:sdtPr>
    <w:sdtEndPr>
      <w:rPr>
        <w:sz w:val="22"/>
        <w:szCs w:val="22"/>
      </w:rPr>
    </w:sdtEndPr>
    <w:sdtContent>
      <w:p w:rsidR="007D4DB6" w:rsidRPr="00B23A7C" w:rsidRDefault="007D4DB6">
        <w:pPr>
          <w:pStyle w:val="Stopka"/>
          <w:jc w:val="center"/>
          <w:rPr>
            <w:sz w:val="22"/>
            <w:szCs w:val="22"/>
          </w:rPr>
        </w:pPr>
        <w:r w:rsidRPr="00B23A7C">
          <w:rPr>
            <w:sz w:val="22"/>
            <w:szCs w:val="22"/>
          </w:rPr>
          <w:fldChar w:fldCharType="begin"/>
        </w:r>
        <w:r w:rsidRPr="00B23A7C">
          <w:rPr>
            <w:sz w:val="22"/>
            <w:szCs w:val="22"/>
          </w:rPr>
          <w:instrText xml:space="preserve"> PAGE   \* MERGEFORMAT </w:instrText>
        </w:r>
        <w:r w:rsidRPr="00B23A7C">
          <w:rPr>
            <w:sz w:val="22"/>
            <w:szCs w:val="22"/>
          </w:rPr>
          <w:fldChar w:fldCharType="separate"/>
        </w:r>
        <w:r w:rsidR="00DC79E0" w:rsidRPr="00DC79E0">
          <w:rPr>
            <w:iCs/>
            <w:noProof/>
            <w:sz w:val="22"/>
            <w:szCs w:val="22"/>
          </w:rPr>
          <w:t>123</w:t>
        </w:r>
        <w:r w:rsidRPr="00B23A7C">
          <w:rPr>
            <w:sz w:val="22"/>
            <w:szCs w:val="22"/>
          </w:rPr>
          <w:fldChar w:fldCharType="end"/>
        </w:r>
      </w:p>
    </w:sdtContent>
  </w:sdt>
  <w:p w:rsidR="007D4DB6" w:rsidRDefault="007D4DB6">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AA5" w:rsidRDefault="00CA3AA5">
      <w:pPr>
        <w:spacing w:line="240" w:lineRule="auto"/>
      </w:pPr>
      <w:r>
        <w:separator/>
      </w:r>
    </w:p>
  </w:footnote>
  <w:footnote w:type="continuationSeparator" w:id="1">
    <w:p w:rsidR="00CA3AA5" w:rsidRDefault="00CA3AA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DB6" w:rsidRDefault="007D4DB6">
    <w:pPr>
      <w:pStyle w:val="Nagwek"/>
      <w:jc w:val="center"/>
      <w:rPr>
        <w:i/>
      </w:rPr>
    </w:pPr>
    <w:r>
      <w:rPr>
        <w:i/>
      </w:rPr>
      <w:t>Projekt założeń do planu zaopatrzenia w ciepło, energię elektryczną i paliwa gazowe dla Gminy Konstancin - Jeziorna, opracowany na lata 2010 – 2025</w:t>
    </w:r>
  </w:p>
  <w:p w:rsidR="007D4DB6" w:rsidRDefault="007D4DB6">
    <w:pPr>
      <w:pStyle w:val="Nagwek"/>
      <w:jc w:val="center"/>
      <w:rPr>
        <w:i/>
        <w:sz w:val="28"/>
      </w:rPr>
    </w:pPr>
    <w:r>
      <w:rPr>
        <w:i/>
        <w:sz w:val="22"/>
      </w:rPr>
      <w:t>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DB6" w:rsidRDefault="007D4DB6" w:rsidP="00D30D00">
    <w:pPr>
      <w:pStyle w:val="Nagwek"/>
      <w:pBdr>
        <w:bottom w:val="single" w:sz="12" w:space="1" w:color="auto"/>
      </w:pBdr>
      <w:spacing w:line="240" w:lineRule="auto"/>
      <w:jc w:val="left"/>
      <w:rPr>
        <w:rFonts w:cstheme="minorHAnsi"/>
      </w:rPr>
    </w:pPr>
    <w:r w:rsidRPr="00E91755">
      <w:rPr>
        <w:rFonts w:cstheme="minorHAnsi"/>
      </w:rPr>
      <w:t>Założenia do planu zaopatrzenia w ciepło, energię elektryczną i paliwa gazowe dla Miasta i</w:t>
    </w:r>
    <w:r>
      <w:rPr>
        <w:rFonts w:cstheme="minorHAnsi"/>
      </w:rPr>
      <w:t> </w:t>
    </w:r>
    <w:r w:rsidRPr="00E91755">
      <w:rPr>
        <w:rFonts w:cstheme="minorHAnsi"/>
      </w:rPr>
      <w:t>Gminy Połaniec na lata 20</w:t>
    </w:r>
    <w:r>
      <w:rPr>
        <w:rFonts w:cstheme="minorHAnsi"/>
      </w:rPr>
      <w:t>20</w:t>
    </w:r>
    <w:r w:rsidRPr="00E91755">
      <w:rPr>
        <w:rFonts w:cstheme="minorHAnsi"/>
      </w:rPr>
      <w:t xml:space="preserve"> </w:t>
    </w:r>
    <w:r>
      <w:rPr>
        <w:rFonts w:cstheme="minorHAnsi"/>
      </w:rPr>
      <w:t>–</w:t>
    </w:r>
    <w:r w:rsidRPr="00E91755">
      <w:rPr>
        <w:rFonts w:cstheme="minorHAnsi"/>
      </w:rPr>
      <w:t xml:space="preserve"> 203</w:t>
    </w:r>
    <w:r>
      <w:rPr>
        <w:rFonts w:cstheme="minorHAnsi"/>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18269CC"/>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FA28666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A51E23D8"/>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1"/>
    <w:multiLevelType w:val="singleLevel"/>
    <w:tmpl w:val="00000001"/>
    <w:name w:val="WW8Num21"/>
    <w:lvl w:ilvl="0">
      <w:start w:val="1"/>
      <w:numFmt w:val="bullet"/>
      <w:lvlText w:val="·"/>
      <w:lvlJc w:val="left"/>
      <w:pPr>
        <w:tabs>
          <w:tab w:val="num" w:pos="360"/>
        </w:tabs>
        <w:ind w:left="360" w:hanging="360"/>
      </w:pPr>
      <w:rPr>
        <w:rFonts w:ascii="Symbol" w:hAnsi="Symbol"/>
      </w:rPr>
    </w:lvl>
  </w:abstractNum>
  <w:abstractNum w:abstractNumId="4">
    <w:nsid w:val="01B53578"/>
    <w:multiLevelType w:val="hybridMultilevel"/>
    <w:tmpl w:val="D6700B54"/>
    <w:lvl w:ilvl="0" w:tplc="0A22401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38C4D3C"/>
    <w:multiLevelType w:val="hybridMultilevel"/>
    <w:tmpl w:val="5D8E8F90"/>
    <w:lvl w:ilvl="0" w:tplc="5C5EFC76">
      <w:start w:val="1"/>
      <w:numFmt w:val="bullet"/>
      <w:pStyle w:val="Punktatory2"/>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FA44C8A"/>
    <w:multiLevelType w:val="hybridMultilevel"/>
    <w:tmpl w:val="85A2106C"/>
    <w:lvl w:ilvl="0" w:tplc="5C5EFC76">
      <w:start w:val="1"/>
      <w:numFmt w:val="bullet"/>
      <w:lvlText w:val=""/>
      <w:lvlJc w:val="left"/>
      <w:pPr>
        <w:tabs>
          <w:tab w:val="num" w:pos="720"/>
        </w:tabs>
        <w:ind w:left="720" w:hanging="360"/>
      </w:pPr>
      <w:rPr>
        <w:rFonts w:ascii="Wingdings" w:hAnsi="Wingdings" w:hint="default"/>
      </w:rPr>
    </w:lvl>
    <w:lvl w:ilvl="1" w:tplc="04150003">
      <w:start w:val="12"/>
      <w:numFmt w:val="bullet"/>
      <w:pStyle w:val="Styl1"/>
      <w:lvlText w:val="-"/>
      <w:lvlJc w:val="left"/>
      <w:pPr>
        <w:tabs>
          <w:tab w:val="num" w:pos="1440"/>
        </w:tabs>
        <w:ind w:left="1440" w:hanging="360"/>
      </w:pPr>
      <w:rPr>
        <w:rFonts w:ascii="Times New Roman" w:eastAsia="Times New Roman" w:hAnsi="Times New Roman" w:cs="Times New Roman" w:hint="default"/>
      </w:rPr>
    </w:lvl>
    <w:lvl w:ilvl="2" w:tplc="04150005">
      <w:start w:val="1"/>
      <w:numFmt w:val="bullet"/>
      <w:lvlText w:val="•"/>
      <w:lvlJc w:val="left"/>
      <w:pPr>
        <w:tabs>
          <w:tab w:val="num" w:pos="2160"/>
        </w:tabs>
        <w:ind w:left="2160" w:hanging="360"/>
      </w:pPr>
      <w:rPr>
        <w:rFonts w:ascii="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0942054"/>
    <w:multiLevelType w:val="hybridMultilevel"/>
    <w:tmpl w:val="AA726E4E"/>
    <w:lvl w:ilvl="0" w:tplc="5C5EFC76">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
    <w:nsid w:val="11E35C47"/>
    <w:multiLevelType w:val="hybridMultilevel"/>
    <w:tmpl w:val="8E14F7B8"/>
    <w:lvl w:ilvl="0" w:tplc="5C5EFC76">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
    <w:nsid w:val="162364A9"/>
    <w:multiLevelType w:val="hybridMultilevel"/>
    <w:tmpl w:val="DC7054E0"/>
    <w:lvl w:ilvl="0" w:tplc="0A22401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6CC3E7A"/>
    <w:multiLevelType w:val="hybridMultilevel"/>
    <w:tmpl w:val="3FA0727A"/>
    <w:lvl w:ilvl="0" w:tplc="0415000F">
      <w:start w:val="1"/>
      <w:numFmt w:val="bullet"/>
      <w:lvlText w:val="-"/>
      <w:lvlJc w:val="left"/>
      <w:pPr>
        <w:ind w:left="720" w:hanging="360"/>
      </w:pPr>
      <w:rPr>
        <w:rFonts w:ascii="Calibri" w:hAnsi="Calibri"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1">
    <w:nsid w:val="204E7AC6"/>
    <w:multiLevelType w:val="hybridMultilevel"/>
    <w:tmpl w:val="AC2A48FE"/>
    <w:lvl w:ilvl="0" w:tplc="5C5EFC76">
      <w:start w:val="5"/>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2">
    <w:nsid w:val="29154F16"/>
    <w:multiLevelType w:val="hybridMultilevel"/>
    <w:tmpl w:val="9F32D94C"/>
    <w:lvl w:ilvl="0" w:tplc="6712A192">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28258BE"/>
    <w:multiLevelType w:val="hybridMultilevel"/>
    <w:tmpl w:val="066A4A62"/>
    <w:lvl w:ilvl="0" w:tplc="5C5EFC76">
      <w:start w:val="1"/>
      <w:numFmt w:val="decimal"/>
      <w:pStyle w:val="Numerowanie1"/>
      <w:lvlText w:val="%1."/>
      <w:lvlJc w:val="center"/>
      <w:pPr>
        <w:ind w:left="720" w:hanging="360"/>
      </w:pPr>
      <w:rPr>
        <w:rFonts w:hint="default"/>
        <w:b w:val="0"/>
        <w:i w:val="0"/>
        <w:sz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4">
    <w:nsid w:val="35483F60"/>
    <w:multiLevelType w:val="multilevel"/>
    <w:tmpl w:val="E340C894"/>
    <w:lvl w:ilvl="0">
      <w:start w:val="1"/>
      <w:numFmt w:val="bullet"/>
      <w:pStyle w:val="AKROPKOWANIE"/>
      <w:lvlText w:val=""/>
      <w:lvlJc w:val="left"/>
      <w:pPr>
        <w:tabs>
          <w:tab w:val="num" w:pos="397"/>
        </w:tabs>
        <w:ind w:left="397" w:hanging="397"/>
      </w:pPr>
      <w:rPr>
        <w:rFonts w:ascii="Symbol" w:hAnsi="Symbol" w:hint="default"/>
      </w:rPr>
    </w:lvl>
    <w:lvl w:ilvl="1">
      <w:start w:val="1"/>
      <w:numFmt w:val="ordinal"/>
      <w:lvlText w:val="%2"/>
      <w:lvlJc w:val="left"/>
      <w:pPr>
        <w:tabs>
          <w:tab w:val="num" w:pos="1191"/>
        </w:tabs>
        <w:ind w:left="1191" w:hanging="737"/>
      </w:pPr>
      <w:rPr>
        <w:rFonts w:hint="default"/>
      </w:rPr>
    </w:lvl>
    <w:lvl w:ilvl="2">
      <w:start w:val="1"/>
      <w:numFmt w:val="lowerLetter"/>
      <w:lvlText w:val="%3)"/>
      <w:lvlJc w:val="left"/>
      <w:pPr>
        <w:tabs>
          <w:tab w:val="num" w:pos="1080"/>
        </w:tabs>
        <w:ind w:left="1021" w:hanging="301"/>
      </w:pPr>
      <w:rPr>
        <w:rFonts w:hint="default"/>
      </w:rPr>
    </w:lvl>
    <w:lvl w:ilvl="3">
      <w:start w:val="1"/>
      <w:numFmt w:val="bullet"/>
      <w:lvlText w:val=""/>
      <w:lvlJc w:val="left"/>
      <w:pPr>
        <w:tabs>
          <w:tab w:val="num" w:pos="1440"/>
        </w:tabs>
        <w:ind w:left="1418" w:hanging="338"/>
      </w:pPr>
      <w:rPr>
        <w:rFonts w:ascii="Symbol" w:hAnsi="Symbol" w:hint="default"/>
      </w:rPr>
    </w:lvl>
    <w:lvl w:ilvl="4">
      <w:start w:val="1"/>
      <w:numFmt w:val="bullet"/>
      <w:lvlText w:val="-"/>
      <w:lvlJc w:val="left"/>
      <w:pPr>
        <w:tabs>
          <w:tab w:val="num" w:pos="2232"/>
        </w:tabs>
        <w:ind w:left="2232" w:hanging="792"/>
      </w:pPr>
      <w:rPr>
        <w:rFonts w:hint="default"/>
      </w:rPr>
    </w:lvl>
    <w:lvl w:ilvl="5">
      <w:start w:val="1"/>
      <w:numFmt w:val="bullet"/>
      <w:lvlText w:val="-"/>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6A0464F"/>
    <w:multiLevelType w:val="hybridMultilevel"/>
    <w:tmpl w:val="0E1E0614"/>
    <w:lvl w:ilvl="0" w:tplc="5C465B0A">
      <w:start w:val="1"/>
      <w:numFmt w:val="bullet"/>
      <w:pStyle w:val="Akapitzlist"/>
      <w:lvlText w:val="-"/>
      <w:lvlJc w:val="left"/>
      <w:pPr>
        <w:ind w:left="1440" w:hanging="360"/>
      </w:pPr>
      <w:rPr>
        <w:rFonts w:ascii="Symbol" w:eastAsia="Times New Roman" w:hAnsi="Symbol" w:cs="Times New Roman" w:hint="default"/>
      </w:rPr>
    </w:lvl>
    <w:lvl w:ilvl="1" w:tplc="E320ED8C" w:tentative="1">
      <w:start w:val="1"/>
      <w:numFmt w:val="bullet"/>
      <w:lvlText w:val="o"/>
      <w:lvlJc w:val="left"/>
      <w:pPr>
        <w:ind w:left="2160" w:hanging="360"/>
      </w:pPr>
      <w:rPr>
        <w:rFonts w:ascii="Courier New" w:hAnsi="Courier New" w:cs="Courier New" w:hint="default"/>
      </w:rPr>
    </w:lvl>
    <w:lvl w:ilvl="2" w:tplc="95C2D124" w:tentative="1">
      <w:start w:val="1"/>
      <w:numFmt w:val="bullet"/>
      <w:lvlText w:val=""/>
      <w:lvlJc w:val="left"/>
      <w:pPr>
        <w:ind w:left="2880" w:hanging="360"/>
      </w:pPr>
      <w:rPr>
        <w:rFonts w:ascii="Wingdings" w:hAnsi="Wingdings" w:hint="default"/>
      </w:rPr>
    </w:lvl>
    <w:lvl w:ilvl="3" w:tplc="F5A2F934" w:tentative="1">
      <w:start w:val="1"/>
      <w:numFmt w:val="bullet"/>
      <w:lvlText w:val=""/>
      <w:lvlJc w:val="left"/>
      <w:pPr>
        <w:ind w:left="3600" w:hanging="360"/>
      </w:pPr>
      <w:rPr>
        <w:rFonts w:ascii="Symbol" w:hAnsi="Symbol" w:hint="default"/>
      </w:rPr>
    </w:lvl>
    <w:lvl w:ilvl="4" w:tplc="EAA8E684" w:tentative="1">
      <w:start w:val="1"/>
      <w:numFmt w:val="bullet"/>
      <w:lvlText w:val="o"/>
      <w:lvlJc w:val="left"/>
      <w:pPr>
        <w:ind w:left="4320" w:hanging="360"/>
      </w:pPr>
      <w:rPr>
        <w:rFonts w:ascii="Courier New" w:hAnsi="Courier New" w:cs="Courier New" w:hint="default"/>
      </w:rPr>
    </w:lvl>
    <w:lvl w:ilvl="5" w:tplc="D236D71E" w:tentative="1">
      <w:start w:val="1"/>
      <w:numFmt w:val="bullet"/>
      <w:lvlText w:val=""/>
      <w:lvlJc w:val="left"/>
      <w:pPr>
        <w:ind w:left="5040" w:hanging="360"/>
      </w:pPr>
      <w:rPr>
        <w:rFonts w:ascii="Wingdings" w:hAnsi="Wingdings" w:hint="default"/>
      </w:rPr>
    </w:lvl>
    <w:lvl w:ilvl="6" w:tplc="2FD0C1CC" w:tentative="1">
      <w:start w:val="1"/>
      <w:numFmt w:val="bullet"/>
      <w:lvlText w:val=""/>
      <w:lvlJc w:val="left"/>
      <w:pPr>
        <w:ind w:left="5760" w:hanging="360"/>
      </w:pPr>
      <w:rPr>
        <w:rFonts w:ascii="Symbol" w:hAnsi="Symbol" w:hint="default"/>
      </w:rPr>
    </w:lvl>
    <w:lvl w:ilvl="7" w:tplc="2A00B684" w:tentative="1">
      <w:start w:val="1"/>
      <w:numFmt w:val="bullet"/>
      <w:lvlText w:val="o"/>
      <w:lvlJc w:val="left"/>
      <w:pPr>
        <w:ind w:left="6480" w:hanging="360"/>
      </w:pPr>
      <w:rPr>
        <w:rFonts w:ascii="Courier New" w:hAnsi="Courier New" w:cs="Courier New" w:hint="default"/>
      </w:rPr>
    </w:lvl>
    <w:lvl w:ilvl="8" w:tplc="648CE544" w:tentative="1">
      <w:start w:val="1"/>
      <w:numFmt w:val="bullet"/>
      <w:lvlText w:val=""/>
      <w:lvlJc w:val="left"/>
      <w:pPr>
        <w:ind w:left="7200" w:hanging="360"/>
      </w:pPr>
      <w:rPr>
        <w:rFonts w:ascii="Wingdings" w:hAnsi="Wingdings" w:hint="default"/>
      </w:rPr>
    </w:lvl>
  </w:abstractNum>
  <w:abstractNum w:abstractNumId="16">
    <w:nsid w:val="40DB4FD7"/>
    <w:multiLevelType w:val="hybridMultilevel"/>
    <w:tmpl w:val="68AE68AA"/>
    <w:lvl w:ilvl="0" w:tplc="66E83CAC">
      <w:start w:val="1"/>
      <w:numFmt w:val="bullet"/>
      <w:pStyle w:val="wypunktowanie"/>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63F296C"/>
    <w:multiLevelType w:val="hybridMultilevel"/>
    <w:tmpl w:val="918AC27E"/>
    <w:lvl w:ilvl="0" w:tplc="232240A2">
      <w:start w:val="1"/>
      <w:numFmt w:val="bullet"/>
      <w:lvlText w:val="-"/>
      <w:lvlJc w:val="left"/>
      <w:pPr>
        <w:ind w:left="720" w:hanging="360"/>
      </w:pPr>
      <w:rPr>
        <w:rFonts w:ascii="Calibri" w:hAnsi="Calibri"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8">
    <w:nsid w:val="472F0884"/>
    <w:multiLevelType w:val="multilevel"/>
    <w:tmpl w:val="47248C96"/>
    <w:lvl w:ilvl="0">
      <w:start w:val="1"/>
      <w:numFmt w:val="bullet"/>
      <w:pStyle w:val="bullet2"/>
      <w:lvlText w:val=""/>
      <w:lvlJc w:val="left"/>
      <w:pPr>
        <w:tabs>
          <w:tab w:val="num" w:pos="1701"/>
        </w:tabs>
        <w:ind w:left="1701" w:hanging="567"/>
      </w:pPr>
      <w:rPr>
        <w:rFonts w:ascii="Symbol" w:hAnsi="Symbol" w:hint="default"/>
        <w:sz w:val="20"/>
      </w:rPr>
    </w:lvl>
    <w:lvl w:ilvl="1">
      <w:start w:val="1"/>
      <w:numFmt w:val="bullet"/>
      <w:pStyle w:val="Bullet1"/>
      <w:lvlText w:val=""/>
      <w:lvlJc w:val="left"/>
      <w:pPr>
        <w:tabs>
          <w:tab w:val="num" w:pos="1134"/>
        </w:tabs>
        <w:ind w:left="1134" w:hanging="567"/>
      </w:pPr>
      <w:rPr>
        <w:rFonts w:ascii="Wingdings" w:hAnsi="Wingdings" w:hint="default"/>
        <w:sz w:val="14"/>
      </w:rPr>
    </w:lvl>
    <w:lvl w:ilvl="2">
      <w:start w:val="5"/>
      <w:numFmt w:val="decimal"/>
      <w:lvlText w:val="%3."/>
      <w:lvlJc w:val="left"/>
      <w:pPr>
        <w:tabs>
          <w:tab w:val="num" w:pos="1026"/>
        </w:tabs>
        <w:ind w:left="1006" w:hanging="340"/>
      </w:pPr>
      <w:rPr>
        <w:rFonts w:hint="default"/>
      </w:rPr>
    </w:lvl>
    <w:lvl w:ilvl="3">
      <w:start w:val="1"/>
      <w:numFmt w:val="bullet"/>
      <w:lvlText w:val=""/>
      <w:lvlJc w:val="left"/>
      <w:pPr>
        <w:tabs>
          <w:tab w:val="num" w:pos="1746"/>
        </w:tabs>
        <w:ind w:left="1746" w:hanging="360"/>
      </w:pPr>
      <w:rPr>
        <w:rFonts w:ascii="Symbol" w:hAnsi="Symbol" w:hint="default"/>
      </w:rPr>
    </w:lvl>
    <w:lvl w:ilvl="4">
      <w:start w:val="1"/>
      <w:numFmt w:val="bullet"/>
      <w:lvlText w:val="o"/>
      <w:lvlJc w:val="left"/>
      <w:pPr>
        <w:tabs>
          <w:tab w:val="num" w:pos="2466"/>
        </w:tabs>
        <w:ind w:left="2466" w:hanging="360"/>
      </w:pPr>
      <w:rPr>
        <w:rFonts w:ascii="Courier New" w:hAnsi="Courier New" w:hint="default"/>
      </w:rPr>
    </w:lvl>
    <w:lvl w:ilvl="5">
      <w:start w:val="1"/>
      <w:numFmt w:val="bullet"/>
      <w:lvlText w:val=""/>
      <w:lvlJc w:val="left"/>
      <w:pPr>
        <w:tabs>
          <w:tab w:val="num" w:pos="3186"/>
        </w:tabs>
        <w:ind w:left="3186" w:hanging="360"/>
      </w:pPr>
      <w:rPr>
        <w:rFonts w:ascii="Wingdings" w:hAnsi="Wingdings" w:hint="default"/>
      </w:rPr>
    </w:lvl>
    <w:lvl w:ilvl="6">
      <w:start w:val="1"/>
      <w:numFmt w:val="bullet"/>
      <w:lvlText w:val=""/>
      <w:lvlJc w:val="left"/>
      <w:pPr>
        <w:tabs>
          <w:tab w:val="num" w:pos="3906"/>
        </w:tabs>
        <w:ind w:left="3906" w:hanging="360"/>
      </w:pPr>
      <w:rPr>
        <w:rFonts w:ascii="Symbol" w:hAnsi="Symbol" w:hint="default"/>
      </w:rPr>
    </w:lvl>
    <w:lvl w:ilvl="7">
      <w:start w:val="1"/>
      <w:numFmt w:val="bullet"/>
      <w:lvlText w:val="o"/>
      <w:lvlJc w:val="left"/>
      <w:pPr>
        <w:tabs>
          <w:tab w:val="num" w:pos="4626"/>
        </w:tabs>
        <w:ind w:left="4626" w:hanging="360"/>
      </w:pPr>
      <w:rPr>
        <w:rFonts w:ascii="Courier New" w:hAnsi="Courier New" w:hint="default"/>
      </w:rPr>
    </w:lvl>
    <w:lvl w:ilvl="8">
      <w:start w:val="1"/>
      <w:numFmt w:val="bullet"/>
      <w:lvlText w:val=""/>
      <w:lvlJc w:val="left"/>
      <w:pPr>
        <w:tabs>
          <w:tab w:val="num" w:pos="5346"/>
        </w:tabs>
        <w:ind w:left="5346" w:hanging="360"/>
      </w:pPr>
      <w:rPr>
        <w:rFonts w:ascii="Wingdings" w:hAnsi="Wingdings" w:hint="default"/>
      </w:rPr>
    </w:lvl>
  </w:abstractNum>
  <w:abstractNum w:abstractNumId="19">
    <w:nsid w:val="48510253"/>
    <w:multiLevelType w:val="singleLevel"/>
    <w:tmpl w:val="04DA875C"/>
    <w:lvl w:ilvl="0">
      <w:start w:val="1"/>
      <w:numFmt w:val="bullet"/>
      <w:pStyle w:val="wypunkt"/>
      <w:lvlText w:val=""/>
      <w:lvlJc w:val="left"/>
      <w:pPr>
        <w:tabs>
          <w:tab w:val="num" w:pos="360"/>
        </w:tabs>
        <w:ind w:left="357" w:hanging="357"/>
      </w:pPr>
      <w:rPr>
        <w:rFonts w:ascii="Symbol" w:hAnsi="Symbol" w:hint="default"/>
      </w:rPr>
    </w:lvl>
  </w:abstractNum>
  <w:abstractNum w:abstractNumId="20">
    <w:nsid w:val="4DB3189A"/>
    <w:multiLevelType w:val="hybridMultilevel"/>
    <w:tmpl w:val="DEB8FA66"/>
    <w:lvl w:ilvl="0" w:tplc="E242C18C">
      <w:start w:val="1"/>
      <w:numFmt w:val="bullet"/>
      <w:lvlText w:val=""/>
      <w:lvlJc w:val="left"/>
      <w:pPr>
        <w:ind w:left="720" w:hanging="360"/>
      </w:pPr>
      <w:rPr>
        <w:rFonts w:ascii="Symbol" w:hAnsi="Symbol" w:hint="default"/>
      </w:rPr>
    </w:lvl>
    <w:lvl w:ilvl="1" w:tplc="C21C5952" w:tentative="1">
      <w:start w:val="1"/>
      <w:numFmt w:val="bullet"/>
      <w:lvlText w:val="o"/>
      <w:lvlJc w:val="left"/>
      <w:pPr>
        <w:ind w:left="1440" w:hanging="360"/>
      </w:pPr>
      <w:rPr>
        <w:rFonts w:ascii="Courier New" w:hAnsi="Courier New" w:cs="Courier New" w:hint="default"/>
      </w:rPr>
    </w:lvl>
    <w:lvl w:ilvl="2" w:tplc="000ADFF6" w:tentative="1">
      <w:start w:val="1"/>
      <w:numFmt w:val="bullet"/>
      <w:lvlText w:val=""/>
      <w:lvlJc w:val="left"/>
      <w:pPr>
        <w:ind w:left="2160" w:hanging="360"/>
      </w:pPr>
      <w:rPr>
        <w:rFonts w:ascii="Wingdings" w:hAnsi="Wingdings" w:hint="default"/>
      </w:rPr>
    </w:lvl>
    <w:lvl w:ilvl="3" w:tplc="9C0279F0" w:tentative="1">
      <w:start w:val="1"/>
      <w:numFmt w:val="bullet"/>
      <w:lvlText w:val=""/>
      <w:lvlJc w:val="left"/>
      <w:pPr>
        <w:ind w:left="2880" w:hanging="360"/>
      </w:pPr>
      <w:rPr>
        <w:rFonts w:ascii="Symbol" w:hAnsi="Symbol" w:hint="default"/>
      </w:rPr>
    </w:lvl>
    <w:lvl w:ilvl="4" w:tplc="7206DAAC" w:tentative="1">
      <w:start w:val="1"/>
      <w:numFmt w:val="bullet"/>
      <w:lvlText w:val="o"/>
      <w:lvlJc w:val="left"/>
      <w:pPr>
        <w:ind w:left="3600" w:hanging="360"/>
      </w:pPr>
      <w:rPr>
        <w:rFonts w:ascii="Courier New" w:hAnsi="Courier New" w:cs="Courier New" w:hint="default"/>
      </w:rPr>
    </w:lvl>
    <w:lvl w:ilvl="5" w:tplc="BB10D7BA" w:tentative="1">
      <w:start w:val="1"/>
      <w:numFmt w:val="bullet"/>
      <w:lvlText w:val=""/>
      <w:lvlJc w:val="left"/>
      <w:pPr>
        <w:ind w:left="4320" w:hanging="360"/>
      </w:pPr>
      <w:rPr>
        <w:rFonts w:ascii="Wingdings" w:hAnsi="Wingdings" w:hint="default"/>
      </w:rPr>
    </w:lvl>
    <w:lvl w:ilvl="6" w:tplc="87FA1122" w:tentative="1">
      <w:start w:val="1"/>
      <w:numFmt w:val="bullet"/>
      <w:lvlText w:val=""/>
      <w:lvlJc w:val="left"/>
      <w:pPr>
        <w:ind w:left="5040" w:hanging="360"/>
      </w:pPr>
      <w:rPr>
        <w:rFonts w:ascii="Symbol" w:hAnsi="Symbol" w:hint="default"/>
      </w:rPr>
    </w:lvl>
    <w:lvl w:ilvl="7" w:tplc="B3C05F5C" w:tentative="1">
      <w:start w:val="1"/>
      <w:numFmt w:val="bullet"/>
      <w:lvlText w:val="o"/>
      <w:lvlJc w:val="left"/>
      <w:pPr>
        <w:ind w:left="5760" w:hanging="360"/>
      </w:pPr>
      <w:rPr>
        <w:rFonts w:ascii="Courier New" w:hAnsi="Courier New" w:cs="Courier New" w:hint="default"/>
      </w:rPr>
    </w:lvl>
    <w:lvl w:ilvl="8" w:tplc="B3344214" w:tentative="1">
      <w:start w:val="1"/>
      <w:numFmt w:val="bullet"/>
      <w:lvlText w:val=""/>
      <w:lvlJc w:val="left"/>
      <w:pPr>
        <w:ind w:left="6480" w:hanging="360"/>
      </w:pPr>
      <w:rPr>
        <w:rFonts w:ascii="Wingdings" w:hAnsi="Wingdings" w:hint="default"/>
      </w:rPr>
    </w:lvl>
  </w:abstractNum>
  <w:abstractNum w:abstractNumId="21">
    <w:nsid w:val="4E8A547D"/>
    <w:multiLevelType w:val="multilevel"/>
    <w:tmpl w:val="74E63156"/>
    <w:lvl w:ilvl="0">
      <w:start w:val="1"/>
      <w:numFmt w:val="lowerLetter"/>
      <w:lvlText w:val="%1)"/>
      <w:lvlJc w:val="left"/>
      <w:pPr>
        <w:tabs>
          <w:tab w:val="num" w:pos="717"/>
        </w:tabs>
        <w:ind w:left="717" w:hanging="360"/>
      </w:pPr>
      <w:rPr>
        <w:rFonts w:hint="default"/>
      </w:rPr>
    </w:lvl>
    <w:lvl w:ilvl="1" w:tentative="1">
      <w:start w:val="1"/>
      <w:numFmt w:val="bullet"/>
      <w:lvlText w:val="o"/>
      <w:lvlJc w:val="left"/>
      <w:pPr>
        <w:ind w:left="1440" w:hanging="360"/>
      </w:pPr>
      <w:rPr>
        <w:rFonts w:ascii="Courier New" w:hAnsi="Courier New" w:cs="TimesNew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TimesNewRoman"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TimesNewRoman" w:hint="default"/>
      </w:rPr>
    </w:lvl>
    <w:lvl w:ilvl="8" w:tentative="1">
      <w:start w:val="1"/>
      <w:numFmt w:val="bullet"/>
      <w:lvlText w:val=""/>
      <w:lvlJc w:val="left"/>
      <w:pPr>
        <w:ind w:left="6480" w:hanging="360"/>
      </w:pPr>
      <w:rPr>
        <w:rFonts w:ascii="Wingdings" w:hAnsi="Wingdings" w:hint="default"/>
      </w:rPr>
    </w:lvl>
  </w:abstractNum>
  <w:abstractNum w:abstractNumId="22">
    <w:nsid w:val="57F647C8"/>
    <w:multiLevelType w:val="hybridMultilevel"/>
    <w:tmpl w:val="A4C0C9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90A274F"/>
    <w:multiLevelType w:val="hybridMultilevel"/>
    <w:tmpl w:val="CBFAEA26"/>
    <w:lvl w:ilvl="0" w:tplc="96D03B8A">
      <w:start w:val="1"/>
      <w:numFmt w:val="bullet"/>
      <w:pStyle w:val="Punktatory1"/>
      <w:lvlText w:val="-"/>
      <w:lvlJc w:val="left"/>
      <w:pPr>
        <w:ind w:left="644"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0AB41E2"/>
    <w:multiLevelType w:val="hybridMultilevel"/>
    <w:tmpl w:val="D12AF672"/>
    <w:lvl w:ilvl="0" w:tplc="6712A192">
      <w:start w:val="1"/>
      <w:numFmt w:val="bullet"/>
      <w:lvlText w:val=""/>
      <w:lvlJc w:val="left"/>
      <w:pPr>
        <w:ind w:left="107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0B9750A"/>
    <w:multiLevelType w:val="hybridMultilevel"/>
    <w:tmpl w:val="29FC1238"/>
    <w:lvl w:ilvl="0" w:tplc="1CD20762">
      <w:start w:val="1"/>
      <w:numFmt w:val="bullet"/>
      <w:pStyle w:val="NPR-subakapitwyroznienie"/>
      <w:lvlText w:val=""/>
      <w:lvlJc w:val="left"/>
      <w:pPr>
        <w:tabs>
          <w:tab w:val="num" w:pos="360"/>
        </w:tabs>
        <w:ind w:left="360" w:hanging="360"/>
      </w:pPr>
      <w:rPr>
        <w:rFonts w:ascii="Wingdings" w:hAnsi="Wingdings" w:hint="default"/>
      </w:rPr>
    </w:lvl>
    <w:lvl w:ilvl="1" w:tplc="BBBA7176" w:tentative="1">
      <w:start w:val="1"/>
      <w:numFmt w:val="bullet"/>
      <w:lvlText w:val="o"/>
      <w:lvlJc w:val="left"/>
      <w:pPr>
        <w:tabs>
          <w:tab w:val="num" w:pos="1440"/>
        </w:tabs>
        <w:ind w:left="1440" w:hanging="360"/>
      </w:pPr>
      <w:rPr>
        <w:rFonts w:ascii="Courier New" w:hAnsi="Courier New" w:hint="default"/>
      </w:rPr>
    </w:lvl>
    <w:lvl w:ilvl="2" w:tplc="1CBEFB04" w:tentative="1">
      <w:start w:val="1"/>
      <w:numFmt w:val="bullet"/>
      <w:lvlText w:val=""/>
      <w:lvlJc w:val="left"/>
      <w:pPr>
        <w:tabs>
          <w:tab w:val="num" w:pos="2160"/>
        </w:tabs>
        <w:ind w:left="2160" w:hanging="360"/>
      </w:pPr>
      <w:rPr>
        <w:rFonts w:ascii="Wingdings" w:hAnsi="Wingdings" w:hint="default"/>
      </w:rPr>
    </w:lvl>
    <w:lvl w:ilvl="3" w:tplc="93D83476" w:tentative="1">
      <w:start w:val="1"/>
      <w:numFmt w:val="bullet"/>
      <w:lvlText w:val=""/>
      <w:lvlJc w:val="left"/>
      <w:pPr>
        <w:tabs>
          <w:tab w:val="num" w:pos="2880"/>
        </w:tabs>
        <w:ind w:left="2880" w:hanging="360"/>
      </w:pPr>
      <w:rPr>
        <w:rFonts w:ascii="Symbol" w:hAnsi="Symbol" w:hint="default"/>
      </w:rPr>
    </w:lvl>
    <w:lvl w:ilvl="4" w:tplc="0F188210" w:tentative="1">
      <w:start w:val="1"/>
      <w:numFmt w:val="bullet"/>
      <w:lvlText w:val="o"/>
      <w:lvlJc w:val="left"/>
      <w:pPr>
        <w:tabs>
          <w:tab w:val="num" w:pos="3600"/>
        </w:tabs>
        <w:ind w:left="3600" w:hanging="360"/>
      </w:pPr>
      <w:rPr>
        <w:rFonts w:ascii="Courier New" w:hAnsi="Courier New" w:hint="default"/>
      </w:rPr>
    </w:lvl>
    <w:lvl w:ilvl="5" w:tplc="101EBA3C" w:tentative="1">
      <w:start w:val="1"/>
      <w:numFmt w:val="bullet"/>
      <w:lvlText w:val=""/>
      <w:lvlJc w:val="left"/>
      <w:pPr>
        <w:tabs>
          <w:tab w:val="num" w:pos="4320"/>
        </w:tabs>
        <w:ind w:left="4320" w:hanging="360"/>
      </w:pPr>
      <w:rPr>
        <w:rFonts w:ascii="Wingdings" w:hAnsi="Wingdings" w:hint="default"/>
      </w:rPr>
    </w:lvl>
    <w:lvl w:ilvl="6" w:tplc="4292545A" w:tentative="1">
      <w:start w:val="1"/>
      <w:numFmt w:val="bullet"/>
      <w:lvlText w:val=""/>
      <w:lvlJc w:val="left"/>
      <w:pPr>
        <w:tabs>
          <w:tab w:val="num" w:pos="5040"/>
        </w:tabs>
        <w:ind w:left="5040" w:hanging="360"/>
      </w:pPr>
      <w:rPr>
        <w:rFonts w:ascii="Symbol" w:hAnsi="Symbol" w:hint="default"/>
      </w:rPr>
    </w:lvl>
    <w:lvl w:ilvl="7" w:tplc="99F4C6B8" w:tentative="1">
      <w:start w:val="1"/>
      <w:numFmt w:val="bullet"/>
      <w:lvlText w:val="o"/>
      <w:lvlJc w:val="left"/>
      <w:pPr>
        <w:tabs>
          <w:tab w:val="num" w:pos="5760"/>
        </w:tabs>
        <w:ind w:left="5760" w:hanging="360"/>
      </w:pPr>
      <w:rPr>
        <w:rFonts w:ascii="Courier New" w:hAnsi="Courier New" w:hint="default"/>
      </w:rPr>
    </w:lvl>
    <w:lvl w:ilvl="8" w:tplc="16BEF278" w:tentative="1">
      <w:start w:val="1"/>
      <w:numFmt w:val="bullet"/>
      <w:lvlText w:val=""/>
      <w:lvlJc w:val="left"/>
      <w:pPr>
        <w:tabs>
          <w:tab w:val="num" w:pos="6480"/>
        </w:tabs>
        <w:ind w:left="6480" w:hanging="360"/>
      </w:pPr>
      <w:rPr>
        <w:rFonts w:ascii="Wingdings" w:hAnsi="Wingdings" w:hint="default"/>
      </w:rPr>
    </w:lvl>
  </w:abstractNum>
  <w:abstractNum w:abstractNumId="26">
    <w:nsid w:val="610C63B4"/>
    <w:multiLevelType w:val="hybridMultilevel"/>
    <w:tmpl w:val="1E80935A"/>
    <w:lvl w:ilvl="0" w:tplc="0A2240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6F63E86"/>
    <w:multiLevelType w:val="multilevel"/>
    <w:tmpl w:val="C5480C1C"/>
    <w:lvl w:ilvl="0">
      <w:start w:val="7"/>
      <w:numFmt w:val="bullet"/>
      <w:pStyle w:val="AWYPUNKTOWANIE"/>
      <w:lvlText w:val=""/>
      <w:lvlJc w:val="left"/>
      <w:pPr>
        <w:tabs>
          <w:tab w:val="num" w:pos="360"/>
        </w:tabs>
        <w:ind w:left="360" w:hanging="360"/>
      </w:pPr>
      <w:rPr>
        <w:rFonts w:ascii="Symbol" w:eastAsia="Arial Unicode MS" w:hAnsi="Symbol" w:cs="Times New Roman" w:hint="default"/>
      </w:rPr>
    </w:lvl>
    <w:lvl w:ilvl="1">
      <w:start w:val="1"/>
      <w:numFmt w:val="bullet"/>
      <w:pStyle w:val="AWYPUNKTOWANIE"/>
      <w:lvlText w:val="-"/>
      <w:lvlJc w:val="left"/>
      <w:pPr>
        <w:tabs>
          <w:tab w:val="num" w:pos="757"/>
        </w:tabs>
        <w:ind w:left="737" w:hanging="340"/>
      </w:pPr>
      <w:rPr>
        <w:rFonts w:hint="default"/>
      </w:rPr>
    </w:lvl>
    <w:lvl w:ilvl="2">
      <w:start w:val="1"/>
      <w:numFmt w:val="bullet"/>
      <w:lvlText w:val=""/>
      <w:lvlJc w:val="left"/>
      <w:pPr>
        <w:tabs>
          <w:tab w:val="num" w:pos="1247"/>
        </w:tabs>
        <w:ind w:left="1247" w:hanging="396"/>
      </w:pPr>
      <w:rPr>
        <w:rFonts w:ascii="Symbol" w:hAnsi="Symbol" w:hint="default"/>
      </w:rPr>
    </w:lvl>
    <w:lvl w:ilvl="3">
      <w:start w:val="1"/>
      <w:numFmt w:val="bullet"/>
      <w:lvlText w:val="-"/>
      <w:lvlJc w:val="left"/>
      <w:pPr>
        <w:tabs>
          <w:tab w:val="num" w:pos="1814"/>
        </w:tabs>
        <w:ind w:left="1814" w:hanging="453"/>
      </w:pPr>
      <w:rPr>
        <w:rFonts w:hint="default"/>
      </w:rPr>
    </w:lvl>
    <w:lvl w:ilvl="4">
      <w:start w:val="1"/>
      <w:numFmt w:val="bullet"/>
      <w:lvlText w:val="-"/>
      <w:lvlJc w:val="left"/>
      <w:pPr>
        <w:tabs>
          <w:tab w:val="num" w:pos="2438"/>
        </w:tabs>
        <w:ind w:left="2438" w:hanging="567"/>
      </w:pPr>
      <w:rPr>
        <w:rFonts w:hint="default"/>
      </w:rPr>
    </w:lvl>
    <w:lvl w:ilvl="5">
      <w:start w:val="1"/>
      <w:numFmt w:val="bullet"/>
      <w:lvlText w:val="-"/>
      <w:lvlJc w:val="left"/>
      <w:pPr>
        <w:tabs>
          <w:tab w:val="num" w:pos="2778"/>
        </w:tabs>
        <w:ind w:left="2778" w:hanging="397"/>
      </w:pPr>
      <w:rPr>
        <w:rFonts w:hint="default"/>
      </w:rPr>
    </w:lvl>
    <w:lvl w:ilvl="6">
      <w:start w:val="1"/>
      <w:numFmt w:val="bullet"/>
      <w:lvlText w:val="-"/>
      <w:lvlJc w:val="left"/>
      <w:pPr>
        <w:tabs>
          <w:tab w:val="num" w:pos="3308"/>
        </w:tabs>
        <w:ind w:left="3289" w:hanging="341"/>
      </w:pPr>
      <w:rPr>
        <w:rFonts w:hint="default"/>
      </w:rPr>
    </w:lvl>
    <w:lvl w:ilvl="7">
      <w:start w:val="1"/>
      <w:numFmt w:val="bullet"/>
      <w:lvlText w:val="-"/>
      <w:lvlJc w:val="left"/>
      <w:pPr>
        <w:tabs>
          <w:tab w:val="num" w:pos="4833"/>
        </w:tabs>
        <w:ind w:left="4833" w:hanging="360"/>
      </w:pPr>
      <w:rPr>
        <w:rFonts w:hint="default"/>
      </w:rPr>
    </w:lvl>
    <w:lvl w:ilvl="8">
      <w:start w:val="1"/>
      <w:numFmt w:val="bullet"/>
      <w:lvlText w:val="-"/>
      <w:lvlJc w:val="left"/>
      <w:pPr>
        <w:tabs>
          <w:tab w:val="num" w:pos="5553"/>
        </w:tabs>
        <w:ind w:left="5553" w:hanging="360"/>
      </w:pPr>
      <w:rPr>
        <w:rFonts w:hint="default"/>
      </w:rPr>
    </w:lvl>
  </w:abstractNum>
  <w:abstractNum w:abstractNumId="28">
    <w:nsid w:val="67B26B4C"/>
    <w:multiLevelType w:val="hybridMultilevel"/>
    <w:tmpl w:val="1B8E9BC4"/>
    <w:lvl w:ilvl="0" w:tplc="0A22401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7F9070A"/>
    <w:multiLevelType w:val="singleLevel"/>
    <w:tmpl w:val="2CC4B3F8"/>
    <w:lvl w:ilvl="0">
      <w:start w:val="1"/>
      <w:numFmt w:val="bullet"/>
      <w:pStyle w:val="pauza"/>
      <w:lvlText w:val="–"/>
      <w:lvlJc w:val="left"/>
      <w:pPr>
        <w:tabs>
          <w:tab w:val="num" w:pos="567"/>
        </w:tabs>
        <w:ind w:left="567" w:hanging="567"/>
      </w:pPr>
      <w:rPr>
        <w:rFonts w:ascii="Times New Roman" w:hAnsi="Times New Roman" w:hint="default"/>
      </w:rPr>
    </w:lvl>
  </w:abstractNum>
  <w:abstractNum w:abstractNumId="30">
    <w:nsid w:val="684C6B4B"/>
    <w:multiLevelType w:val="hybridMultilevel"/>
    <w:tmpl w:val="D772EC62"/>
    <w:lvl w:ilvl="0" w:tplc="890E5126">
      <w:start w:val="1"/>
      <w:numFmt w:val="bullet"/>
      <w:lvlText w:val=""/>
      <w:lvlJc w:val="left"/>
      <w:pPr>
        <w:ind w:left="720" w:hanging="360"/>
      </w:pPr>
      <w:rPr>
        <w:rFonts w:ascii="Symbol" w:hAnsi="Symbol" w:hint="default"/>
      </w:rPr>
    </w:lvl>
    <w:lvl w:ilvl="1" w:tplc="6D56F538" w:tentative="1">
      <w:start w:val="1"/>
      <w:numFmt w:val="bullet"/>
      <w:lvlText w:val="o"/>
      <w:lvlJc w:val="left"/>
      <w:pPr>
        <w:ind w:left="1440" w:hanging="360"/>
      </w:pPr>
      <w:rPr>
        <w:rFonts w:ascii="Courier New" w:hAnsi="Courier New" w:cs="Courier New" w:hint="default"/>
      </w:rPr>
    </w:lvl>
    <w:lvl w:ilvl="2" w:tplc="FEDE28CE" w:tentative="1">
      <w:start w:val="1"/>
      <w:numFmt w:val="bullet"/>
      <w:lvlText w:val=""/>
      <w:lvlJc w:val="left"/>
      <w:pPr>
        <w:ind w:left="2160" w:hanging="360"/>
      </w:pPr>
      <w:rPr>
        <w:rFonts w:ascii="Wingdings" w:hAnsi="Wingdings" w:hint="default"/>
      </w:rPr>
    </w:lvl>
    <w:lvl w:ilvl="3" w:tplc="BA2E1A08" w:tentative="1">
      <w:start w:val="1"/>
      <w:numFmt w:val="bullet"/>
      <w:lvlText w:val=""/>
      <w:lvlJc w:val="left"/>
      <w:pPr>
        <w:ind w:left="2880" w:hanging="360"/>
      </w:pPr>
      <w:rPr>
        <w:rFonts w:ascii="Symbol" w:hAnsi="Symbol" w:hint="default"/>
      </w:rPr>
    </w:lvl>
    <w:lvl w:ilvl="4" w:tplc="EE9803C0" w:tentative="1">
      <w:start w:val="1"/>
      <w:numFmt w:val="bullet"/>
      <w:lvlText w:val="o"/>
      <w:lvlJc w:val="left"/>
      <w:pPr>
        <w:ind w:left="3600" w:hanging="360"/>
      </w:pPr>
      <w:rPr>
        <w:rFonts w:ascii="Courier New" w:hAnsi="Courier New" w:cs="Courier New" w:hint="default"/>
      </w:rPr>
    </w:lvl>
    <w:lvl w:ilvl="5" w:tplc="3C8C4F62" w:tentative="1">
      <w:start w:val="1"/>
      <w:numFmt w:val="bullet"/>
      <w:lvlText w:val=""/>
      <w:lvlJc w:val="left"/>
      <w:pPr>
        <w:ind w:left="4320" w:hanging="360"/>
      </w:pPr>
      <w:rPr>
        <w:rFonts w:ascii="Wingdings" w:hAnsi="Wingdings" w:hint="default"/>
      </w:rPr>
    </w:lvl>
    <w:lvl w:ilvl="6" w:tplc="EEC0C96A" w:tentative="1">
      <w:start w:val="1"/>
      <w:numFmt w:val="bullet"/>
      <w:lvlText w:val=""/>
      <w:lvlJc w:val="left"/>
      <w:pPr>
        <w:ind w:left="5040" w:hanging="360"/>
      </w:pPr>
      <w:rPr>
        <w:rFonts w:ascii="Symbol" w:hAnsi="Symbol" w:hint="default"/>
      </w:rPr>
    </w:lvl>
    <w:lvl w:ilvl="7" w:tplc="6316A6B6" w:tentative="1">
      <w:start w:val="1"/>
      <w:numFmt w:val="bullet"/>
      <w:lvlText w:val="o"/>
      <w:lvlJc w:val="left"/>
      <w:pPr>
        <w:ind w:left="5760" w:hanging="360"/>
      </w:pPr>
      <w:rPr>
        <w:rFonts w:ascii="Courier New" w:hAnsi="Courier New" w:cs="Courier New" w:hint="default"/>
      </w:rPr>
    </w:lvl>
    <w:lvl w:ilvl="8" w:tplc="2EBC5CAC" w:tentative="1">
      <w:start w:val="1"/>
      <w:numFmt w:val="bullet"/>
      <w:lvlText w:val=""/>
      <w:lvlJc w:val="left"/>
      <w:pPr>
        <w:ind w:left="6480" w:hanging="360"/>
      </w:pPr>
      <w:rPr>
        <w:rFonts w:ascii="Wingdings" w:hAnsi="Wingdings" w:hint="default"/>
      </w:rPr>
    </w:lvl>
  </w:abstractNum>
  <w:abstractNum w:abstractNumId="31">
    <w:nsid w:val="6874020A"/>
    <w:multiLevelType w:val="hybridMultilevel"/>
    <w:tmpl w:val="D00848B6"/>
    <w:lvl w:ilvl="0" w:tplc="A1166EC2">
      <w:start w:val="1"/>
      <w:numFmt w:val="bullet"/>
      <w:lvlText w:val=""/>
      <w:lvlJc w:val="left"/>
      <w:pPr>
        <w:ind w:left="720" w:hanging="360"/>
      </w:pPr>
      <w:rPr>
        <w:rFonts w:ascii="Symbol" w:hAnsi="Symbol" w:hint="default"/>
      </w:rPr>
    </w:lvl>
    <w:lvl w:ilvl="1" w:tplc="61BCF938" w:tentative="1">
      <w:start w:val="1"/>
      <w:numFmt w:val="bullet"/>
      <w:lvlText w:val="o"/>
      <w:lvlJc w:val="left"/>
      <w:pPr>
        <w:ind w:left="1440" w:hanging="360"/>
      </w:pPr>
      <w:rPr>
        <w:rFonts w:ascii="Courier New" w:hAnsi="Courier New" w:cs="Courier New" w:hint="default"/>
      </w:rPr>
    </w:lvl>
    <w:lvl w:ilvl="2" w:tplc="6E72649E" w:tentative="1">
      <w:start w:val="1"/>
      <w:numFmt w:val="bullet"/>
      <w:lvlText w:val=""/>
      <w:lvlJc w:val="left"/>
      <w:pPr>
        <w:ind w:left="2160" w:hanging="360"/>
      </w:pPr>
      <w:rPr>
        <w:rFonts w:ascii="Wingdings" w:hAnsi="Wingdings" w:hint="default"/>
      </w:rPr>
    </w:lvl>
    <w:lvl w:ilvl="3" w:tplc="8B82960E" w:tentative="1">
      <w:start w:val="1"/>
      <w:numFmt w:val="bullet"/>
      <w:lvlText w:val=""/>
      <w:lvlJc w:val="left"/>
      <w:pPr>
        <w:ind w:left="2880" w:hanging="360"/>
      </w:pPr>
      <w:rPr>
        <w:rFonts w:ascii="Symbol" w:hAnsi="Symbol" w:hint="default"/>
      </w:rPr>
    </w:lvl>
    <w:lvl w:ilvl="4" w:tplc="0C3CA3CE" w:tentative="1">
      <w:start w:val="1"/>
      <w:numFmt w:val="bullet"/>
      <w:lvlText w:val="o"/>
      <w:lvlJc w:val="left"/>
      <w:pPr>
        <w:ind w:left="3600" w:hanging="360"/>
      </w:pPr>
      <w:rPr>
        <w:rFonts w:ascii="Courier New" w:hAnsi="Courier New" w:cs="Courier New" w:hint="default"/>
      </w:rPr>
    </w:lvl>
    <w:lvl w:ilvl="5" w:tplc="AC6C5C90" w:tentative="1">
      <w:start w:val="1"/>
      <w:numFmt w:val="bullet"/>
      <w:lvlText w:val=""/>
      <w:lvlJc w:val="left"/>
      <w:pPr>
        <w:ind w:left="4320" w:hanging="360"/>
      </w:pPr>
      <w:rPr>
        <w:rFonts w:ascii="Wingdings" w:hAnsi="Wingdings" w:hint="default"/>
      </w:rPr>
    </w:lvl>
    <w:lvl w:ilvl="6" w:tplc="56EAAC0C" w:tentative="1">
      <w:start w:val="1"/>
      <w:numFmt w:val="bullet"/>
      <w:lvlText w:val=""/>
      <w:lvlJc w:val="left"/>
      <w:pPr>
        <w:ind w:left="5040" w:hanging="360"/>
      </w:pPr>
      <w:rPr>
        <w:rFonts w:ascii="Symbol" w:hAnsi="Symbol" w:hint="default"/>
      </w:rPr>
    </w:lvl>
    <w:lvl w:ilvl="7" w:tplc="C8FAA774" w:tentative="1">
      <w:start w:val="1"/>
      <w:numFmt w:val="bullet"/>
      <w:lvlText w:val="o"/>
      <w:lvlJc w:val="left"/>
      <w:pPr>
        <w:ind w:left="5760" w:hanging="360"/>
      </w:pPr>
      <w:rPr>
        <w:rFonts w:ascii="Courier New" w:hAnsi="Courier New" w:cs="Courier New" w:hint="default"/>
      </w:rPr>
    </w:lvl>
    <w:lvl w:ilvl="8" w:tplc="A9E083E4" w:tentative="1">
      <w:start w:val="1"/>
      <w:numFmt w:val="bullet"/>
      <w:lvlText w:val=""/>
      <w:lvlJc w:val="left"/>
      <w:pPr>
        <w:ind w:left="6480" w:hanging="360"/>
      </w:pPr>
      <w:rPr>
        <w:rFonts w:ascii="Wingdings" w:hAnsi="Wingdings" w:hint="default"/>
      </w:rPr>
    </w:lvl>
  </w:abstractNum>
  <w:abstractNum w:abstractNumId="32">
    <w:nsid w:val="73BE1C6B"/>
    <w:multiLevelType w:val="hybridMultilevel"/>
    <w:tmpl w:val="DD523E4E"/>
    <w:lvl w:ilvl="0" w:tplc="475A9BE0">
      <w:start w:val="1"/>
      <w:numFmt w:val="bullet"/>
      <w:lvlText w:val="-"/>
      <w:lvlJc w:val="left"/>
      <w:pPr>
        <w:ind w:left="720" w:hanging="360"/>
      </w:pPr>
      <w:rPr>
        <w:rFonts w:ascii="Symbol" w:eastAsia="Times New Roman" w:hAnsi="Symbol" w:cs="Times New Roman" w:hint="default"/>
      </w:rPr>
    </w:lvl>
    <w:lvl w:ilvl="1" w:tplc="70D2AAFC" w:tentative="1">
      <w:start w:val="1"/>
      <w:numFmt w:val="bullet"/>
      <w:lvlText w:val="o"/>
      <w:lvlJc w:val="left"/>
      <w:pPr>
        <w:ind w:left="1440" w:hanging="360"/>
      </w:pPr>
      <w:rPr>
        <w:rFonts w:ascii="Courier New" w:hAnsi="Courier New" w:cs="Courier New" w:hint="default"/>
      </w:rPr>
    </w:lvl>
    <w:lvl w:ilvl="2" w:tplc="36C6A166" w:tentative="1">
      <w:start w:val="1"/>
      <w:numFmt w:val="bullet"/>
      <w:lvlText w:val=""/>
      <w:lvlJc w:val="left"/>
      <w:pPr>
        <w:ind w:left="2160" w:hanging="360"/>
      </w:pPr>
      <w:rPr>
        <w:rFonts w:ascii="Wingdings" w:hAnsi="Wingdings" w:hint="default"/>
      </w:rPr>
    </w:lvl>
    <w:lvl w:ilvl="3" w:tplc="4CC81D16" w:tentative="1">
      <w:start w:val="1"/>
      <w:numFmt w:val="bullet"/>
      <w:lvlText w:val=""/>
      <w:lvlJc w:val="left"/>
      <w:pPr>
        <w:ind w:left="2880" w:hanging="360"/>
      </w:pPr>
      <w:rPr>
        <w:rFonts w:ascii="Symbol" w:hAnsi="Symbol" w:hint="default"/>
      </w:rPr>
    </w:lvl>
    <w:lvl w:ilvl="4" w:tplc="13DAF868" w:tentative="1">
      <w:start w:val="1"/>
      <w:numFmt w:val="bullet"/>
      <w:lvlText w:val="o"/>
      <w:lvlJc w:val="left"/>
      <w:pPr>
        <w:ind w:left="3600" w:hanging="360"/>
      </w:pPr>
      <w:rPr>
        <w:rFonts w:ascii="Courier New" w:hAnsi="Courier New" w:cs="Courier New" w:hint="default"/>
      </w:rPr>
    </w:lvl>
    <w:lvl w:ilvl="5" w:tplc="359285DE" w:tentative="1">
      <w:start w:val="1"/>
      <w:numFmt w:val="bullet"/>
      <w:lvlText w:val=""/>
      <w:lvlJc w:val="left"/>
      <w:pPr>
        <w:ind w:left="4320" w:hanging="360"/>
      </w:pPr>
      <w:rPr>
        <w:rFonts w:ascii="Wingdings" w:hAnsi="Wingdings" w:hint="default"/>
      </w:rPr>
    </w:lvl>
    <w:lvl w:ilvl="6" w:tplc="01AA1852" w:tentative="1">
      <w:start w:val="1"/>
      <w:numFmt w:val="bullet"/>
      <w:lvlText w:val=""/>
      <w:lvlJc w:val="left"/>
      <w:pPr>
        <w:ind w:left="5040" w:hanging="360"/>
      </w:pPr>
      <w:rPr>
        <w:rFonts w:ascii="Symbol" w:hAnsi="Symbol" w:hint="default"/>
      </w:rPr>
    </w:lvl>
    <w:lvl w:ilvl="7" w:tplc="7BE20070" w:tentative="1">
      <w:start w:val="1"/>
      <w:numFmt w:val="bullet"/>
      <w:lvlText w:val="o"/>
      <w:lvlJc w:val="left"/>
      <w:pPr>
        <w:ind w:left="5760" w:hanging="360"/>
      </w:pPr>
      <w:rPr>
        <w:rFonts w:ascii="Courier New" w:hAnsi="Courier New" w:cs="Courier New" w:hint="default"/>
      </w:rPr>
    </w:lvl>
    <w:lvl w:ilvl="8" w:tplc="1730EAD6" w:tentative="1">
      <w:start w:val="1"/>
      <w:numFmt w:val="bullet"/>
      <w:lvlText w:val=""/>
      <w:lvlJc w:val="left"/>
      <w:pPr>
        <w:ind w:left="6480" w:hanging="360"/>
      </w:pPr>
      <w:rPr>
        <w:rFonts w:ascii="Wingdings" w:hAnsi="Wingdings" w:hint="default"/>
      </w:rPr>
    </w:lvl>
  </w:abstractNum>
  <w:abstractNum w:abstractNumId="33">
    <w:nsid w:val="75C90281"/>
    <w:multiLevelType w:val="hybridMultilevel"/>
    <w:tmpl w:val="11AA12D2"/>
    <w:lvl w:ilvl="0" w:tplc="05E8D5D6">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79F62915"/>
    <w:multiLevelType w:val="hybridMultilevel"/>
    <w:tmpl w:val="E848B550"/>
    <w:lvl w:ilvl="0" w:tplc="0A224014">
      <w:start w:val="1"/>
      <w:numFmt w:val="decimal"/>
      <w:lvlText w:val="%1."/>
      <w:lvlJc w:val="left"/>
      <w:pPr>
        <w:tabs>
          <w:tab w:val="num" w:pos="720"/>
        </w:tabs>
        <w:ind w:left="720" w:hanging="360"/>
      </w:pPr>
      <w:rPr>
        <w:rFonts w:hint="default"/>
      </w:rPr>
    </w:lvl>
    <w:lvl w:ilvl="1" w:tplc="04150003">
      <w:start w:val="1"/>
      <w:numFmt w:val="decimal"/>
      <w:pStyle w:val="Numerowanie2"/>
      <w:lvlText w:val="%2)"/>
      <w:lvlJc w:val="left"/>
      <w:pPr>
        <w:tabs>
          <w:tab w:val="num" w:pos="1470"/>
        </w:tabs>
        <w:ind w:left="1470" w:hanging="390"/>
      </w:pPr>
      <w:rPr>
        <w:rFonts w:hint="default"/>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5">
    <w:nsid w:val="7D085EF0"/>
    <w:multiLevelType w:val="hybridMultilevel"/>
    <w:tmpl w:val="CCB8695A"/>
    <w:lvl w:ilvl="0" w:tplc="04150009">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25"/>
  </w:num>
  <w:num w:numId="3">
    <w:abstractNumId w:val="19"/>
  </w:num>
  <w:num w:numId="4">
    <w:abstractNumId w:val="6"/>
  </w:num>
  <w:num w:numId="5">
    <w:abstractNumId w:val="5"/>
  </w:num>
  <w:num w:numId="6">
    <w:abstractNumId w:val="33"/>
  </w:num>
  <w:num w:numId="7">
    <w:abstractNumId w:val="2"/>
  </w:num>
  <w:num w:numId="8">
    <w:abstractNumId w:val="1"/>
  </w:num>
  <w:num w:numId="9">
    <w:abstractNumId w:val="0"/>
  </w:num>
  <w:num w:numId="10">
    <w:abstractNumId w:val="13"/>
  </w:num>
  <w:num w:numId="11">
    <w:abstractNumId w:val="29"/>
  </w:num>
  <w:num w:numId="12">
    <w:abstractNumId w:val="26"/>
  </w:num>
  <w:num w:numId="13">
    <w:abstractNumId w:val="24"/>
  </w:num>
  <w:num w:numId="14">
    <w:abstractNumId w:val="18"/>
  </w:num>
  <w:num w:numId="15">
    <w:abstractNumId w:val="17"/>
  </w:num>
  <w:num w:numId="16">
    <w:abstractNumId w:val="10"/>
  </w:num>
  <w:num w:numId="17">
    <w:abstractNumId w:val="4"/>
  </w:num>
  <w:num w:numId="18">
    <w:abstractNumId w:val="31"/>
  </w:num>
  <w:num w:numId="19">
    <w:abstractNumId w:val="35"/>
  </w:num>
  <w:num w:numId="20">
    <w:abstractNumId w:val="27"/>
  </w:num>
  <w:num w:numId="21">
    <w:abstractNumId w:val="22"/>
  </w:num>
  <w:num w:numId="22">
    <w:abstractNumId w:val="23"/>
  </w:num>
  <w:num w:numId="23">
    <w:abstractNumId w:val="11"/>
  </w:num>
  <w:num w:numId="24">
    <w:abstractNumId w:val="30"/>
  </w:num>
  <w:num w:numId="25">
    <w:abstractNumId w:val="14"/>
  </w:num>
  <w:num w:numId="26">
    <w:abstractNumId w:val="16"/>
  </w:num>
  <w:num w:numId="27">
    <w:abstractNumId w:val="7"/>
  </w:num>
  <w:num w:numId="28">
    <w:abstractNumId w:val="15"/>
  </w:num>
  <w:num w:numId="29">
    <w:abstractNumId w:val="8"/>
  </w:num>
  <w:num w:numId="30">
    <w:abstractNumId w:val="32"/>
  </w:num>
  <w:num w:numId="31">
    <w:abstractNumId w:val="20"/>
  </w:num>
  <w:num w:numId="32">
    <w:abstractNumId w:val="23"/>
  </w:num>
  <w:num w:numId="33">
    <w:abstractNumId w:val="23"/>
  </w:num>
  <w:num w:numId="34">
    <w:abstractNumId w:val="21"/>
  </w:num>
  <w:num w:numId="35">
    <w:abstractNumId w:val="5"/>
  </w:num>
  <w:num w:numId="36">
    <w:abstractNumId w:val="15"/>
  </w:num>
  <w:num w:numId="37">
    <w:abstractNumId w:val="12"/>
  </w:num>
  <w:num w:numId="38">
    <w:abstractNumId w:val="9"/>
  </w:num>
  <w:num w:numId="39">
    <w:abstractNumId w:val="2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004"/>
  <w:defaultTabStop w:val="170"/>
  <w:hyphenationZone w:val="425"/>
  <w:drawingGridHorizontalSpacing w:val="120"/>
  <w:displayHorizontalDrawingGridEvery w:val="2"/>
  <w:characterSpacingControl w:val="doNotCompress"/>
  <w:hdrShapeDefaults>
    <o:shapedefaults v:ext="edit" spidmax="772098"/>
  </w:hdrShapeDefaults>
  <w:footnotePr>
    <w:footnote w:id="0"/>
    <w:footnote w:id="1"/>
  </w:footnotePr>
  <w:endnotePr>
    <w:endnote w:id="0"/>
    <w:endnote w:id="1"/>
  </w:endnotePr>
  <w:compat/>
  <w:rsids>
    <w:rsidRoot w:val="00F325DE"/>
    <w:rsid w:val="00000445"/>
    <w:rsid w:val="00000636"/>
    <w:rsid w:val="00000681"/>
    <w:rsid w:val="00000A2C"/>
    <w:rsid w:val="000010BE"/>
    <w:rsid w:val="000012C2"/>
    <w:rsid w:val="000012CC"/>
    <w:rsid w:val="000019E9"/>
    <w:rsid w:val="00001B26"/>
    <w:rsid w:val="00001C95"/>
    <w:rsid w:val="00001DD9"/>
    <w:rsid w:val="00001F7E"/>
    <w:rsid w:val="00002248"/>
    <w:rsid w:val="00002538"/>
    <w:rsid w:val="00002AF4"/>
    <w:rsid w:val="00002FC3"/>
    <w:rsid w:val="000038D2"/>
    <w:rsid w:val="00003915"/>
    <w:rsid w:val="00003AE0"/>
    <w:rsid w:val="00003B7C"/>
    <w:rsid w:val="00003FD9"/>
    <w:rsid w:val="0000406D"/>
    <w:rsid w:val="000042E7"/>
    <w:rsid w:val="0000454B"/>
    <w:rsid w:val="00004633"/>
    <w:rsid w:val="00004FB1"/>
    <w:rsid w:val="000051B8"/>
    <w:rsid w:val="0000534E"/>
    <w:rsid w:val="00005669"/>
    <w:rsid w:val="00005851"/>
    <w:rsid w:val="00005D6E"/>
    <w:rsid w:val="000062D4"/>
    <w:rsid w:val="00006380"/>
    <w:rsid w:val="000067E7"/>
    <w:rsid w:val="00006A45"/>
    <w:rsid w:val="00006C41"/>
    <w:rsid w:val="00007229"/>
    <w:rsid w:val="00007424"/>
    <w:rsid w:val="00007C1B"/>
    <w:rsid w:val="000101F1"/>
    <w:rsid w:val="0001104F"/>
    <w:rsid w:val="0001112E"/>
    <w:rsid w:val="00011186"/>
    <w:rsid w:val="000113A3"/>
    <w:rsid w:val="000116DB"/>
    <w:rsid w:val="000119B6"/>
    <w:rsid w:val="00011B4D"/>
    <w:rsid w:val="0001206E"/>
    <w:rsid w:val="000121A7"/>
    <w:rsid w:val="000126B4"/>
    <w:rsid w:val="00012C4D"/>
    <w:rsid w:val="000131A0"/>
    <w:rsid w:val="00013F99"/>
    <w:rsid w:val="00014181"/>
    <w:rsid w:val="000144B4"/>
    <w:rsid w:val="000145E4"/>
    <w:rsid w:val="000145FA"/>
    <w:rsid w:val="00014668"/>
    <w:rsid w:val="00014692"/>
    <w:rsid w:val="00014851"/>
    <w:rsid w:val="0001487B"/>
    <w:rsid w:val="00014A65"/>
    <w:rsid w:val="00014AED"/>
    <w:rsid w:val="00014E53"/>
    <w:rsid w:val="00014FC6"/>
    <w:rsid w:val="00014FD2"/>
    <w:rsid w:val="00015335"/>
    <w:rsid w:val="000155DC"/>
    <w:rsid w:val="00015D4F"/>
    <w:rsid w:val="00015E6D"/>
    <w:rsid w:val="00015EDF"/>
    <w:rsid w:val="00015F27"/>
    <w:rsid w:val="00015FDE"/>
    <w:rsid w:val="00016225"/>
    <w:rsid w:val="00016996"/>
    <w:rsid w:val="00016B43"/>
    <w:rsid w:val="00016B95"/>
    <w:rsid w:val="00016D6B"/>
    <w:rsid w:val="00016EA7"/>
    <w:rsid w:val="000170C9"/>
    <w:rsid w:val="000171EA"/>
    <w:rsid w:val="00017413"/>
    <w:rsid w:val="00017797"/>
    <w:rsid w:val="00017FBB"/>
    <w:rsid w:val="0002023E"/>
    <w:rsid w:val="00020291"/>
    <w:rsid w:val="000205DF"/>
    <w:rsid w:val="000209CE"/>
    <w:rsid w:val="00020F06"/>
    <w:rsid w:val="00020FF6"/>
    <w:rsid w:val="00021586"/>
    <w:rsid w:val="000218A0"/>
    <w:rsid w:val="000218ED"/>
    <w:rsid w:val="00021AF3"/>
    <w:rsid w:val="00021E7B"/>
    <w:rsid w:val="000221E8"/>
    <w:rsid w:val="000226CD"/>
    <w:rsid w:val="00022997"/>
    <w:rsid w:val="00022F7E"/>
    <w:rsid w:val="00023005"/>
    <w:rsid w:val="00023531"/>
    <w:rsid w:val="00023C5E"/>
    <w:rsid w:val="00023F47"/>
    <w:rsid w:val="00023FD1"/>
    <w:rsid w:val="00023FF8"/>
    <w:rsid w:val="00024853"/>
    <w:rsid w:val="00024971"/>
    <w:rsid w:val="00024B21"/>
    <w:rsid w:val="00024DC7"/>
    <w:rsid w:val="000252E1"/>
    <w:rsid w:val="0002575A"/>
    <w:rsid w:val="00025912"/>
    <w:rsid w:val="00025A4F"/>
    <w:rsid w:val="00025A78"/>
    <w:rsid w:val="00025AB7"/>
    <w:rsid w:val="00025B0D"/>
    <w:rsid w:val="00025DF8"/>
    <w:rsid w:val="0002629F"/>
    <w:rsid w:val="00026372"/>
    <w:rsid w:val="0002663F"/>
    <w:rsid w:val="000266D7"/>
    <w:rsid w:val="00026B10"/>
    <w:rsid w:val="00026D49"/>
    <w:rsid w:val="00027CC4"/>
    <w:rsid w:val="000301CE"/>
    <w:rsid w:val="000301FB"/>
    <w:rsid w:val="0003047A"/>
    <w:rsid w:val="0003059B"/>
    <w:rsid w:val="00030704"/>
    <w:rsid w:val="000308CE"/>
    <w:rsid w:val="00030A15"/>
    <w:rsid w:val="00030A27"/>
    <w:rsid w:val="00030AE9"/>
    <w:rsid w:val="00030CB9"/>
    <w:rsid w:val="00030E06"/>
    <w:rsid w:val="00031157"/>
    <w:rsid w:val="00031382"/>
    <w:rsid w:val="00031D13"/>
    <w:rsid w:val="00031E54"/>
    <w:rsid w:val="000320FC"/>
    <w:rsid w:val="000322C2"/>
    <w:rsid w:val="00032766"/>
    <w:rsid w:val="0003288A"/>
    <w:rsid w:val="00032AE7"/>
    <w:rsid w:val="00032CCA"/>
    <w:rsid w:val="00032D3C"/>
    <w:rsid w:val="00033278"/>
    <w:rsid w:val="00033CBD"/>
    <w:rsid w:val="000340A0"/>
    <w:rsid w:val="000340FB"/>
    <w:rsid w:val="0003426F"/>
    <w:rsid w:val="00034354"/>
    <w:rsid w:val="000343EE"/>
    <w:rsid w:val="0003457C"/>
    <w:rsid w:val="00034640"/>
    <w:rsid w:val="000348B1"/>
    <w:rsid w:val="00034BA1"/>
    <w:rsid w:val="00035022"/>
    <w:rsid w:val="000352B0"/>
    <w:rsid w:val="000355F0"/>
    <w:rsid w:val="00035CFE"/>
    <w:rsid w:val="000360FE"/>
    <w:rsid w:val="0003629B"/>
    <w:rsid w:val="000362F6"/>
    <w:rsid w:val="0003631F"/>
    <w:rsid w:val="0003638F"/>
    <w:rsid w:val="00036667"/>
    <w:rsid w:val="00036BBB"/>
    <w:rsid w:val="00036F0F"/>
    <w:rsid w:val="00036F1B"/>
    <w:rsid w:val="00036F34"/>
    <w:rsid w:val="000373ED"/>
    <w:rsid w:val="00037426"/>
    <w:rsid w:val="0003745A"/>
    <w:rsid w:val="00037645"/>
    <w:rsid w:val="000379C9"/>
    <w:rsid w:val="00037B4F"/>
    <w:rsid w:val="00037DA2"/>
    <w:rsid w:val="00037E7F"/>
    <w:rsid w:val="000400E9"/>
    <w:rsid w:val="000400F1"/>
    <w:rsid w:val="0004013A"/>
    <w:rsid w:val="000406CE"/>
    <w:rsid w:val="0004071D"/>
    <w:rsid w:val="00040805"/>
    <w:rsid w:val="00041578"/>
    <w:rsid w:val="00041614"/>
    <w:rsid w:val="00041BF3"/>
    <w:rsid w:val="00041CE1"/>
    <w:rsid w:val="00041F9C"/>
    <w:rsid w:val="0004213C"/>
    <w:rsid w:val="000422C2"/>
    <w:rsid w:val="00042E8B"/>
    <w:rsid w:val="00043042"/>
    <w:rsid w:val="00043437"/>
    <w:rsid w:val="00043C2C"/>
    <w:rsid w:val="00043D1A"/>
    <w:rsid w:val="00043E64"/>
    <w:rsid w:val="00043E76"/>
    <w:rsid w:val="000445F7"/>
    <w:rsid w:val="00044755"/>
    <w:rsid w:val="00044B26"/>
    <w:rsid w:val="00044B4C"/>
    <w:rsid w:val="00044E2A"/>
    <w:rsid w:val="00045796"/>
    <w:rsid w:val="0004579C"/>
    <w:rsid w:val="000458DB"/>
    <w:rsid w:val="00045EEC"/>
    <w:rsid w:val="000467C7"/>
    <w:rsid w:val="00047E95"/>
    <w:rsid w:val="000500A2"/>
    <w:rsid w:val="000503B3"/>
    <w:rsid w:val="00050470"/>
    <w:rsid w:val="0005047F"/>
    <w:rsid w:val="000506A1"/>
    <w:rsid w:val="00050774"/>
    <w:rsid w:val="00051453"/>
    <w:rsid w:val="00051664"/>
    <w:rsid w:val="00051A76"/>
    <w:rsid w:val="00051D21"/>
    <w:rsid w:val="00051DB4"/>
    <w:rsid w:val="00051E64"/>
    <w:rsid w:val="00052225"/>
    <w:rsid w:val="0005260C"/>
    <w:rsid w:val="000532ED"/>
    <w:rsid w:val="00053498"/>
    <w:rsid w:val="000535C2"/>
    <w:rsid w:val="00053E4E"/>
    <w:rsid w:val="00053ED3"/>
    <w:rsid w:val="000540CF"/>
    <w:rsid w:val="00054440"/>
    <w:rsid w:val="0005453F"/>
    <w:rsid w:val="0005468B"/>
    <w:rsid w:val="0005473C"/>
    <w:rsid w:val="0005474D"/>
    <w:rsid w:val="00054A8F"/>
    <w:rsid w:val="000551D3"/>
    <w:rsid w:val="000552FA"/>
    <w:rsid w:val="000555F7"/>
    <w:rsid w:val="0005571B"/>
    <w:rsid w:val="00055C4F"/>
    <w:rsid w:val="00056053"/>
    <w:rsid w:val="000563C6"/>
    <w:rsid w:val="0005644B"/>
    <w:rsid w:val="000564B0"/>
    <w:rsid w:val="000567F8"/>
    <w:rsid w:val="000568D4"/>
    <w:rsid w:val="00056C61"/>
    <w:rsid w:val="00056FD2"/>
    <w:rsid w:val="00056FFF"/>
    <w:rsid w:val="0005732F"/>
    <w:rsid w:val="0005737B"/>
    <w:rsid w:val="00057CFE"/>
    <w:rsid w:val="00057F5D"/>
    <w:rsid w:val="00060185"/>
    <w:rsid w:val="00060246"/>
    <w:rsid w:val="000607F1"/>
    <w:rsid w:val="00060CE4"/>
    <w:rsid w:val="00061AD8"/>
    <w:rsid w:val="00061EC5"/>
    <w:rsid w:val="00061F7F"/>
    <w:rsid w:val="00062060"/>
    <w:rsid w:val="0006210D"/>
    <w:rsid w:val="0006211A"/>
    <w:rsid w:val="000625C8"/>
    <w:rsid w:val="00062877"/>
    <w:rsid w:val="00062AF9"/>
    <w:rsid w:val="00062CC7"/>
    <w:rsid w:val="0006325D"/>
    <w:rsid w:val="000638B3"/>
    <w:rsid w:val="00063B09"/>
    <w:rsid w:val="00063B14"/>
    <w:rsid w:val="00063C77"/>
    <w:rsid w:val="000640F5"/>
    <w:rsid w:val="00064185"/>
    <w:rsid w:val="000641A1"/>
    <w:rsid w:val="0006438B"/>
    <w:rsid w:val="000648A9"/>
    <w:rsid w:val="000652D6"/>
    <w:rsid w:val="0006532F"/>
    <w:rsid w:val="0006534B"/>
    <w:rsid w:val="00065566"/>
    <w:rsid w:val="00065647"/>
    <w:rsid w:val="00065781"/>
    <w:rsid w:val="00065B2D"/>
    <w:rsid w:val="00065CBA"/>
    <w:rsid w:val="000660B7"/>
    <w:rsid w:val="00066172"/>
    <w:rsid w:val="000667D2"/>
    <w:rsid w:val="0006680D"/>
    <w:rsid w:val="0006689E"/>
    <w:rsid w:val="00066A59"/>
    <w:rsid w:val="00066FEB"/>
    <w:rsid w:val="00067BD3"/>
    <w:rsid w:val="000704BD"/>
    <w:rsid w:val="000709CF"/>
    <w:rsid w:val="00070D60"/>
    <w:rsid w:val="00070DAD"/>
    <w:rsid w:val="00070FA8"/>
    <w:rsid w:val="00071256"/>
    <w:rsid w:val="000717EF"/>
    <w:rsid w:val="0007197A"/>
    <w:rsid w:val="000720CE"/>
    <w:rsid w:val="00072627"/>
    <w:rsid w:val="000728A5"/>
    <w:rsid w:val="00072A20"/>
    <w:rsid w:val="00072AE5"/>
    <w:rsid w:val="00072F52"/>
    <w:rsid w:val="000733E3"/>
    <w:rsid w:val="000739F6"/>
    <w:rsid w:val="00073B39"/>
    <w:rsid w:val="00073EF2"/>
    <w:rsid w:val="00074391"/>
    <w:rsid w:val="000747E2"/>
    <w:rsid w:val="00074802"/>
    <w:rsid w:val="00074E40"/>
    <w:rsid w:val="000755FF"/>
    <w:rsid w:val="000756F0"/>
    <w:rsid w:val="000758A4"/>
    <w:rsid w:val="00075C54"/>
    <w:rsid w:val="00076292"/>
    <w:rsid w:val="00076535"/>
    <w:rsid w:val="00076610"/>
    <w:rsid w:val="000766BA"/>
    <w:rsid w:val="000766FB"/>
    <w:rsid w:val="0007725C"/>
    <w:rsid w:val="0007764A"/>
    <w:rsid w:val="00077836"/>
    <w:rsid w:val="00077B33"/>
    <w:rsid w:val="00080C32"/>
    <w:rsid w:val="00080D8A"/>
    <w:rsid w:val="00080FFB"/>
    <w:rsid w:val="000811FF"/>
    <w:rsid w:val="000813D5"/>
    <w:rsid w:val="0008141F"/>
    <w:rsid w:val="00081E4A"/>
    <w:rsid w:val="00082F78"/>
    <w:rsid w:val="00083014"/>
    <w:rsid w:val="0008353C"/>
    <w:rsid w:val="000837E8"/>
    <w:rsid w:val="0008388B"/>
    <w:rsid w:val="00083BAB"/>
    <w:rsid w:val="00083E8F"/>
    <w:rsid w:val="000840BA"/>
    <w:rsid w:val="00084157"/>
    <w:rsid w:val="00084B1F"/>
    <w:rsid w:val="00084F59"/>
    <w:rsid w:val="000856D4"/>
    <w:rsid w:val="0008601C"/>
    <w:rsid w:val="000861A3"/>
    <w:rsid w:val="000864E9"/>
    <w:rsid w:val="00086798"/>
    <w:rsid w:val="000869B6"/>
    <w:rsid w:val="00086A56"/>
    <w:rsid w:val="00086B43"/>
    <w:rsid w:val="0008711C"/>
    <w:rsid w:val="00087160"/>
    <w:rsid w:val="00087183"/>
    <w:rsid w:val="0008734C"/>
    <w:rsid w:val="00087388"/>
    <w:rsid w:val="0008769E"/>
    <w:rsid w:val="000877F6"/>
    <w:rsid w:val="000878BA"/>
    <w:rsid w:val="0008796D"/>
    <w:rsid w:val="00087987"/>
    <w:rsid w:val="00087A26"/>
    <w:rsid w:val="00090713"/>
    <w:rsid w:val="00090B57"/>
    <w:rsid w:val="00090DBD"/>
    <w:rsid w:val="00090DFA"/>
    <w:rsid w:val="00090F99"/>
    <w:rsid w:val="0009109A"/>
    <w:rsid w:val="000913A5"/>
    <w:rsid w:val="000914F3"/>
    <w:rsid w:val="00091FAE"/>
    <w:rsid w:val="000921E2"/>
    <w:rsid w:val="00092220"/>
    <w:rsid w:val="00092231"/>
    <w:rsid w:val="00092239"/>
    <w:rsid w:val="0009244B"/>
    <w:rsid w:val="00092537"/>
    <w:rsid w:val="00092E70"/>
    <w:rsid w:val="000930D9"/>
    <w:rsid w:val="000932CA"/>
    <w:rsid w:val="000932E7"/>
    <w:rsid w:val="00093823"/>
    <w:rsid w:val="00094FD7"/>
    <w:rsid w:val="00095067"/>
    <w:rsid w:val="000951C2"/>
    <w:rsid w:val="000952F4"/>
    <w:rsid w:val="00095B99"/>
    <w:rsid w:val="00095E2B"/>
    <w:rsid w:val="00095E87"/>
    <w:rsid w:val="000963C4"/>
    <w:rsid w:val="00096842"/>
    <w:rsid w:val="00096C02"/>
    <w:rsid w:val="00096C16"/>
    <w:rsid w:val="00096F24"/>
    <w:rsid w:val="00097562"/>
    <w:rsid w:val="000976A0"/>
    <w:rsid w:val="00097917"/>
    <w:rsid w:val="00097CD1"/>
    <w:rsid w:val="00097F3E"/>
    <w:rsid w:val="000A040D"/>
    <w:rsid w:val="000A0486"/>
    <w:rsid w:val="000A0539"/>
    <w:rsid w:val="000A0654"/>
    <w:rsid w:val="000A0A84"/>
    <w:rsid w:val="000A0B90"/>
    <w:rsid w:val="000A10C4"/>
    <w:rsid w:val="000A11D9"/>
    <w:rsid w:val="000A1990"/>
    <w:rsid w:val="000A19F8"/>
    <w:rsid w:val="000A1C64"/>
    <w:rsid w:val="000A270E"/>
    <w:rsid w:val="000A28B9"/>
    <w:rsid w:val="000A28C4"/>
    <w:rsid w:val="000A2CA1"/>
    <w:rsid w:val="000A2F6D"/>
    <w:rsid w:val="000A308D"/>
    <w:rsid w:val="000A30C0"/>
    <w:rsid w:val="000A334E"/>
    <w:rsid w:val="000A33DF"/>
    <w:rsid w:val="000A34C2"/>
    <w:rsid w:val="000A37E5"/>
    <w:rsid w:val="000A3997"/>
    <w:rsid w:val="000A3B08"/>
    <w:rsid w:val="000A4024"/>
    <w:rsid w:val="000A45DA"/>
    <w:rsid w:val="000A4638"/>
    <w:rsid w:val="000A4909"/>
    <w:rsid w:val="000A4B4D"/>
    <w:rsid w:val="000A5298"/>
    <w:rsid w:val="000A57B6"/>
    <w:rsid w:val="000A583D"/>
    <w:rsid w:val="000A5921"/>
    <w:rsid w:val="000A592A"/>
    <w:rsid w:val="000A5AF7"/>
    <w:rsid w:val="000A5C3C"/>
    <w:rsid w:val="000A6121"/>
    <w:rsid w:val="000A6317"/>
    <w:rsid w:val="000A6359"/>
    <w:rsid w:val="000A6DD7"/>
    <w:rsid w:val="000A700E"/>
    <w:rsid w:val="000A750F"/>
    <w:rsid w:val="000A7518"/>
    <w:rsid w:val="000A7806"/>
    <w:rsid w:val="000A7D49"/>
    <w:rsid w:val="000A7E10"/>
    <w:rsid w:val="000A7E42"/>
    <w:rsid w:val="000A7F87"/>
    <w:rsid w:val="000B00F6"/>
    <w:rsid w:val="000B04F9"/>
    <w:rsid w:val="000B0821"/>
    <w:rsid w:val="000B0A54"/>
    <w:rsid w:val="000B0A58"/>
    <w:rsid w:val="000B0CDE"/>
    <w:rsid w:val="000B0D5C"/>
    <w:rsid w:val="000B0E37"/>
    <w:rsid w:val="000B134B"/>
    <w:rsid w:val="000B1361"/>
    <w:rsid w:val="000B1FD7"/>
    <w:rsid w:val="000B28F9"/>
    <w:rsid w:val="000B2A0C"/>
    <w:rsid w:val="000B2BF7"/>
    <w:rsid w:val="000B2FDD"/>
    <w:rsid w:val="000B336E"/>
    <w:rsid w:val="000B3868"/>
    <w:rsid w:val="000B3904"/>
    <w:rsid w:val="000B39E4"/>
    <w:rsid w:val="000B3CC9"/>
    <w:rsid w:val="000B3DFE"/>
    <w:rsid w:val="000B419D"/>
    <w:rsid w:val="000B42DB"/>
    <w:rsid w:val="000B45B0"/>
    <w:rsid w:val="000B4A28"/>
    <w:rsid w:val="000B4A53"/>
    <w:rsid w:val="000B4B6B"/>
    <w:rsid w:val="000B4ECB"/>
    <w:rsid w:val="000B5012"/>
    <w:rsid w:val="000B51D2"/>
    <w:rsid w:val="000B5283"/>
    <w:rsid w:val="000B534B"/>
    <w:rsid w:val="000B576F"/>
    <w:rsid w:val="000B58EE"/>
    <w:rsid w:val="000B59B8"/>
    <w:rsid w:val="000B5EBB"/>
    <w:rsid w:val="000B5FE9"/>
    <w:rsid w:val="000B6079"/>
    <w:rsid w:val="000B6091"/>
    <w:rsid w:val="000B64F9"/>
    <w:rsid w:val="000B662D"/>
    <w:rsid w:val="000B6844"/>
    <w:rsid w:val="000B6865"/>
    <w:rsid w:val="000B6CBB"/>
    <w:rsid w:val="000B7287"/>
    <w:rsid w:val="000B736D"/>
    <w:rsid w:val="000B77EA"/>
    <w:rsid w:val="000B784C"/>
    <w:rsid w:val="000B79D8"/>
    <w:rsid w:val="000C018E"/>
    <w:rsid w:val="000C05F0"/>
    <w:rsid w:val="000C06B4"/>
    <w:rsid w:val="000C0F06"/>
    <w:rsid w:val="000C1716"/>
    <w:rsid w:val="000C174F"/>
    <w:rsid w:val="000C190F"/>
    <w:rsid w:val="000C1B5A"/>
    <w:rsid w:val="000C1D47"/>
    <w:rsid w:val="000C1FAA"/>
    <w:rsid w:val="000C2092"/>
    <w:rsid w:val="000C227B"/>
    <w:rsid w:val="000C2299"/>
    <w:rsid w:val="000C2341"/>
    <w:rsid w:val="000C23EC"/>
    <w:rsid w:val="000C2501"/>
    <w:rsid w:val="000C257C"/>
    <w:rsid w:val="000C2653"/>
    <w:rsid w:val="000C2813"/>
    <w:rsid w:val="000C2828"/>
    <w:rsid w:val="000C2BEA"/>
    <w:rsid w:val="000C2ED3"/>
    <w:rsid w:val="000C30E8"/>
    <w:rsid w:val="000C3292"/>
    <w:rsid w:val="000C34D0"/>
    <w:rsid w:val="000C34D1"/>
    <w:rsid w:val="000C3D1A"/>
    <w:rsid w:val="000C3FCD"/>
    <w:rsid w:val="000C43F9"/>
    <w:rsid w:val="000C4483"/>
    <w:rsid w:val="000C45C4"/>
    <w:rsid w:val="000C461E"/>
    <w:rsid w:val="000C4891"/>
    <w:rsid w:val="000C4B56"/>
    <w:rsid w:val="000C4C3A"/>
    <w:rsid w:val="000C4CB1"/>
    <w:rsid w:val="000C4CC7"/>
    <w:rsid w:val="000C4CF9"/>
    <w:rsid w:val="000C4FA3"/>
    <w:rsid w:val="000C5254"/>
    <w:rsid w:val="000C5404"/>
    <w:rsid w:val="000C5A1B"/>
    <w:rsid w:val="000C5A8D"/>
    <w:rsid w:val="000C5BBB"/>
    <w:rsid w:val="000C5E92"/>
    <w:rsid w:val="000C6285"/>
    <w:rsid w:val="000C6BDD"/>
    <w:rsid w:val="000C701C"/>
    <w:rsid w:val="000C713A"/>
    <w:rsid w:val="000C7155"/>
    <w:rsid w:val="000C72C4"/>
    <w:rsid w:val="000C7433"/>
    <w:rsid w:val="000C78CA"/>
    <w:rsid w:val="000C78D1"/>
    <w:rsid w:val="000C796D"/>
    <w:rsid w:val="000C7FFC"/>
    <w:rsid w:val="000D0139"/>
    <w:rsid w:val="000D04D7"/>
    <w:rsid w:val="000D0C65"/>
    <w:rsid w:val="000D0C70"/>
    <w:rsid w:val="000D0CC5"/>
    <w:rsid w:val="000D0CF2"/>
    <w:rsid w:val="000D176F"/>
    <w:rsid w:val="000D19B9"/>
    <w:rsid w:val="000D1DD0"/>
    <w:rsid w:val="000D2480"/>
    <w:rsid w:val="000D2639"/>
    <w:rsid w:val="000D2901"/>
    <w:rsid w:val="000D2964"/>
    <w:rsid w:val="000D2BF6"/>
    <w:rsid w:val="000D2DF8"/>
    <w:rsid w:val="000D34BE"/>
    <w:rsid w:val="000D377F"/>
    <w:rsid w:val="000D3A3F"/>
    <w:rsid w:val="000D3A41"/>
    <w:rsid w:val="000D3E7A"/>
    <w:rsid w:val="000D411E"/>
    <w:rsid w:val="000D41B9"/>
    <w:rsid w:val="000D44E3"/>
    <w:rsid w:val="000D4766"/>
    <w:rsid w:val="000D4B24"/>
    <w:rsid w:val="000D4B5A"/>
    <w:rsid w:val="000D557A"/>
    <w:rsid w:val="000D5985"/>
    <w:rsid w:val="000D5C08"/>
    <w:rsid w:val="000D5C74"/>
    <w:rsid w:val="000D5EC8"/>
    <w:rsid w:val="000D6116"/>
    <w:rsid w:val="000D65EF"/>
    <w:rsid w:val="000D68F5"/>
    <w:rsid w:val="000D6BAF"/>
    <w:rsid w:val="000D6C1C"/>
    <w:rsid w:val="000D7438"/>
    <w:rsid w:val="000D7570"/>
    <w:rsid w:val="000D7991"/>
    <w:rsid w:val="000D7DA5"/>
    <w:rsid w:val="000E040A"/>
    <w:rsid w:val="000E0C24"/>
    <w:rsid w:val="000E0F1D"/>
    <w:rsid w:val="000E1378"/>
    <w:rsid w:val="000E1B19"/>
    <w:rsid w:val="000E2370"/>
    <w:rsid w:val="000E23EC"/>
    <w:rsid w:val="000E2439"/>
    <w:rsid w:val="000E2502"/>
    <w:rsid w:val="000E267E"/>
    <w:rsid w:val="000E274F"/>
    <w:rsid w:val="000E27C5"/>
    <w:rsid w:val="000E2832"/>
    <w:rsid w:val="000E2FFA"/>
    <w:rsid w:val="000E3542"/>
    <w:rsid w:val="000E371B"/>
    <w:rsid w:val="000E3799"/>
    <w:rsid w:val="000E398F"/>
    <w:rsid w:val="000E3BB7"/>
    <w:rsid w:val="000E428C"/>
    <w:rsid w:val="000E4651"/>
    <w:rsid w:val="000E48DA"/>
    <w:rsid w:val="000E4C97"/>
    <w:rsid w:val="000E4CFF"/>
    <w:rsid w:val="000E4EAE"/>
    <w:rsid w:val="000E5110"/>
    <w:rsid w:val="000E5144"/>
    <w:rsid w:val="000E522D"/>
    <w:rsid w:val="000E525D"/>
    <w:rsid w:val="000E57AE"/>
    <w:rsid w:val="000E57E4"/>
    <w:rsid w:val="000E590A"/>
    <w:rsid w:val="000E6051"/>
    <w:rsid w:val="000E686A"/>
    <w:rsid w:val="000E68BA"/>
    <w:rsid w:val="000E6ABE"/>
    <w:rsid w:val="000E7341"/>
    <w:rsid w:val="000E77F2"/>
    <w:rsid w:val="000E7BEC"/>
    <w:rsid w:val="000F02EF"/>
    <w:rsid w:val="000F054F"/>
    <w:rsid w:val="000F05D2"/>
    <w:rsid w:val="000F0707"/>
    <w:rsid w:val="000F0934"/>
    <w:rsid w:val="000F0B93"/>
    <w:rsid w:val="000F0D76"/>
    <w:rsid w:val="000F1009"/>
    <w:rsid w:val="000F12F4"/>
    <w:rsid w:val="000F1982"/>
    <w:rsid w:val="000F1BC8"/>
    <w:rsid w:val="000F2604"/>
    <w:rsid w:val="000F266E"/>
    <w:rsid w:val="000F29B7"/>
    <w:rsid w:val="000F2EE8"/>
    <w:rsid w:val="000F3963"/>
    <w:rsid w:val="000F3A29"/>
    <w:rsid w:val="000F4079"/>
    <w:rsid w:val="000F4275"/>
    <w:rsid w:val="000F42CC"/>
    <w:rsid w:val="000F4D23"/>
    <w:rsid w:val="000F4F51"/>
    <w:rsid w:val="000F503D"/>
    <w:rsid w:val="000F50D8"/>
    <w:rsid w:val="000F51C8"/>
    <w:rsid w:val="000F54D1"/>
    <w:rsid w:val="000F5568"/>
    <w:rsid w:val="000F5582"/>
    <w:rsid w:val="000F5992"/>
    <w:rsid w:val="000F5F66"/>
    <w:rsid w:val="000F72BA"/>
    <w:rsid w:val="000F72F0"/>
    <w:rsid w:val="000F7677"/>
    <w:rsid w:val="000F7688"/>
    <w:rsid w:val="000F7728"/>
    <w:rsid w:val="000F7F73"/>
    <w:rsid w:val="000F7F9A"/>
    <w:rsid w:val="0010008D"/>
    <w:rsid w:val="00100130"/>
    <w:rsid w:val="00100207"/>
    <w:rsid w:val="001002D4"/>
    <w:rsid w:val="00100DAE"/>
    <w:rsid w:val="0010101C"/>
    <w:rsid w:val="00101164"/>
    <w:rsid w:val="00101316"/>
    <w:rsid w:val="00101469"/>
    <w:rsid w:val="00101B1D"/>
    <w:rsid w:val="00102111"/>
    <w:rsid w:val="00102216"/>
    <w:rsid w:val="001023BE"/>
    <w:rsid w:val="00102972"/>
    <w:rsid w:val="00102983"/>
    <w:rsid w:val="00102E34"/>
    <w:rsid w:val="00102E81"/>
    <w:rsid w:val="00103332"/>
    <w:rsid w:val="00103580"/>
    <w:rsid w:val="0010376D"/>
    <w:rsid w:val="001037E8"/>
    <w:rsid w:val="001038E1"/>
    <w:rsid w:val="001039CD"/>
    <w:rsid w:val="00103ABF"/>
    <w:rsid w:val="00103BF9"/>
    <w:rsid w:val="00103CB2"/>
    <w:rsid w:val="00103DCB"/>
    <w:rsid w:val="00104A6C"/>
    <w:rsid w:val="00104AA9"/>
    <w:rsid w:val="0010501A"/>
    <w:rsid w:val="00105075"/>
    <w:rsid w:val="0010507D"/>
    <w:rsid w:val="00105A95"/>
    <w:rsid w:val="00105ED9"/>
    <w:rsid w:val="00106CC9"/>
    <w:rsid w:val="00106CE5"/>
    <w:rsid w:val="00106DE1"/>
    <w:rsid w:val="00107363"/>
    <w:rsid w:val="001077F4"/>
    <w:rsid w:val="001079A3"/>
    <w:rsid w:val="001079D7"/>
    <w:rsid w:val="00107BB9"/>
    <w:rsid w:val="00107CAF"/>
    <w:rsid w:val="00107CBC"/>
    <w:rsid w:val="00107F08"/>
    <w:rsid w:val="00110090"/>
    <w:rsid w:val="00110150"/>
    <w:rsid w:val="001101E5"/>
    <w:rsid w:val="001103F4"/>
    <w:rsid w:val="00111BC9"/>
    <w:rsid w:val="00111DBC"/>
    <w:rsid w:val="00111F66"/>
    <w:rsid w:val="001124D6"/>
    <w:rsid w:val="001124E4"/>
    <w:rsid w:val="001125D5"/>
    <w:rsid w:val="001128C3"/>
    <w:rsid w:val="0011326E"/>
    <w:rsid w:val="0011360E"/>
    <w:rsid w:val="0011393B"/>
    <w:rsid w:val="00113B8C"/>
    <w:rsid w:val="00113C00"/>
    <w:rsid w:val="00113CDA"/>
    <w:rsid w:val="0011400E"/>
    <w:rsid w:val="001141C6"/>
    <w:rsid w:val="001141D4"/>
    <w:rsid w:val="00114532"/>
    <w:rsid w:val="001146F7"/>
    <w:rsid w:val="00114859"/>
    <w:rsid w:val="001149B8"/>
    <w:rsid w:val="00115043"/>
    <w:rsid w:val="0011548C"/>
    <w:rsid w:val="00115778"/>
    <w:rsid w:val="0011594C"/>
    <w:rsid w:val="00115DC8"/>
    <w:rsid w:val="0011654B"/>
    <w:rsid w:val="00116572"/>
    <w:rsid w:val="00116EBF"/>
    <w:rsid w:val="00116FBD"/>
    <w:rsid w:val="0011720A"/>
    <w:rsid w:val="00117A0F"/>
    <w:rsid w:val="00117E02"/>
    <w:rsid w:val="001200E3"/>
    <w:rsid w:val="00120166"/>
    <w:rsid w:val="00120927"/>
    <w:rsid w:val="001218C4"/>
    <w:rsid w:val="00121C1B"/>
    <w:rsid w:val="00121FC6"/>
    <w:rsid w:val="001226CA"/>
    <w:rsid w:val="00122B64"/>
    <w:rsid w:val="00122D79"/>
    <w:rsid w:val="00123387"/>
    <w:rsid w:val="001233EF"/>
    <w:rsid w:val="00123CD5"/>
    <w:rsid w:val="00123EC2"/>
    <w:rsid w:val="00124071"/>
    <w:rsid w:val="001241D2"/>
    <w:rsid w:val="0012422D"/>
    <w:rsid w:val="001247E0"/>
    <w:rsid w:val="0012485F"/>
    <w:rsid w:val="0012499C"/>
    <w:rsid w:val="00124C0C"/>
    <w:rsid w:val="001252CD"/>
    <w:rsid w:val="0012567F"/>
    <w:rsid w:val="00125899"/>
    <w:rsid w:val="001258B2"/>
    <w:rsid w:val="0012592B"/>
    <w:rsid w:val="00125B23"/>
    <w:rsid w:val="00125F78"/>
    <w:rsid w:val="00125FB5"/>
    <w:rsid w:val="00126311"/>
    <w:rsid w:val="00126368"/>
    <w:rsid w:val="001263B8"/>
    <w:rsid w:val="001267A2"/>
    <w:rsid w:val="0012680B"/>
    <w:rsid w:val="001269AD"/>
    <w:rsid w:val="00126B59"/>
    <w:rsid w:val="00126C2E"/>
    <w:rsid w:val="00126E61"/>
    <w:rsid w:val="001274C0"/>
    <w:rsid w:val="0012771C"/>
    <w:rsid w:val="0012787F"/>
    <w:rsid w:val="00130372"/>
    <w:rsid w:val="00130A08"/>
    <w:rsid w:val="001311C7"/>
    <w:rsid w:val="00131A90"/>
    <w:rsid w:val="00131B63"/>
    <w:rsid w:val="00131E25"/>
    <w:rsid w:val="00131E3E"/>
    <w:rsid w:val="0013206F"/>
    <w:rsid w:val="00132571"/>
    <w:rsid w:val="00132786"/>
    <w:rsid w:val="00132C4D"/>
    <w:rsid w:val="00132D96"/>
    <w:rsid w:val="00132E88"/>
    <w:rsid w:val="00132EFA"/>
    <w:rsid w:val="001331E6"/>
    <w:rsid w:val="00133375"/>
    <w:rsid w:val="0013354C"/>
    <w:rsid w:val="00133725"/>
    <w:rsid w:val="00133A74"/>
    <w:rsid w:val="00133C27"/>
    <w:rsid w:val="001345F9"/>
    <w:rsid w:val="001347AB"/>
    <w:rsid w:val="00134A54"/>
    <w:rsid w:val="00134ADE"/>
    <w:rsid w:val="00134D7D"/>
    <w:rsid w:val="001353AF"/>
    <w:rsid w:val="001354F9"/>
    <w:rsid w:val="0013585A"/>
    <w:rsid w:val="00135B27"/>
    <w:rsid w:val="00136041"/>
    <w:rsid w:val="001360D1"/>
    <w:rsid w:val="00136147"/>
    <w:rsid w:val="001363FE"/>
    <w:rsid w:val="001368DD"/>
    <w:rsid w:val="00136EF4"/>
    <w:rsid w:val="001371A0"/>
    <w:rsid w:val="00137737"/>
    <w:rsid w:val="00137817"/>
    <w:rsid w:val="00137C14"/>
    <w:rsid w:val="00137D25"/>
    <w:rsid w:val="0014022B"/>
    <w:rsid w:val="001407B3"/>
    <w:rsid w:val="00140C69"/>
    <w:rsid w:val="001416A8"/>
    <w:rsid w:val="00141783"/>
    <w:rsid w:val="001419B5"/>
    <w:rsid w:val="00142677"/>
    <w:rsid w:val="0014274C"/>
    <w:rsid w:val="00142819"/>
    <w:rsid w:val="00142BF1"/>
    <w:rsid w:val="00142CF8"/>
    <w:rsid w:val="00142D2E"/>
    <w:rsid w:val="00143024"/>
    <w:rsid w:val="00143115"/>
    <w:rsid w:val="001435B7"/>
    <w:rsid w:val="0014369B"/>
    <w:rsid w:val="00143736"/>
    <w:rsid w:val="00143D52"/>
    <w:rsid w:val="00143D7A"/>
    <w:rsid w:val="00143F90"/>
    <w:rsid w:val="001442B8"/>
    <w:rsid w:val="00144B1A"/>
    <w:rsid w:val="00145324"/>
    <w:rsid w:val="00145369"/>
    <w:rsid w:val="00145426"/>
    <w:rsid w:val="001455B2"/>
    <w:rsid w:val="00145605"/>
    <w:rsid w:val="00145B09"/>
    <w:rsid w:val="00145EA5"/>
    <w:rsid w:val="00146805"/>
    <w:rsid w:val="00146892"/>
    <w:rsid w:val="00146B91"/>
    <w:rsid w:val="00146BFC"/>
    <w:rsid w:val="00147008"/>
    <w:rsid w:val="00147401"/>
    <w:rsid w:val="001477D7"/>
    <w:rsid w:val="00147C16"/>
    <w:rsid w:val="00147D85"/>
    <w:rsid w:val="00150376"/>
    <w:rsid w:val="0015048A"/>
    <w:rsid w:val="001504A4"/>
    <w:rsid w:val="001508AD"/>
    <w:rsid w:val="00150F0F"/>
    <w:rsid w:val="001510C3"/>
    <w:rsid w:val="0015121D"/>
    <w:rsid w:val="00151266"/>
    <w:rsid w:val="0015139D"/>
    <w:rsid w:val="0015141F"/>
    <w:rsid w:val="001516AA"/>
    <w:rsid w:val="00151BBD"/>
    <w:rsid w:val="00151CB1"/>
    <w:rsid w:val="001521AB"/>
    <w:rsid w:val="0015258C"/>
    <w:rsid w:val="001526D8"/>
    <w:rsid w:val="0015314C"/>
    <w:rsid w:val="00153203"/>
    <w:rsid w:val="00153434"/>
    <w:rsid w:val="00153B57"/>
    <w:rsid w:val="0015415C"/>
    <w:rsid w:val="001542C3"/>
    <w:rsid w:val="0015459F"/>
    <w:rsid w:val="00154616"/>
    <w:rsid w:val="001554EB"/>
    <w:rsid w:val="00155C0B"/>
    <w:rsid w:val="0015651E"/>
    <w:rsid w:val="0015678A"/>
    <w:rsid w:val="00156A5D"/>
    <w:rsid w:val="00156C7E"/>
    <w:rsid w:val="00156E27"/>
    <w:rsid w:val="00157184"/>
    <w:rsid w:val="00157507"/>
    <w:rsid w:val="00157767"/>
    <w:rsid w:val="001579B9"/>
    <w:rsid w:val="0016030D"/>
    <w:rsid w:val="00160747"/>
    <w:rsid w:val="00160A46"/>
    <w:rsid w:val="00160E02"/>
    <w:rsid w:val="00160EA2"/>
    <w:rsid w:val="00160EBA"/>
    <w:rsid w:val="00160ED2"/>
    <w:rsid w:val="001611C6"/>
    <w:rsid w:val="00161708"/>
    <w:rsid w:val="00162120"/>
    <w:rsid w:val="001621F0"/>
    <w:rsid w:val="001626CE"/>
    <w:rsid w:val="00162993"/>
    <w:rsid w:val="001632F8"/>
    <w:rsid w:val="00163F05"/>
    <w:rsid w:val="001643E0"/>
    <w:rsid w:val="0016459A"/>
    <w:rsid w:val="00165324"/>
    <w:rsid w:val="001659DC"/>
    <w:rsid w:val="00165A46"/>
    <w:rsid w:val="00165AD7"/>
    <w:rsid w:val="00165E7C"/>
    <w:rsid w:val="00166886"/>
    <w:rsid w:val="00166ADD"/>
    <w:rsid w:val="001671FC"/>
    <w:rsid w:val="0016754A"/>
    <w:rsid w:val="0016783D"/>
    <w:rsid w:val="001678B9"/>
    <w:rsid w:val="00167AAB"/>
    <w:rsid w:val="00167C54"/>
    <w:rsid w:val="00170028"/>
    <w:rsid w:val="0017032E"/>
    <w:rsid w:val="001703FB"/>
    <w:rsid w:val="00170933"/>
    <w:rsid w:val="00170D8E"/>
    <w:rsid w:val="00171373"/>
    <w:rsid w:val="001716E4"/>
    <w:rsid w:val="001719AC"/>
    <w:rsid w:val="00171C80"/>
    <w:rsid w:val="001720BE"/>
    <w:rsid w:val="001721CF"/>
    <w:rsid w:val="00172871"/>
    <w:rsid w:val="00172B1A"/>
    <w:rsid w:val="001730E6"/>
    <w:rsid w:val="00173150"/>
    <w:rsid w:val="00173C39"/>
    <w:rsid w:val="00173CEE"/>
    <w:rsid w:val="00174080"/>
    <w:rsid w:val="00174363"/>
    <w:rsid w:val="001747C8"/>
    <w:rsid w:val="00174A61"/>
    <w:rsid w:val="00175149"/>
    <w:rsid w:val="001757CC"/>
    <w:rsid w:val="001758B7"/>
    <w:rsid w:val="00175922"/>
    <w:rsid w:val="0017592D"/>
    <w:rsid w:val="0017595B"/>
    <w:rsid w:val="00175978"/>
    <w:rsid w:val="0017668E"/>
    <w:rsid w:val="00176E3E"/>
    <w:rsid w:val="001771AD"/>
    <w:rsid w:val="00177701"/>
    <w:rsid w:val="0017792B"/>
    <w:rsid w:val="00177BB5"/>
    <w:rsid w:val="00177DC1"/>
    <w:rsid w:val="00177DDB"/>
    <w:rsid w:val="00177E9F"/>
    <w:rsid w:val="00177F80"/>
    <w:rsid w:val="001804D1"/>
    <w:rsid w:val="001805DE"/>
    <w:rsid w:val="00180730"/>
    <w:rsid w:val="0018077F"/>
    <w:rsid w:val="00180845"/>
    <w:rsid w:val="0018089A"/>
    <w:rsid w:val="001808F2"/>
    <w:rsid w:val="00180CE2"/>
    <w:rsid w:val="00181149"/>
    <w:rsid w:val="00181931"/>
    <w:rsid w:val="00181D34"/>
    <w:rsid w:val="00182512"/>
    <w:rsid w:val="001825A7"/>
    <w:rsid w:val="001830FB"/>
    <w:rsid w:val="0018324B"/>
    <w:rsid w:val="001835DD"/>
    <w:rsid w:val="0018361D"/>
    <w:rsid w:val="00183A6C"/>
    <w:rsid w:val="001840A3"/>
    <w:rsid w:val="00184216"/>
    <w:rsid w:val="00184354"/>
    <w:rsid w:val="00184859"/>
    <w:rsid w:val="00184A92"/>
    <w:rsid w:val="00184B3E"/>
    <w:rsid w:val="00185733"/>
    <w:rsid w:val="00185957"/>
    <w:rsid w:val="0018626A"/>
    <w:rsid w:val="001863BC"/>
    <w:rsid w:val="001866C2"/>
    <w:rsid w:val="00186860"/>
    <w:rsid w:val="001868B3"/>
    <w:rsid w:val="00186C43"/>
    <w:rsid w:val="00186E3B"/>
    <w:rsid w:val="00187055"/>
    <w:rsid w:val="00187380"/>
    <w:rsid w:val="0018756E"/>
    <w:rsid w:val="00187A01"/>
    <w:rsid w:val="00187C52"/>
    <w:rsid w:val="00187E15"/>
    <w:rsid w:val="00187F7E"/>
    <w:rsid w:val="001903EC"/>
    <w:rsid w:val="00190ADD"/>
    <w:rsid w:val="00190AF6"/>
    <w:rsid w:val="00190B63"/>
    <w:rsid w:val="00190D7E"/>
    <w:rsid w:val="00190F42"/>
    <w:rsid w:val="00191195"/>
    <w:rsid w:val="001911CF"/>
    <w:rsid w:val="00191330"/>
    <w:rsid w:val="001913C8"/>
    <w:rsid w:val="001916DE"/>
    <w:rsid w:val="00191E19"/>
    <w:rsid w:val="00191FB2"/>
    <w:rsid w:val="0019222E"/>
    <w:rsid w:val="00192658"/>
    <w:rsid w:val="0019297B"/>
    <w:rsid w:val="001929B1"/>
    <w:rsid w:val="00192C12"/>
    <w:rsid w:val="001931ED"/>
    <w:rsid w:val="001931F9"/>
    <w:rsid w:val="0019337D"/>
    <w:rsid w:val="00193452"/>
    <w:rsid w:val="001934D0"/>
    <w:rsid w:val="001934F6"/>
    <w:rsid w:val="00193621"/>
    <w:rsid w:val="00193853"/>
    <w:rsid w:val="001938D6"/>
    <w:rsid w:val="001939C0"/>
    <w:rsid w:val="00193F35"/>
    <w:rsid w:val="00194BA6"/>
    <w:rsid w:val="00194D36"/>
    <w:rsid w:val="00194D5D"/>
    <w:rsid w:val="00194F6C"/>
    <w:rsid w:val="00195165"/>
    <w:rsid w:val="0019536A"/>
    <w:rsid w:val="001955D2"/>
    <w:rsid w:val="001956C8"/>
    <w:rsid w:val="001957CD"/>
    <w:rsid w:val="0019595D"/>
    <w:rsid w:val="001959D5"/>
    <w:rsid w:val="00195E6B"/>
    <w:rsid w:val="00195E6D"/>
    <w:rsid w:val="00195FD5"/>
    <w:rsid w:val="00196149"/>
    <w:rsid w:val="00196168"/>
    <w:rsid w:val="001961CE"/>
    <w:rsid w:val="00196370"/>
    <w:rsid w:val="001964E1"/>
    <w:rsid w:val="001968C7"/>
    <w:rsid w:val="00196ABB"/>
    <w:rsid w:val="00196BA3"/>
    <w:rsid w:val="00196FC4"/>
    <w:rsid w:val="00197CF4"/>
    <w:rsid w:val="00197D6E"/>
    <w:rsid w:val="00197D94"/>
    <w:rsid w:val="00197E87"/>
    <w:rsid w:val="00197EEC"/>
    <w:rsid w:val="00197F20"/>
    <w:rsid w:val="00197F23"/>
    <w:rsid w:val="00197FCD"/>
    <w:rsid w:val="001A0210"/>
    <w:rsid w:val="001A02F8"/>
    <w:rsid w:val="001A03CF"/>
    <w:rsid w:val="001A0738"/>
    <w:rsid w:val="001A0A27"/>
    <w:rsid w:val="001A0C84"/>
    <w:rsid w:val="001A0DBA"/>
    <w:rsid w:val="001A0F3D"/>
    <w:rsid w:val="001A1262"/>
    <w:rsid w:val="001A12C0"/>
    <w:rsid w:val="001A1604"/>
    <w:rsid w:val="001A18F7"/>
    <w:rsid w:val="001A1A16"/>
    <w:rsid w:val="001A1BEC"/>
    <w:rsid w:val="001A1D45"/>
    <w:rsid w:val="001A20D6"/>
    <w:rsid w:val="001A284D"/>
    <w:rsid w:val="001A2919"/>
    <w:rsid w:val="001A29F9"/>
    <w:rsid w:val="001A2BEF"/>
    <w:rsid w:val="001A2DA4"/>
    <w:rsid w:val="001A398D"/>
    <w:rsid w:val="001A3CD9"/>
    <w:rsid w:val="001A40C5"/>
    <w:rsid w:val="001A48B8"/>
    <w:rsid w:val="001A48F6"/>
    <w:rsid w:val="001A4AEC"/>
    <w:rsid w:val="001A5019"/>
    <w:rsid w:val="001A551E"/>
    <w:rsid w:val="001A563C"/>
    <w:rsid w:val="001A56BA"/>
    <w:rsid w:val="001A56D3"/>
    <w:rsid w:val="001A604F"/>
    <w:rsid w:val="001A6096"/>
    <w:rsid w:val="001A6151"/>
    <w:rsid w:val="001A6CB9"/>
    <w:rsid w:val="001A71AF"/>
    <w:rsid w:val="001A75C9"/>
    <w:rsid w:val="001A76F9"/>
    <w:rsid w:val="001A7802"/>
    <w:rsid w:val="001A78F6"/>
    <w:rsid w:val="001A792B"/>
    <w:rsid w:val="001A7BF6"/>
    <w:rsid w:val="001A7CCA"/>
    <w:rsid w:val="001A7D0D"/>
    <w:rsid w:val="001B0406"/>
    <w:rsid w:val="001B0941"/>
    <w:rsid w:val="001B17D8"/>
    <w:rsid w:val="001B20D6"/>
    <w:rsid w:val="001B20F6"/>
    <w:rsid w:val="001B2128"/>
    <w:rsid w:val="001B2401"/>
    <w:rsid w:val="001B2725"/>
    <w:rsid w:val="001B2758"/>
    <w:rsid w:val="001B27D9"/>
    <w:rsid w:val="001B27E3"/>
    <w:rsid w:val="001B2BEA"/>
    <w:rsid w:val="001B2F6F"/>
    <w:rsid w:val="001B311B"/>
    <w:rsid w:val="001B36F0"/>
    <w:rsid w:val="001B38B3"/>
    <w:rsid w:val="001B3C94"/>
    <w:rsid w:val="001B3DCB"/>
    <w:rsid w:val="001B3F91"/>
    <w:rsid w:val="001B4244"/>
    <w:rsid w:val="001B4669"/>
    <w:rsid w:val="001B4A80"/>
    <w:rsid w:val="001B4AF2"/>
    <w:rsid w:val="001B55E7"/>
    <w:rsid w:val="001B614A"/>
    <w:rsid w:val="001B6373"/>
    <w:rsid w:val="001B6463"/>
    <w:rsid w:val="001B671A"/>
    <w:rsid w:val="001B6ADB"/>
    <w:rsid w:val="001B6F60"/>
    <w:rsid w:val="001B71EE"/>
    <w:rsid w:val="001B7624"/>
    <w:rsid w:val="001C0109"/>
    <w:rsid w:val="001C064D"/>
    <w:rsid w:val="001C07A2"/>
    <w:rsid w:val="001C0953"/>
    <w:rsid w:val="001C0BCA"/>
    <w:rsid w:val="001C12B1"/>
    <w:rsid w:val="001C17E2"/>
    <w:rsid w:val="001C195A"/>
    <w:rsid w:val="001C1D63"/>
    <w:rsid w:val="001C1DF3"/>
    <w:rsid w:val="001C24AE"/>
    <w:rsid w:val="001C26E1"/>
    <w:rsid w:val="001C29A1"/>
    <w:rsid w:val="001C2D00"/>
    <w:rsid w:val="001C2D3B"/>
    <w:rsid w:val="001C2DDC"/>
    <w:rsid w:val="001C2ECC"/>
    <w:rsid w:val="001C35FC"/>
    <w:rsid w:val="001C378A"/>
    <w:rsid w:val="001C3909"/>
    <w:rsid w:val="001C3911"/>
    <w:rsid w:val="001C392C"/>
    <w:rsid w:val="001C397A"/>
    <w:rsid w:val="001C3B9C"/>
    <w:rsid w:val="001C3E4A"/>
    <w:rsid w:val="001C423D"/>
    <w:rsid w:val="001C432E"/>
    <w:rsid w:val="001C43FC"/>
    <w:rsid w:val="001C4718"/>
    <w:rsid w:val="001C49E8"/>
    <w:rsid w:val="001C5280"/>
    <w:rsid w:val="001C53AA"/>
    <w:rsid w:val="001C54A8"/>
    <w:rsid w:val="001C55F5"/>
    <w:rsid w:val="001C5A6E"/>
    <w:rsid w:val="001C65AB"/>
    <w:rsid w:val="001C6993"/>
    <w:rsid w:val="001C6B6B"/>
    <w:rsid w:val="001C6C5B"/>
    <w:rsid w:val="001C6DD8"/>
    <w:rsid w:val="001C7097"/>
    <w:rsid w:val="001C72BA"/>
    <w:rsid w:val="001C767B"/>
    <w:rsid w:val="001C7895"/>
    <w:rsid w:val="001C7B18"/>
    <w:rsid w:val="001C7D2F"/>
    <w:rsid w:val="001C7D66"/>
    <w:rsid w:val="001C7FB1"/>
    <w:rsid w:val="001D0278"/>
    <w:rsid w:val="001D128D"/>
    <w:rsid w:val="001D13FE"/>
    <w:rsid w:val="001D1505"/>
    <w:rsid w:val="001D15AC"/>
    <w:rsid w:val="001D15FA"/>
    <w:rsid w:val="001D16F7"/>
    <w:rsid w:val="001D1775"/>
    <w:rsid w:val="001D17CB"/>
    <w:rsid w:val="001D188D"/>
    <w:rsid w:val="001D197E"/>
    <w:rsid w:val="001D1F12"/>
    <w:rsid w:val="001D200B"/>
    <w:rsid w:val="001D21B6"/>
    <w:rsid w:val="001D235D"/>
    <w:rsid w:val="001D23CD"/>
    <w:rsid w:val="001D29C0"/>
    <w:rsid w:val="001D2B05"/>
    <w:rsid w:val="001D2CA0"/>
    <w:rsid w:val="001D3351"/>
    <w:rsid w:val="001D35DC"/>
    <w:rsid w:val="001D36B2"/>
    <w:rsid w:val="001D36D3"/>
    <w:rsid w:val="001D3C1A"/>
    <w:rsid w:val="001D3CED"/>
    <w:rsid w:val="001D3E3E"/>
    <w:rsid w:val="001D4127"/>
    <w:rsid w:val="001D41FE"/>
    <w:rsid w:val="001D42A6"/>
    <w:rsid w:val="001D4AF4"/>
    <w:rsid w:val="001D4BF7"/>
    <w:rsid w:val="001D4EEC"/>
    <w:rsid w:val="001D514F"/>
    <w:rsid w:val="001D5586"/>
    <w:rsid w:val="001D5731"/>
    <w:rsid w:val="001D5A16"/>
    <w:rsid w:val="001D5C1A"/>
    <w:rsid w:val="001D60A9"/>
    <w:rsid w:val="001D6172"/>
    <w:rsid w:val="001D6E0F"/>
    <w:rsid w:val="001D6ED3"/>
    <w:rsid w:val="001D6F5E"/>
    <w:rsid w:val="001D7030"/>
    <w:rsid w:val="001D7093"/>
    <w:rsid w:val="001D73BB"/>
    <w:rsid w:val="001D744A"/>
    <w:rsid w:val="001D749A"/>
    <w:rsid w:val="001D76A8"/>
    <w:rsid w:val="001D7D32"/>
    <w:rsid w:val="001E010F"/>
    <w:rsid w:val="001E01BC"/>
    <w:rsid w:val="001E02A6"/>
    <w:rsid w:val="001E0A88"/>
    <w:rsid w:val="001E0B68"/>
    <w:rsid w:val="001E0ECB"/>
    <w:rsid w:val="001E18EF"/>
    <w:rsid w:val="001E1912"/>
    <w:rsid w:val="001E1994"/>
    <w:rsid w:val="001E1AAE"/>
    <w:rsid w:val="001E1CF2"/>
    <w:rsid w:val="001E2AB3"/>
    <w:rsid w:val="001E31DB"/>
    <w:rsid w:val="001E347E"/>
    <w:rsid w:val="001E34C6"/>
    <w:rsid w:val="001E3ACA"/>
    <w:rsid w:val="001E3BF4"/>
    <w:rsid w:val="001E3DBD"/>
    <w:rsid w:val="001E40BC"/>
    <w:rsid w:val="001E41FE"/>
    <w:rsid w:val="001E48DD"/>
    <w:rsid w:val="001E4AB0"/>
    <w:rsid w:val="001E5807"/>
    <w:rsid w:val="001E58F0"/>
    <w:rsid w:val="001E59D8"/>
    <w:rsid w:val="001E6143"/>
    <w:rsid w:val="001E620D"/>
    <w:rsid w:val="001E62F9"/>
    <w:rsid w:val="001E650E"/>
    <w:rsid w:val="001E6855"/>
    <w:rsid w:val="001E6920"/>
    <w:rsid w:val="001E75FB"/>
    <w:rsid w:val="001E781C"/>
    <w:rsid w:val="001E7DAA"/>
    <w:rsid w:val="001F013B"/>
    <w:rsid w:val="001F015E"/>
    <w:rsid w:val="001F0D16"/>
    <w:rsid w:val="001F1175"/>
    <w:rsid w:val="001F1744"/>
    <w:rsid w:val="001F1D62"/>
    <w:rsid w:val="001F205B"/>
    <w:rsid w:val="001F267A"/>
    <w:rsid w:val="001F275E"/>
    <w:rsid w:val="001F2A64"/>
    <w:rsid w:val="001F2ACB"/>
    <w:rsid w:val="001F2B9B"/>
    <w:rsid w:val="001F2CAB"/>
    <w:rsid w:val="001F2CCC"/>
    <w:rsid w:val="001F2D81"/>
    <w:rsid w:val="001F2E43"/>
    <w:rsid w:val="001F30DA"/>
    <w:rsid w:val="001F325F"/>
    <w:rsid w:val="001F390C"/>
    <w:rsid w:val="001F3AE9"/>
    <w:rsid w:val="001F452A"/>
    <w:rsid w:val="001F4606"/>
    <w:rsid w:val="001F46B9"/>
    <w:rsid w:val="001F4AEE"/>
    <w:rsid w:val="001F5118"/>
    <w:rsid w:val="001F5164"/>
    <w:rsid w:val="001F5605"/>
    <w:rsid w:val="001F5701"/>
    <w:rsid w:val="001F59F5"/>
    <w:rsid w:val="001F5D7D"/>
    <w:rsid w:val="001F5EA0"/>
    <w:rsid w:val="001F6278"/>
    <w:rsid w:val="001F64FA"/>
    <w:rsid w:val="001F654A"/>
    <w:rsid w:val="001F673C"/>
    <w:rsid w:val="001F6764"/>
    <w:rsid w:val="001F6B59"/>
    <w:rsid w:val="001F6C06"/>
    <w:rsid w:val="001F6CB8"/>
    <w:rsid w:val="001F6CCA"/>
    <w:rsid w:val="001F6DC7"/>
    <w:rsid w:val="001F70AB"/>
    <w:rsid w:val="001F70AF"/>
    <w:rsid w:val="001F7264"/>
    <w:rsid w:val="001F7559"/>
    <w:rsid w:val="001F778C"/>
    <w:rsid w:val="001F7A85"/>
    <w:rsid w:val="001F7D2C"/>
    <w:rsid w:val="001F7EA9"/>
    <w:rsid w:val="00200020"/>
    <w:rsid w:val="00200213"/>
    <w:rsid w:val="002005F3"/>
    <w:rsid w:val="0020132F"/>
    <w:rsid w:val="00201353"/>
    <w:rsid w:val="002015A7"/>
    <w:rsid w:val="00201720"/>
    <w:rsid w:val="002018D5"/>
    <w:rsid w:val="00201F1B"/>
    <w:rsid w:val="002022FC"/>
    <w:rsid w:val="0020247A"/>
    <w:rsid w:val="00202685"/>
    <w:rsid w:val="002027ED"/>
    <w:rsid w:val="00202809"/>
    <w:rsid w:val="002028DB"/>
    <w:rsid w:val="00202E1D"/>
    <w:rsid w:val="002030DE"/>
    <w:rsid w:val="002039B5"/>
    <w:rsid w:val="00203BCA"/>
    <w:rsid w:val="00204111"/>
    <w:rsid w:val="0020495D"/>
    <w:rsid w:val="002049FA"/>
    <w:rsid w:val="00204C46"/>
    <w:rsid w:val="00204DA2"/>
    <w:rsid w:val="00204DE9"/>
    <w:rsid w:val="0020527F"/>
    <w:rsid w:val="0020569E"/>
    <w:rsid w:val="00205827"/>
    <w:rsid w:val="00205E01"/>
    <w:rsid w:val="002060A3"/>
    <w:rsid w:val="002067D3"/>
    <w:rsid w:val="00207380"/>
    <w:rsid w:val="002074F1"/>
    <w:rsid w:val="00207555"/>
    <w:rsid w:val="00207863"/>
    <w:rsid w:val="0020788B"/>
    <w:rsid w:val="00207A35"/>
    <w:rsid w:val="00207C9F"/>
    <w:rsid w:val="00207F8B"/>
    <w:rsid w:val="002102A9"/>
    <w:rsid w:val="002102E4"/>
    <w:rsid w:val="00210386"/>
    <w:rsid w:val="00210485"/>
    <w:rsid w:val="00210669"/>
    <w:rsid w:val="00210B23"/>
    <w:rsid w:val="00210C23"/>
    <w:rsid w:val="00210E30"/>
    <w:rsid w:val="00210F6B"/>
    <w:rsid w:val="0021171A"/>
    <w:rsid w:val="0021172B"/>
    <w:rsid w:val="002118BA"/>
    <w:rsid w:val="00211CCC"/>
    <w:rsid w:val="00211EE3"/>
    <w:rsid w:val="002121F8"/>
    <w:rsid w:val="002125A4"/>
    <w:rsid w:val="002127CE"/>
    <w:rsid w:val="00212898"/>
    <w:rsid w:val="002129A1"/>
    <w:rsid w:val="002129B4"/>
    <w:rsid w:val="00212ECA"/>
    <w:rsid w:val="00213342"/>
    <w:rsid w:val="00213672"/>
    <w:rsid w:val="002139B1"/>
    <w:rsid w:val="00213DB2"/>
    <w:rsid w:val="0021406B"/>
    <w:rsid w:val="00214139"/>
    <w:rsid w:val="0021431A"/>
    <w:rsid w:val="002149DE"/>
    <w:rsid w:val="00214AAD"/>
    <w:rsid w:val="00214B20"/>
    <w:rsid w:val="00214D0E"/>
    <w:rsid w:val="00215682"/>
    <w:rsid w:val="0021575D"/>
    <w:rsid w:val="00215DC3"/>
    <w:rsid w:val="002160B2"/>
    <w:rsid w:val="0021633B"/>
    <w:rsid w:val="002163CE"/>
    <w:rsid w:val="0021658F"/>
    <w:rsid w:val="002169A2"/>
    <w:rsid w:val="00216B33"/>
    <w:rsid w:val="00216E37"/>
    <w:rsid w:val="00217438"/>
    <w:rsid w:val="002178F0"/>
    <w:rsid w:val="002200B6"/>
    <w:rsid w:val="002204BC"/>
    <w:rsid w:val="002208B7"/>
    <w:rsid w:val="00220D22"/>
    <w:rsid w:val="00220FD7"/>
    <w:rsid w:val="002214D4"/>
    <w:rsid w:val="002217DA"/>
    <w:rsid w:val="00221DE6"/>
    <w:rsid w:val="00221F7A"/>
    <w:rsid w:val="00222294"/>
    <w:rsid w:val="00222E7A"/>
    <w:rsid w:val="002230B0"/>
    <w:rsid w:val="00223865"/>
    <w:rsid w:val="00224133"/>
    <w:rsid w:val="0022445F"/>
    <w:rsid w:val="00224C4E"/>
    <w:rsid w:val="00224DCE"/>
    <w:rsid w:val="002251DF"/>
    <w:rsid w:val="0022532C"/>
    <w:rsid w:val="00225590"/>
    <w:rsid w:val="002256AC"/>
    <w:rsid w:val="00225A59"/>
    <w:rsid w:val="00225B47"/>
    <w:rsid w:val="0022611C"/>
    <w:rsid w:val="00226385"/>
    <w:rsid w:val="00226537"/>
    <w:rsid w:val="0022682D"/>
    <w:rsid w:val="00226A59"/>
    <w:rsid w:val="00226A61"/>
    <w:rsid w:val="00226F5B"/>
    <w:rsid w:val="002270FD"/>
    <w:rsid w:val="002274DC"/>
    <w:rsid w:val="002275CA"/>
    <w:rsid w:val="0022772C"/>
    <w:rsid w:val="00227CB1"/>
    <w:rsid w:val="002302A1"/>
    <w:rsid w:val="002307D8"/>
    <w:rsid w:val="00230C08"/>
    <w:rsid w:val="00230CA8"/>
    <w:rsid w:val="002310A7"/>
    <w:rsid w:val="0023128B"/>
    <w:rsid w:val="0023141C"/>
    <w:rsid w:val="00232147"/>
    <w:rsid w:val="00232936"/>
    <w:rsid w:val="00232960"/>
    <w:rsid w:val="00232B6C"/>
    <w:rsid w:val="00232D19"/>
    <w:rsid w:val="0023312A"/>
    <w:rsid w:val="002336F4"/>
    <w:rsid w:val="00233B99"/>
    <w:rsid w:val="002346B1"/>
    <w:rsid w:val="00234DC1"/>
    <w:rsid w:val="00234E01"/>
    <w:rsid w:val="00234E7E"/>
    <w:rsid w:val="00235022"/>
    <w:rsid w:val="00235108"/>
    <w:rsid w:val="0023564C"/>
    <w:rsid w:val="0023583D"/>
    <w:rsid w:val="00235A1B"/>
    <w:rsid w:val="00235EE6"/>
    <w:rsid w:val="0023663D"/>
    <w:rsid w:val="00236830"/>
    <w:rsid w:val="00236DAD"/>
    <w:rsid w:val="0023711D"/>
    <w:rsid w:val="00237221"/>
    <w:rsid w:val="00237763"/>
    <w:rsid w:val="00237A38"/>
    <w:rsid w:val="00237FA0"/>
    <w:rsid w:val="002407BB"/>
    <w:rsid w:val="00240848"/>
    <w:rsid w:val="00240B3E"/>
    <w:rsid w:val="00240BA9"/>
    <w:rsid w:val="00240D93"/>
    <w:rsid w:val="00240DFA"/>
    <w:rsid w:val="00240FE1"/>
    <w:rsid w:val="0024157D"/>
    <w:rsid w:val="002417AC"/>
    <w:rsid w:val="00241ABE"/>
    <w:rsid w:val="00241C03"/>
    <w:rsid w:val="0024219A"/>
    <w:rsid w:val="00242562"/>
    <w:rsid w:val="002427BA"/>
    <w:rsid w:val="00242CF7"/>
    <w:rsid w:val="00242F08"/>
    <w:rsid w:val="00242F95"/>
    <w:rsid w:val="00243064"/>
    <w:rsid w:val="00243647"/>
    <w:rsid w:val="0024390D"/>
    <w:rsid w:val="0024440A"/>
    <w:rsid w:val="00244D8A"/>
    <w:rsid w:val="00245399"/>
    <w:rsid w:val="00245673"/>
    <w:rsid w:val="00245931"/>
    <w:rsid w:val="00245EFB"/>
    <w:rsid w:val="00246078"/>
    <w:rsid w:val="00246106"/>
    <w:rsid w:val="002461DF"/>
    <w:rsid w:val="00246D38"/>
    <w:rsid w:val="00247257"/>
    <w:rsid w:val="002473C7"/>
    <w:rsid w:val="0024755E"/>
    <w:rsid w:val="002478C6"/>
    <w:rsid w:val="00247972"/>
    <w:rsid w:val="00250504"/>
    <w:rsid w:val="00250CC9"/>
    <w:rsid w:val="002512C2"/>
    <w:rsid w:val="00251533"/>
    <w:rsid w:val="002515DD"/>
    <w:rsid w:val="002515E6"/>
    <w:rsid w:val="00252A75"/>
    <w:rsid w:val="00252D07"/>
    <w:rsid w:val="00252DBC"/>
    <w:rsid w:val="0025313A"/>
    <w:rsid w:val="00253874"/>
    <w:rsid w:val="00253C89"/>
    <w:rsid w:val="00253D7A"/>
    <w:rsid w:val="00254016"/>
    <w:rsid w:val="002541C4"/>
    <w:rsid w:val="002541CE"/>
    <w:rsid w:val="002548AB"/>
    <w:rsid w:val="00254BD4"/>
    <w:rsid w:val="002553A9"/>
    <w:rsid w:val="002554D6"/>
    <w:rsid w:val="00255628"/>
    <w:rsid w:val="00255766"/>
    <w:rsid w:val="00255926"/>
    <w:rsid w:val="00255C36"/>
    <w:rsid w:val="0025656B"/>
    <w:rsid w:val="0025671F"/>
    <w:rsid w:val="0025689E"/>
    <w:rsid w:val="00256C82"/>
    <w:rsid w:val="00256D56"/>
    <w:rsid w:val="00256DA1"/>
    <w:rsid w:val="00256E76"/>
    <w:rsid w:val="00256F50"/>
    <w:rsid w:val="00257583"/>
    <w:rsid w:val="002576E0"/>
    <w:rsid w:val="002577E4"/>
    <w:rsid w:val="00260347"/>
    <w:rsid w:val="0026093F"/>
    <w:rsid w:val="00260AE5"/>
    <w:rsid w:val="00260B85"/>
    <w:rsid w:val="00260C6F"/>
    <w:rsid w:val="00261037"/>
    <w:rsid w:val="00261568"/>
    <w:rsid w:val="002617CA"/>
    <w:rsid w:val="00261853"/>
    <w:rsid w:val="00261ABC"/>
    <w:rsid w:val="00261BE6"/>
    <w:rsid w:val="002630EF"/>
    <w:rsid w:val="00263327"/>
    <w:rsid w:val="0026395C"/>
    <w:rsid w:val="00263B20"/>
    <w:rsid w:val="00263C54"/>
    <w:rsid w:val="00263D14"/>
    <w:rsid w:val="00263DBD"/>
    <w:rsid w:val="00263FA3"/>
    <w:rsid w:val="00263FD9"/>
    <w:rsid w:val="00264A07"/>
    <w:rsid w:val="00264BAE"/>
    <w:rsid w:val="00264D35"/>
    <w:rsid w:val="00264D4B"/>
    <w:rsid w:val="0026506D"/>
    <w:rsid w:val="00265238"/>
    <w:rsid w:val="0026539E"/>
    <w:rsid w:val="00265538"/>
    <w:rsid w:val="00265716"/>
    <w:rsid w:val="0026573B"/>
    <w:rsid w:val="00265CE3"/>
    <w:rsid w:val="0026682E"/>
    <w:rsid w:val="00266B72"/>
    <w:rsid w:val="00266C84"/>
    <w:rsid w:val="0026741A"/>
    <w:rsid w:val="0026796A"/>
    <w:rsid w:val="00267C90"/>
    <w:rsid w:val="00267CE7"/>
    <w:rsid w:val="0027053A"/>
    <w:rsid w:val="00270D03"/>
    <w:rsid w:val="00270E4A"/>
    <w:rsid w:val="00271066"/>
    <w:rsid w:val="002710E5"/>
    <w:rsid w:val="002711E2"/>
    <w:rsid w:val="00271234"/>
    <w:rsid w:val="002713E6"/>
    <w:rsid w:val="00271496"/>
    <w:rsid w:val="002719C2"/>
    <w:rsid w:val="00271BBC"/>
    <w:rsid w:val="00271C84"/>
    <w:rsid w:val="00271EBE"/>
    <w:rsid w:val="00271FD4"/>
    <w:rsid w:val="00272465"/>
    <w:rsid w:val="002725CB"/>
    <w:rsid w:val="002727A6"/>
    <w:rsid w:val="00272AFC"/>
    <w:rsid w:val="002733DF"/>
    <w:rsid w:val="00273460"/>
    <w:rsid w:val="00273A1A"/>
    <w:rsid w:val="002741E1"/>
    <w:rsid w:val="00274295"/>
    <w:rsid w:val="002743BB"/>
    <w:rsid w:val="00274563"/>
    <w:rsid w:val="00274830"/>
    <w:rsid w:val="00274B67"/>
    <w:rsid w:val="00274E0F"/>
    <w:rsid w:val="00275460"/>
    <w:rsid w:val="00275AE7"/>
    <w:rsid w:val="00275C92"/>
    <w:rsid w:val="00275E86"/>
    <w:rsid w:val="00275FA6"/>
    <w:rsid w:val="00276130"/>
    <w:rsid w:val="002761D0"/>
    <w:rsid w:val="0027655B"/>
    <w:rsid w:val="00276577"/>
    <w:rsid w:val="0027668D"/>
    <w:rsid w:val="00276801"/>
    <w:rsid w:val="002769EE"/>
    <w:rsid w:val="00276A18"/>
    <w:rsid w:val="00276B07"/>
    <w:rsid w:val="002772DC"/>
    <w:rsid w:val="0027763D"/>
    <w:rsid w:val="00277652"/>
    <w:rsid w:val="00277B19"/>
    <w:rsid w:val="00277B36"/>
    <w:rsid w:val="00277E71"/>
    <w:rsid w:val="002801F3"/>
    <w:rsid w:val="00280602"/>
    <w:rsid w:val="00280B8C"/>
    <w:rsid w:val="002817B0"/>
    <w:rsid w:val="0028194E"/>
    <w:rsid w:val="002820D3"/>
    <w:rsid w:val="002824AE"/>
    <w:rsid w:val="002826D9"/>
    <w:rsid w:val="00282EBF"/>
    <w:rsid w:val="00282F16"/>
    <w:rsid w:val="002834C0"/>
    <w:rsid w:val="0028374A"/>
    <w:rsid w:val="00283B3A"/>
    <w:rsid w:val="00283CEC"/>
    <w:rsid w:val="00283D9B"/>
    <w:rsid w:val="002845D5"/>
    <w:rsid w:val="00284665"/>
    <w:rsid w:val="0028471A"/>
    <w:rsid w:val="00284865"/>
    <w:rsid w:val="00284B34"/>
    <w:rsid w:val="002853FF"/>
    <w:rsid w:val="00285704"/>
    <w:rsid w:val="00285ACE"/>
    <w:rsid w:val="00285D53"/>
    <w:rsid w:val="00285E8B"/>
    <w:rsid w:val="00286231"/>
    <w:rsid w:val="002867FF"/>
    <w:rsid w:val="0028749A"/>
    <w:rsid w:val="002874B4"/>
    <w:rsid w:val="002874EE"/>
    <w:rsid w:val="00287535"/>
    <w:rsid w:val="00287651"/>
    <w:rsid w:val="00287724"/>
    <w:rsid w:val="00287BCC"/>
    <w:rsid w:val="00287D00"/>
    <w:rsid w:val="00287EFE"/>
    <w:rsid w:val="00287F9A"/>
    <w:rsid w:val="00290AD5"/>
    <w:rsid w:val="00290FD1"/>
    <w:rsid w:val="0029113B"/>
    <w:rsid w:val="002918D0"/>
    <w:rsid w:val="002918FD"/>
    <w:rsid w:val="00291BBC"/>
    <w:rsid w:val="00291E72"/>
    <w:rsid w:val="002923B8"/>
    <w:rsid w:val="002923C4"/>
    <w:rsid w:val="002924CC"/>
    <w:rsid w:val="002928B4"/>
    <w:rsid w:val="002929A2"/>
    <w:rsid w:val="00292A85"/>
    <w:rsid w:val="00292F0C"/>
    <w:rsid w:val="00292FF1"/>
    <w:rsid w:val="002931B0"/>
    <w:rsid w:val="00293398"/>
    <w:rsid w:val="00293592"/>
    <w:rsid w:val="002936BB"/>
    <w:rsid w:val="002937AD"/>
    <w:rsid w:val="002938D8"/>
    <w:rsid w:val="00293C08"/>
    <w:rsid w:val="00294029"/>
    <w:rsid w:val="00294929"/>
    <w:rsid w:val="002949AA"/>
    <w:rsid w:val="00294EA9"/>
    <w:rsid w:val="00295153"/>
    <w:rsid w:val="00295250"/>
    <w:rsid w:val="002952CD"/>
    <w:rsid w:val="0029548B"/>
    <w:rsid w:val="002958CD"/>
    <w:rsid w:val="00295BEF"/>
    <w:rsid w:val="00295D82"/>
    <w:rsid w:val="00296131"/>
    <w:rsid w:val="002961E5"/>
    <w:rsid w:val="0029652C"/>
    <w:rsid w:val="00297106"/>
    <w:rsid w:val="00297251"/>
    <w:rsid w:val="0029733C"/>
    <w:rsid w:val="00297847"/>
    <w:rsid w:val="00297B47"/>
    <w:rsid w:val="00297BF1"/>
    <w:rsid w:val="00297D73"/>
    <w:rsid w:val="002A0038"/>
    <w:rsid w:val="002A015A"/>
    <w:rsid w:val="002A03B4"/>
    <w:rsid w:val="002A06F4"/>
    <w:rsid w:val="002A097A"/>
    <w:rsid w:val="002A0BA9"/>
    <w:rsid w:val="002A0E67"/>
    <w:rsid w:val="002A0FD9"/>
    <w:rsid w:val="002A1624"/>
    <w:rsid w:val="002A1714"/>
    <w:rsid w:val="002A1BFB"/>
    <w:rsid w:val="002A1C5A"/>
    <w:rsid w:val="002A1CE5"/>
    <w:rsid w:val="002A1EC1"/>
    <w:rsid w:val="002A21B4"/>
    <w:rsid w:val="002A2587"/>
    <w:rsid w:val="002A25F3"/>
    <w:rsid w:val="002A2BDB"/>
    <w:rsid w:val="002A32B3"/>
    <w:rsid w:val="002A376C"/>
    <w:rsid w:val="002A3BB9"/>
    <w:rsid w:val="002A3D6C"/>
    <w:rsid w:val="002A3D78"/>
    <w:rsid w:val="002A4407"/>
    <w:rsid w:val="002A47F9"/>
    <w:rsid w:val="002A4A52"/>
    <w:rsid w:val="002A4F47"/>
    <w:rsid w:val="002A5086"/>
    <w:rsid w:val="002A5620"/>
    <w:rsid w:val="002A56FA"/>
    <w:rsid w:val="002A5808"/>
    <w:rsid w:val="002A59C5"/>
    <w:rsid w:val="002A5AAA"/>
    <w:rsid w:val="002A5FD2"/>
    <w:rsid w:val="002A6106"/>
    <w:rsid w:val="002A624C"/>
    <w:rsid w:val="002A6323"/>
    <w:rsid w:val="002A65F2"/>
    <w:rsid w:val="002A6977"/>
    <w:rsid w:val="002A6C3B"/>
    <w:rsid w:val="002A6E0F"/>
    <w:rsid w:val="002A704B"/>
    <w:rsid w:val="002A745C"/>
    <w:rsid w:val="002A7854"/>
    <w:rsid w:val="002A7BFA"/>
    <w:rsid w:val="002A7C03"/>
    <w:rsid w:val="002A7D8D"/>
    <w:rsid w:val="002B0243"/>
    <w:rsid w:val="002B04FE"/>
    <w:rsid w:val="002B0B32"/>
    <w:rsid w:val="002B0D14"/>
    <w:rsid w:val="002B0EE1"/>
    <w:rsid w:val="002B1048"/>
    <w:rsid w:val="002B1AAA"/>
    <w:rsid w:val="002B1B7B"/>
    <w:rsid w:val="002B1BDC"/>
    <w:rsid w:val="002B241F"/>
    <w:rsid w:val="002B2519"/>
    <w:rsid w:val="002B2540"/>
    <w:rsid w:val="002B2563"/>
    <w:rsid w:val="002B2C5F"/>
    <w:rsid w:val="002B2CB2"/>
    <w:rsid w:val="002B3017"/>
    <w:rsid w:val="002B3663"/>
    <w:rsid w:val="002B387F"/>
    <w:rsid w:val="002B4193"/>
    <w:rsid w:val="002B5164"/>
    <w:rsid w:val="002B5547"/>
    <w:rsid w:val="002B56A1"/>
    <w:rsid w:val="002B59C6"/>
    <w:rsid w:val="002B5D97"/>
    <w:rsid w:val="002B5E07"/>
    <w:rsid w:val="002B5E57"/>
    <w:rsid w:val="002B5ED9"/>
    <w:rsid w:val="002B5F32"/>
    <w:rsid w:val="002B601F"/>
    <w:rsid w:val="002B60E6"/>
    <w:rsid w:val="002B655F"/>
    <w:rsid w:val="002B6642"/>
    <w:rsid w:val="002B69B1"/>
    <w:rsid w:val="002B6AD9"/>
    <w:rsid w:val="002B6B6A"/>
    <w:rsid w:val="002B6B90"/>
    <w:rsid w:val="002B71C1"/>
    <w:rsid w:val="002B7B5F"/>
    <w:rsid w:val="002B7D75"/>
    <w:rsid w:val="002B7E95"/>
    <w:rsid w:val="002C0343"/>
    <w:rsid w:val="002C0478"/>
    <w:rsid w:val="002C07AF"/>
    <w:rsid w:val="002C0942"/>
    <w:rsid w:val="002C0A26"/>
    <w:rsid w:val="002C0E8B"/>
    <w:rsid w:val="002C17D2"/>
    <w:rsid w:val="002C1855"/>
    <w:rsid w:val="002C19E2"/>
    <w:rsid w:val="002C1B43"/>
    <w:rsid w:val="002C20B4"/>
    <w:rsid w:val="002C25EE"/>
    <w:rsid w:val="002C26E8"/>
    <w:rsid w:val="002C28D5"/>
    <w:rsid w:val="002C2D29"/>
    <w:rsid w:val="002C2EC3"/>
    <w:rsid w:val="002C2F5B"/>
    <w:rsid w:val="002C2F88"/>
    <w:rsid w:val="002C313E"/>
    <w:rsid w:val="002C33D1"/>
    <w:rsid w:val="002C33DA"/>
    <w:rsid w:val="002C3E56"/>
    <w:rsid w:val="002C3ECC"/>
    <w:rsid w:val="002C46C0"/>
    <w:rsid w:val="002C4878"/>
    <w:rsid w:val="002C48DC"/>
    <w:rsid w:val="002C4C19"/>
    <w:rsid w:val="002C4D80"/>
    <w:rsid w:val="002C51B6"/>
    <w:rsid w:val="002C53BB"/>
    <w:rsid w:val="002C54C4"/>
    <w:rsid w:val="002C5698"/>
    <w:rsid w:val="002C5724"/>
    <w:rsid w:val="002C5ACB"/>
    <w:rsid w:val="002C6346"/>
    <w:rsid w:val="002C6647"/>
    <w:rsid w:val="002C6722"/>
    <w:rsid w:val="002C70D0"/>
    <w:rsid w:val="002C7378"/>
    <w:rsid w:val="002C73D3"/>
    <w:rsid w:val="002C77A0"/>
    <w:rsid w:val="002C78FD"/>
    <w:rsid w:val="002C7BB1"/>
    <w:rsid w:val="002C7D75"/>
    <w:rsid w:val="002D0022"/>
    <w:rsid w:val="002D0135"/>
    <w:rsid w:val="002D0696"/>
    <w:rsid w:val="002D0BC1"/>
    <w:rsid w:val="002D0C66"/>
    <w:rsid w:val="002D0E65"/>
    <w:rsid w:val="002D1224"/>
    <w:rsid w:val="002D15BF"/>
    <w:rsid w:val="002D1841"/>
    <w:rsid w:val="002D1D84"/>
    <w:rsid w:val="002D1DED"/>
    <w:rsid w:val="002D2211"/>
    <w:rsid w:val="002D224B"/>
    <w:rsid w:val="002D22FF"/>
    <w:rsid w:val="002D253A"/>
    <w:rsid w:val="002D2688"/>
    <w:rsid w:val="002D2759"/>
    <w:rsid w:val="002D277F"/>
    <w:rsid w:val="002D2796"/>
    <w:rsid w:val="002D294F"/>
    <w:rsid w:val="002D2EB1"/>
    <w:rsid w:val="002D314A"/>
    <w:rsid w:val="002D329E"/>
    <w:rsid w:val="002D3389"/>
    <w:rsid w:val="002D3619"/>
    <w:rsid w:val="002D3911"/>
    <w:rsid w:val="002D3B32"/>
    <w:rsid w:val="002D3B56"/>
    <w:rsid w:val="002D3BF1"/>
    <w:rsid w:val="002D406E"/>
    <w:rsid w:val="002D4351"/>
    <w:rsid w:val="002D456A"/>
    <w:rsid w:val="002D51E5"/>
    <w:rsid w:val="002D5265"/>
    <w:rsid w:val="002D53A1"/>
    <w:rsid w:val="002D55AC"/>
    <w:rsid w:val="002D56E6"/>
    <w:rsid w:val="002D5806"/>
    <w:rsid w:val="002D60FA"/>
    <w:rsid w:val="002D62E5"/>
    <w:rsid w:val="002D678B"/>
    <w:rsid w:val="002D6850"/>
    <w:rsid w:val="002D686C"/>
    <w:rsid w:val="002D6B5A"/>
    <w:rsid w:val="002D7771"/>
    <w:rsid w:val="002D7A45"/>
    <w:rsid w:val="002D7C35"/>
    <w:rsid w:val="002D7E82"/>
    <w:rsid w:val="002E023A"/>
    <w:rsid w:val="002E028B"/>
    <w:rsid w:val="002E040A"/>
    <w:rsid w:val="002E06E6"/>
    <w:rsid w:val="002E06E9"/>
    <w:rsid w:val="002E0C07"/>
    <w:rsid w:val="002E0C31"/>
    <w:rsid w:val="002E0DF3"/>
    <w:rsid w:val="002E0E96"/>
    <w:rsid w:val="002E2806"/>
    <w:rsid w:val="002E28CD"/>
    <w:rsid w:val="002E2AED"/>
    <w:rsid w:val="002E2B73"/>
    <w:rsid w:val="002E2F46"/>
    <w:rsid w:val="002E3260"/>
    <w:rsid w:val="002E3587"/>
    <w:rsid w:val="002E35DE"/>
    <w:rsid w:val="002E3640"/>
    <w:rsid w:val="002E3BF8"/>
    <w:rsid w:val="002E3CF4"/>
    <w:rsid w:val="002E3D82"/>
    <w:rsid w:val="002E3E67"/>
    <w:rsid w:val="002E40AB"/>
    <w:rsid w:val="002E40C3"/>
    <w:rsid w:val="002E4309"/>
    <w:rsid w:val="002E4403"/>
    <w:rsid w:val="002E446D"/>
    <w:rsid w:val="002E484E"/>
    <w:rsid w:val="002E4ABB"/>
    <w:rsid w:val="002E4D42"/>
    <w:rsid w:val="002E4E96"/>
    <w:rsid w:val="002E4F96"/>
    <w:rsid w:val="002E4FE8"/>
    <w:rsid w:val="002E519F"/>
    <w:rsid w:val="002E5734"/>
    <w:rsid w:val="002E585B"/>
    <w:rsid w:val="002E586F"/>
    <w:rsid w:val="002E58DC"/>
    <w:rsid w:val="002E590A"/>
    <w:rsid w:val="002E5FDD"/>
    <w:rsid w:val="002E6138"/>
    <w:rsid w:val="002E63AB"/>
    <w:rsid w:val="002E65EB"/>
    <w:rsid w:val="002E69F1"/>
    <w:rsid w:val="002E6CD9"/>
    <w:rsid w:val="002E6D29"/>
    <w:rsid w:val="002E73E7"/>
    <w:rsid w:val="002E765F"/>
    <w:rsid w:val="002E767E"/>
    <w:rsid w:val="002E790E"/>
    <w:rsid w:val="002E795E"/>
    <w:rsid w:val="002E7A63"/>
    <w:rsid w:val="002F0284"/>
    <w:rsid w:val="002F0E67"/>
    <w:rsid w:val="002F0FA2"/>
    <w:rsid w:val="002F10FD"/>
    <w:rsid w:val="002F12C4"/>
    <w:rsid w:val="002F1319"/>
    <w:rsid w:val="002F13CA"/>
    <w:rsid w:val="002F1967"/>
    <w:rsid w:val="002F1E45"/>
    <w:rsid w:val="002F2127"/>
    <w:rsid w:val="002F2133"/>
    <w:rsid w:val="002F25C4"/>
    <w:rsid w:val="002F26D8"/>
    <w:rsid w:val="002F2A83"/>
    <w:rsid w:val="002F3053"/>
    <w:rsid w:val="002F3292"/>
    <w:rsid w:val="002F34E1"/>
    <w:rsid w:val="002F360D"/>
    <w:rsid w:val="002F37E2"/>
    <w:rsid w:val="002F3EFE"/>
    <w:rsid w:val="002F40FD"/>
    <w:rsid w:val="002F4811"/>
    <w:rsid w:val="002F4C4A"/>
    <w:rsid w:val="002F4CE9"/>
    <w:rsid w:val="002F4D19"/>
    <w:rsid w:val="002F4F32"/>
    <w:rsid w:val="002F4F85"/>
    <w:rsid w:val="002F5157"/>
    <w:rsid w:val="002F55F7"/>
    <w:rsid w:val="002F5708"/>
    <w:rsid w:val="002F625C"/>
    <w:rsid w:val="002F6899"/>
    <w:rsid w:val="002F6C74"/>
    <w:rsid w:val="002F6DC9"/>
    <w:rsid w:val="002F7170"/>
    <w:rsid w:val="002F730C"/>
    <w:rsid w:val="002F7333"/>
    <w:rsid w:val="002F750A"/>
    <w:rsid w:val="002F7FA4"/>
    <w:rsid w:val="00300111"/>
    <w:rsid w:val="00300964"/>
    <w:rsid w:val="003009A5"/>
    <w:rsid w:val="00300A0D"/>
    <w:rsid w:val="00300DDA"/>
    <w:rsid w:val="00301313"/>
    <w:rsid w:val="00301573"/>
    <w:rsid w:val="00301623"/>
    <w:rsid w:val="00301EAD"/>
    <w:rsid w:val="0030243D"/>
    <w:rsid w:val="003024A0"/>
    <w:rsid w:val="00302CC6"/>
    <w:rsid w:val="003031B6"/>
    <w:rsid w:val="0030359D"/>
    <w:rsid w:val="0030370E"/>
    <w:rsid w:val="00303A18"/>
    <w:rsid w:val="00304248"/>
    <w:rsid w:val="003044CA"/>
    <w:rsid w:val="00304507"/>
    <w:rsid w:val="00304B10"/>
    <w:rsid w:val="00304B76"/>
    <w:rsid w:val="00304C83"/>
    <w:rsid w:val="00304DDD"/>
    <w:rsid w:val="003056EA"/>
    <w:rsid w:val="003057C2"/>
    <w:rsid w:val="00305983"/>
    <w:rsid w:val="00305A11"/>
    <w:rsid w:val="00305A96"/>
    <w:rsid w:val="00305B24"/>
    <w:rsid w:val="00305B26"/>
    <w:rsid w:val="00305B9D"/>
    <w:rsid w:val="00305D91"/>
    <w:rsid w:val="0030620B"/>
    <w:rsid w:val="00306251"/>
    <w:rsid w:val="003062D0"/>
    <w:rsid w:val="00306B51"/>
    <w:rsid w:val="00306E0B"/>
    <w:rsid w:val="003074BD"/>
    <w:rsid w:val="00307D4E"/>
    <w:rsid w:val="00307F73"/>
    <w:rsid w:val="00310534"/>
    <w:rsid w:val="00310ED0"/>
    <w:rsid w:val="003112EF"/>
    <w:rsid w:val="00311766"/>
    <w:rsid w:val="00311AA1"/>
    <w:rsid w:val="00311AC0"/>
    <w:rsid w:val="00311D1D"/>
    <w:rsid w:val="00311EE3"/>
    <w:rsid w:val="00311F9E"/>
    <w:rsid w:val="00312276"/>
    <w:rsid w:val="00312D1A"/>
    <w:rsid w:val="00312F24"/>
    <w:rsid w:val="00313039"/>
    <w:rsid w:val="003131BF"/>
    <w:rsid w:val="003133BA"/>
    <w:rsid w:val="00313A7C"/>
    <w:rsid w:val="00313AC9"/>
    <w:rsid w:val="00313C24"/>
    <w:rsid w:val="00314233"/>
    <w:rsid w:val="00314B23"/>
    <w:rsid w:val="00314C19"/>
    <w:rsid w:val="00314D8B"/>
    <w:rsid w:val="003150C1"/>
    <w:rsid w:val="003150DD"/>
    <w:rsid w:val="0031567D"/>
    <w:rsid w:val="00315978"/>
    <w:rsid w:val="00315FB2"/>
    <w:rsid w:val="00316796"/>
    <w:rsid w:val="00316979"/>
    <w:rsid w:val="003170E2"/>
    <w:rsid w:val="00317BB2"/>
    <w:rsid w:val="00317BE2"/>
    <w:rsid w:val="00317D97"/>
    <w:rsid w:val="00317DCA"/>
    <w:rsid w:val="00317EFE"/>
    <w:rsid w:val="0032038F"/>
    <w:rsid w:val="00320481"/>
    <w:rsid w:val="0032081A"/>
    <w:rsid w:val="00320893"/>
    <w:rsid w:val="0032131A"/>
    <w:rsid w:val="003213CE"/>
    <w:rsid w:val="003213D0"/>
    <w:rsid w:val="00321539"/>
    <w:rsid w:val="003215B7"/>
    <w:rsid w:val="003218FE"/>
    <w:rsid w:val="00321998"/>
    <w:rsid w:val="003219F3"/>
    <w:rsid w:val="00321E04"/>
    <w:rsid w:val="00321E40"/>
    <w:rsid w:val="00321EE7"/>
    <w:rsid w:val="00322010"/>
    <w:rsid w:val="00322998"/>
    <w:rsid w:val="00322F49"/>
    <w:rsid w:val="0032306F"/>
    <w:rsid w:val="003232C8"/>
    <w:rsid w:val="00323546"/>
    <w:rsid w:val="00323606"/>
    <w:rsid w:val="003236F2"/>
    <w:rsid w:val="00323734"/>
    <w:rsid w:val="00323D22"/>
    <w:rsid w:val="003240CB"/>
    <w:rsid w:val="003242DD"/>
    <w:rsid w:val="00324377"/>
    <w:rsid w:val="0032437D"/>
    <w:rsid w:val="00324650"/>
    <w:rsid w:val="00324836"/>
    <w:rsid w:val="00324B0C"/>
    <w:rsid w:val="00324DA6"/>
    <w:rsid w:val="00324F3E"/>
    <w:rsid w:val="003252BA"/>
    <w:rsid w:val="00325547"/>
    <w:rsid w:val="0032635F"/>
    <w:rsid w:val="003263B8"/>
    <w:rsid w:val="00326681"/>
    <w:rsid w:val="00326715"/>
    <w:rsid w:val="00326757"/>
    <w:rsid w:val="00326890"/>
    <w:rsid w:val="00327137"/>
    <w:rsid w:val="00327BB5"/>
    <w:rsid w:val="00327C19"/>
    <w:rsid w:val="00327C61"/>
    <w:rsid w:val="00327C9F"/>
    <w:rsid w:val="00327D28"/>
    <w:rsid w:val="00327EF2"/>
    <w:rsid w:val="00327F04"/>
    <w:rsid w:val="00327F50"/>
    <w:rsid w:val="0033011D"/>
    <w:rsid w:val="00330362"/>
    <w:rsid w:val="00330936"/>
    <w:rsid w:val="00330C3D"/>
    <w:rsid w:val="0033105F"/>
    <w:rsid w:val="003311C7"/>
    <w:rsid w:val="00331398"/>
    <w:rsid w:val="00331483"/>
    <w:rsid w:val="00331560"/>
    <w:rsid w:val="00331B0F"/>
    <w:rsid w:val="00331C94"/>
    <w:rsid w:val="00331D57"/>
    <w:rsid w:val="00331F8D"/>
    <w:rsid w:val="00332860"/>
    <w:rsid w:val="003328BE"/>
    <w:rsid w:val="003329D5"/>
    <w:rsid w:val="003329F5"/>
    <w:rsid w:val="00333062"/>
    <w:rsid w:val="0033306E"/>
    <w:rsid w:val="00333218"/>
    <w:rsid w:val="003332B3"/>
    <w:rsid w:val="00333669"/>
    <w:rsid w:val="00333A42"/>
    <w:rsid w:val="003341DD"/>
    <w:rsid w:val="00334248"/>
    <w:rsid w:val="00334299"/>
    <w:rsid w:val="0033458B"/>
    <w:rsid w:val="003345ED"/>
    <w:rsid w:val="00334A63"/>
    <w:rsid w:val="00334C85"/>
    <w:rsid w:val="00334ED4"/>
    <w:rsid w:val="00334F10"/>
    <w:rsid w:val="00335ABD"/>
    <w:rsid w:val="00335E48"/>
    <w:rsid w:val="00336444"/>
    <w:rsid w:val="00336651"/>
    <w:rsid w:val="003366B0"/>
    <w:rsid w:val="00336736"/>
    <w:rsid w:val="00336830"/>
    <w:rsid w:val="00336C01"/>
    <w:rsid w:val="00336C4A"/>
    <w:rsid w:val="00336DF8"/>
    <w:rsid w:val="00336EEB"/>
    <w:rsid w:val="0033703A"/>
    <w:rsid w:val="003370AA"/>
    <w:rsid w:val="003372C0"/>
    <w:rsid w:val="00337417"/>
    <w:rsid w:val="00337584"/>
    <w:rsid w:val="003376F3"/>
    <w:rsid w:val="0033780D"/>
    <w:rsid w:val="00337833"/>
    <w:rsid w:val="00337E18"/>
    <w:rsid w:val="0034017D"/>
    <w:rsid w:val="003406F7"/>
    <w:rsid w:val="00340878"/>
    <w:rsid w:val="00340913"/>
    <w:rsid w:val="00340B1D"/>
    <w:rsid w:val="003410AB"/>
    <w:rsid w:val="00341DE3"/>
    <w:rsid w:val="003422F8"/>
    <w:rsid w:val="00342FA0"/>
    <w:rsid w:val="003432D6"/>
    <w:rsid w:val="003435C0"/>
    <w:rsid w:val="003437D1"/>
    <w:rsid w:val="00343E08"/>
    <w:rsid w:val="00343F46"/>
    <w:rsid w:val="0034479D"/>
    <w:rsid w:val="00344805"/>
    <w:rsid w:val="00344A02"/>
    <w:rsid w:val="00344B12"/>
    <w:rsid w:val="00344BFA"/>
    <w:rsid w:val="00344CC9"/>
    <w:rsid w:val="003451B3"/>
    <w:rsid w:val="003451F6"/>
    <w:rsid w:val="00345470"/>
    <w:rsid w:val="00345473"/>
    <w:rsid w:val="00345622"/>
    <w:rsid w:val="003456A8"/>
    <w:rsid w:val="00345785"/>
    <w:rsid w:val="00345847"/>
    <w:rsid w:val="003459D8"/>
    <w:rsid w:val="00345D83"/>
    <w:rsid w:val="00345F3E"/>
    <w:rsid w:val="00346AE4"/>
    <w:rsid w:val="003470C7"/>
    <w:rsid w:val="003473BC"/>
    <w:rsid w:val="00347476"/>
    <w:rsid w:val="003477F0"/>
    <w:rsid w:val="00347CDD"/>
    <w:rsid w:val="00347D10"/>
    <w:rsid w:val="00347E79"/>
    <w:rsid w:val="003500D4"/>
    <w:rsid w:val="00350765"/>
    <w:rsid w:val="003508CC"/>
    <w:rsid w:val="00350FC8"/>
    <w:rsid w:val="0035122A"/>
    <w:rsid w:val="0035123B"/>
    <w:rsid w:val="00351475"/>
    <w:rsid w:val="003516A7"/>
    <w:rsid w:val="00351B47"/>
    <w:rsid w:val="00351E6E"/>
    <w:rsid w:val="00352256"/>
    <w:rsid w:val="003522DD"/>
    <w:rsid w:val="003527AF"/>
    <w:rsid w:val="00352C3E"/>
    <w:rsid w:val="003531C4"/>
    <w:rsid w:val="0035378A"/>
    <w:rsid w:val="00353B43"/>
    <w:rsid w:val="00353CCF"/>
    <w:rsid w:val="00353E8F"/>
    <w:rsid w:val="003546B5"/>
    <w:rsid w:val="00354A7A"/>
    <w:rsid w:val="00354C2F"/>
    <w:rsid w:val="00354C4B"/>
    <w:rsid w:val="00354E4E"/>
    <w:rsid w:val="00354E8D"/>
    <w:rsid w:val="003555B2"/>
    <w:rsid w:val="003556EE"/>
    <w:rsid w:val="00355B3B"/>
    <w:rsid w:val="00355B4C"/>
    <w:rsid w:val="00355BCA"/>
    <w:rsid w:val="00356482"/>
    <w:rsid w:val="00356B77"/>
    <w:rsid w:val="00357313"/>
    <w:rsid w:val="00357494"/>
    <w:rsid w:val="003576F9"/>
    <w:rsid w:val="00357977"/>
    <w:rsid w:val="00357DD5"/>
    <w:rsid w:val="003601C4"/>
    <w:rsid w:val="00360219"/>
    <w:rsid w:val="0036031C"/>
    <w:rsid w:val="00360419"/>
    <w:rsid w:val="003605F6"/>
    <w:rsid w:val="00360F3A"/>
    <w:rsid w:val="00361076"/>
    <w:rsid w:val="003611D3"/>
    <w:rsid w:val="00361409"/>
    <w:rsid w:val="00361657"/>
    <w:rsid w:val="00361794"/>
    <w:rsid w:val="003617C7"/>
    <w:rsid w:val="00361B31"/>
    <w:rsid w:val="00361DA1"/>
    <w:rsid w:val="00362345"/>
    <w:rsid w:val="003626B8"/>
    <w:rsid w:val="003627E0"/>
    <w:rsid w:val="00362E02"/>
    <w:rsid w:val="0036306F"/>
    <w:rsid w:val="003630D0"/>
    <w:rsid w:val="0036345E"/>
    <w:rsid w:val="00363653"/>
    <w:rsid w:val="003637BB"/>
    <w:rsid w:val="00363A2E"/>
    <w:rsid w:val="00363B54"/>
    <w:rsid w:val="00363BB1"/>
    <w:rsid w:val="00363D08"/>
    <w:rsid w:val="00363E73"/>
    <w:rsid w:val="00364131"/>
    <w:rsid w:val="003641E4"/>
    <w:rsid w:val="0036430A"/>
    <w:rsid w:val="0036488A"/>
    <w:rsid w:val="00364F26"/>
    <w:rsid w:val="00364F8F"/>
    <w:rsid w:val="00365019"/>
    <w:rsid w:val="00365043"/>
    <w:rsid w:val="00365554"/>
    <w:rsid w:val="00365CCD"/>
    <w:rsid w:val="00365ECA"/>
    <w:rsid w:val="00365F67"/>
    <w:rsid w:val="003662C7"/>
    <w:rsid w:val="00366387"/>
    <w:rsid w:val="003663E3"/>
    <w:rsid w:val="00366474"/>
    <w:rsid w:val="00366532"/>
    <w:rsid w:val="0036654F"/>
    <w:rsid w:val="00366551"/>
    <w:rsid w:val="00366648"/>
    <w:rsid w:val="003668E6"/>
    <w:rsid w:val="00366AB0"/>
    <w:rsid w:val="00367474"/>
    <w:rsid w:val="003674A7"/>
    <w:rsid w:val="00367903"/>
    <w:rsid w:val="00367AAB"/>
    <w:rsid w:val="00367AC0"/>
    <w:rsid w:val="00367BD0"/>
    <w:rsid w:val="00367DF0"/>
    <w:rsid w:val="00367EDB"/>
    <w:rsid w:val="00370010"/>
    <w:rsid w:val="00370323"/>
    <w:rsid w:val="00370381"/>
    <w:rsid w:val="00370383"/>
    <w:rsid w:val="0037039F"/>
    <w:rsid w:val="003703C7"/>
    <w:rsid w:val="0037058E"/>
    <w:rsid w:val="0037087F"/>
    <w:rsid w:val="00370D33"/>
    <w:rsid w:val="003712FA"/>
    <w:rsid w:val="00371461"/>
    <w:rsid w:val="0037151A"/>
    <w:rsid w:val="003716DF"/>
    <w:rsid w:val="0037192C"/>
    <w:rsid w:val="003722D4"/>
    <w:rsid w:val="003725E3"/>
    <w:rsid w:val="0037296E"/>
    <w:rsid w:val="00372F13"/>
    <w:rsid w:val="00372F7B"/>
    <w:rsid w:val="00373094"/>
    <w:rsid w:val="00373253"/>
    <w:rsid w:val="00373548"/>
    <w:rsid w:val="003735C8"/>
    <w:rsid w:val="003739BF"/>
    <w:rsid w:val="00373B30"/>
    <w:rsid w:val="00373C65"/>
    <w:rsid w:val="00373EF9"/>
    <w:rsid w:val="00374159"/>
    <w:rsid w:val="00374392"/>
    <w:rsid w:val="003744CD"/>
    <w:rsid w:val="0037469C"/>
    <w:rsid w:val="003748D0"/>
    <w:rsid w:val="00374922"/>
    <w:rsid w:val="00374C5D"/>
    <w:rsid w:val="00375184"/>
    <w:rsid w:val="00375203"/>
    <w:rsid w:val="003752D2"/>
    <w:rsid w:val="00375981"/>
    <w:rsid w:val="00375C74"/>
    <w:rsid w:val="00375E51"/>
    <w:rsid w:val="00375E63"/>
    <w:rsid w:val="00376538"/>
    <w:rsid w:val="00376A5C"/>
    <w:rsid w:val="00376D10"/>
    <w:rsid w:val="0037779E"/>
    <w:rsid w:val="003777C3"/>
    <w:rsid w:val="00377A77"/>
    <w:rsid w:val="00380114"/>
    <w:rsid w:val="00380341"/>
    <w:rsid w:val="003809C8"/>
    <w:rsid w:val="00380D7B"/>
    <w:rsid w:val="00380E9D"/>
    <w:rsid w:val="00381035"/>
    <w:rsid w:val="00381214"/>
    <w:rsid w:val="00381712"/>
    <w:rsid w:val="00381857"/>
    <w:rsid w:val="00381A1B"/>
    <w:rsid w:val="00381AAE"/>
    <w:rsid w:val="00381B52"/>
    <w:rsid w:val="00381D76"/>
    <w:rsid w:val="00381DD9"/>
    <w:rsid w:val="00381E00"/>
    <w:rsid w:val="00382266"/>
    <w:rsid w:val="00382287"/>
    <w:rsid w:val="00382312"/>
    <w:rsid w:val="0038238B"/>
    <w:rsid w:val="003823DD"/>
    <w:rsid w:val="00382668"/>
    <w:rsid w:val="003828B1"/>
    <w:rsid w:val="00383147"/>
    <w:rsid w:val="00383481"/>
    <w:rsid w:val="00383A52"/>
    <w:rsid w:val="00383BF2"/>
    <w:rsid w:val="00384058"/>
    <w:rsid w:val="00384211"/>
    <w:rsid w:val="003846CF"/>
    <w:rsid w:val="0038548D"/>
    <w:rsid w:val="00385720"/>
    <w:rsid w:val="00385BFC"/>
    <w:rsid w:val="00385E2D"/>
    <w:rsid w:val="003864CC"/>
    <w:rsid w:val="00386A20"/>
    <w:rsid w:val="00386A38"/>
    <w:rsid w:val="00386BE3"/>
    <w:rsid w:val="00387645"/>
    <w:rsid w:val="00387B78"/>
    <w:rsid w:val="00387C0A"/>
    <w:rsid w:val="003901C3"/>
    <w:rsid w:val="003909B5"/>
    <w:rsid w:val="00390B8E"/>
    <w:rsid w:val="00390C2A"/>
    <w:rsid w:val="00391161"/>
    <w:rsid w:val="003912BF"/>
    <w:rsid w:val="0039185B"/>
    <w:rsid w:val="00391911"/>
    <w:rsid w:val="00391951"/>
    <w:rsid w:val="003919A3"/>
    <w:rsid w:val="00391AB0"/>
    <w:rsid w:val="00391AFD"/>
    <w:rsid w:val="00391B18"/>
    <w:rsid w:val="0039250E"/>
    <w:rsid w:val="00392600"/>
    <w:rsid w:val="003926F4"/>
    <w:rsid w:val="003929F6"/>
    <w:rsid w:val="0039312A"/>
    <w:rsid w:val="003931B9"/>
    <w:rsid w:val="003933EA"/>
    <w:rsid w:val="003937BA"/>
    <w:rsid w:val="0039395F"/>
    <w:rsid w:val="00393BDA"/>
    <w:rsid w:val="00393C41"/>
    <w:rsid w:val="00393D93"/>
    <w:rsid w:val="00394003"/>
    <w:rsid w:val="003942E7"/>
    <w:rsid w:val="003943F5"/>
    <w:rsid w:val="00394458"/>
    <w:rsid w:val="00394D84"/>
    <w:rsid w:val="00394DA4"/>
    <w:rsid w:val="0039519D"/>
    <w:rsid w:val="003951B5"/>
    <w:rsid w:val="003956AA"/>
    <w:rsid w:val="00395C66"/>
    <w:rsid w:val="00395E87"/>
    <w:rsid w:val="003960D3"/>
    <w:rsid w:val="003961CD"/>
    <w:rsid w:val="003963AF"/>
    <w:rsid w:val="00396B02"/>
    <w:rsid w:val="00396CC0"/>
    <w:rsid w:val="00397400"/>
    <w:rsid w:val="0039748F"/>
    <w:rsid w:val="0039753C"/>
    <w:rsid w:val="003975D0"/>
    <w:rsid w:val="0039779B"/>
    <w:rsid w:val="003979C9"/>
    <w:rsid w:val="00397DF1"/>
    <w:rsid w:val="003A00B3"/>
    <w:rsid w:val="003A0140"/>
    <w:rsid w:val="003A0578"/>
    <w:rsid w:val="003A0610"/>
    <w:rsid w:val="003A0AE2"/>
    <w:rsid w:val="003A0B92"/>
    <w:rsid w:val="003A10B8"/>
    <w:rsid w:val="003A10D8"/>
    <w:rsid w:val="003A1271"/>
    <w:rsid w:val="003A13BD"/>
    <w:rsid w:val="003A13E3"/>
    <w:rsid w:val="003A1970"/>
    <w:rsid w:val="003A1BBD"/>
    <w:rsid w:val="003A1C01"/>
    <w:rsid w:val="003A1C11"/>
    <w:rsid w:val="003A2224"/>
    <w:rsid w:val="003A29EE"/>
    <w:rsid w:val="003A2C6C"/>
    <w:rsid w:val="003A3344"/>
    <w:rsid w:val="003A3622"/>
    <w:rsid w:val="003A37EE"/>
    <w:rsid w:val="003A3B0C"/>
    <w:rsid w:val="003A3E44"/>
    <w:rsid w:val="003A3F42"/>
    <w:rsid w:val="003A41E6"/>
    <w:rsid w:val="003A4341"/>
    <w:rsid w:val="003A4351"/>
    <w:rsid w:val="003A4410"/>
    <w:rsid w:val="003A452C"/>
    <w:rsid w:val="003A4AF3"/>
    <w:rsid w:val="003A4C48"/>
    <w:rsid w:val="003A4FDC"/>
    <w:rsid w:val="003A50D1"/>
    <w:rsid w:val="003A513C"/>
    <w:rsid w:val="003A543D"/>
    <w:rsid w:val="003A57F3"/>
    <w:rsid w:val="003A5804"/>
    <w:rsid w:val="003A5854"/>
    <w:rsid w:val="003A59EE"/>
    <w:rsid w:val="003A60A5"/>
    <w:rsid w:val="003A617B"/>
    <w:rsid w:val="003A6429"/>
    <w:rsid w:val="003A67E2"/>
    <w:rsid w:val="003A6E92"/>
    <w:rsid w:val="003A6FFA"/>
    <w:rsid w:val="003A71C3"/>
    <w:rsid w:val="003A73A8"/>
    <w:rsid w:val="003A73FE"/>
    <w:rsid w:val="003A76C7"/>
    <w:rsid w:val="003A7E90"/>
    <w:rsid w:val="003B100B"/>
    <w:rsid w:val="003B10B3"/>
    <w:rsid w:val="003B18CF"/>
    <w:rsid w:val="003B197A"/>
    <w:rsid w:val="003B19F7"/>
    <w:rsid w:val="003B1A25"/>
    <w:rsid w:val="003B1B93"/>
    <w:rsid w:val="003B1DE4"/>
    <w:rsid w:val="003B278E"/>
    <w:rsid w:val="003B28E8"/>
    <w:rsid w:val="003B2B75"/>
    <w:rsid w:val="003B33EF"/>
    <w:rsid w:val="003B3A99"/>
    <w:rsid w:val="003B429C"/>
    <w:rsid w:val="003B4A41"/>
    <w:rsid w:val="003B4B6E"/>
    <w:rsid w:val="003B4D5C"/>
    <w:rsid w:val="003B51C8"/>
    <w:rsid w:val="003B5CE2"/>
    <w:rsid w:val="003B5E43"/>
    <w:rsid w:val="003B5EB9"/>
    <w:rsid w:val="003B5EFE"/>
    <w:rsid w:val="003B5F90"/>
    <w:rsid w:val="003B6155"/>
    <w:rsid w:val="003B64C8"/>
    <w:rsid w:val="003B6AE5"/>
    <w:rsid w:val="003B6B66"/>
    <w:rsid w:val="003B6CA2"/>
    <w:rsid w:val="003B712D"/>
    <w:rsid w:val="003B738B"/>
    <w:rsid w:val="003B74F5"/>
    <w:rsid w:val="003B77C3"/>
    <w:rsid w:val="003C0362"/>
    <w:rsid w:val="003C0715"/>
    <w:rsid w:val="003C077F"/>
    <w:rsid w:val="003C080B"/>
    <w:rsid w:val="003C0BA3"/>
    <w:rsid w:val="003C184E"/>
    <w:rsid w:val="003C1A53"/>
    <w:rsid w:val="003C1D25"/>
    <w:rsid w:val="003C1ED8"/>
    <w:rsid w:val="003C20CC"/>
    <w:rsid w:val="003C20E2"/>
    <w:rsid w:val="003C24D2"/>
    <w:rsid w:val="003C2B0E"/>
    <w:rsid w:val="003C2F93"/>
    <w:rsid w:val="003C3085"/>
    <w:rsid w:val="003C3EEE"/>
    <w:rsid w:val="003C3EFD"/>
    <w:rsid w:val="003C462F"/>
    <w:rsid w:val="003C4AB9"/>
    <w:rsid w:val="003C4E9B"/>
    <w:rsid w:val="003C5237"/>
    <w:rsid w:val="003C5467"/>
    <w:rsid w:val="003C5EB2"/>
    <w:rsid w:val="003C5F6D"/>
    <w:rsid w:val="003C609A"/>
    <w:rsid w:val="003C6200"/>
    <w:rsid w:val="003C663D"/>
    <w:rsid w:val="003C6705"/>
    <w:rsid w:val="003C6781"/>
    <w:rsid w:val="003C6FFC"/>
    <w:rsid w:val="003C714E"/>
    <w:rsid w:val="003C7157"/>
    <w:rsid w:val="003C71B3"/>
    <w:rsid w:val="003C720A"/>
    <w:rsid w:val="003C7522"/>
    <w:rsid w:val="003C778D"/>
    <w:rsid w:val="003C77E8"/>
    <w:rsid w:val="003C7C69"/>
    <w:rsid w:val="003D012F"/>
    <w:rsid w:val="003D01DB"/>
    <w:rsid w:val="003D0237"/>
    <w:rsid w:val="003D03E3"/>
    <w:rsid w:val="003D05FB"/>
    <w:rsid w:val="003D097D"/>
    <w:rsid w:val="003D0C94"/>
    <w:rsid w:val="003D17F3"/>
    <w:rsid w:val="003D1E71"/>
    <w:rsid w:val="003D21CC"/>
    <w:rsid w:val="003D2340"/>
    <w:rsid w:val="003D25E7"/>
    <w:rsid w:val="003D2A45"/>
    <w:rsid w:val="003D2B90"/>
    <w:rsid w:val="003D2C59"/>
    <w:rsid w:val="003D300E"/>
    <w:rsid w:val="003D3457"/>
    <w:rsid w:val="003D35D0"/>
    <w:rsid w:val="003D38C2"/>
    <w:rsid w:val="003D4633"/>
    <w:rsid w:val="003D464E"/>
    <w:rsid w:val="003D471A"/>
    <w:rsid w:val="003D471B"/>
    <w:rsid w:val="003D48C1"/>
    <w:rsid w:val="003D4E58"/>
    <w:rsid w:val="003D4EBC"/>
    <w:rsid w:val="003D57EA"/>
    <w:rsid w:val="003D5D36"/>
    <w:rsid w:val="003D5DEB"/>
    <w:rsid w:val="003D65CA"/>
    <w:rsid w:val="003D6D9D"/>
    <w:rsid w:val="003D7C1D"/>
    <w:rsid w:val="003D7C9E"/>
    <w:rsid w:val="003D7EAD"/>
    <w:rsid w:val="003E004A"/>
    <w:rsid w:val="003E0713"/>
    <w:rsid w:val="003E0F16"/>
    <w:rsid w:val="003E108F"/>
    <w:rsid w:val="003E13B2"/>
    <w:rsid w:val="003E16D6"/>
    <w:rsid w:val="003E1AF8"/>
    <w:rsid w:val="003E1E09"/>
    <w:rsid w:val="003E255C"/>
    <w:rsid w:val="003E2977"/>
    <w:rsid w:val="003E2E44"/>
    <w:rsid w:val="003E2E6A"/>
    <w:rsid w:val="003E2EFD"/>
    <w:rsid w:val="003E3034"/>
    <w:rsid w:val="003E32CD"/>
    <w:rsid w:val="003E3330"/>
    <w:rsid w:val="003E383D"/>
    <w:rsid w:val="003E3869"/>
    <w:rsid w:val="003E38CC"/>
    <w:rsid w:val="003E38E8"/>
    <w:rsid w:val="003E3B6F"/>
    <w:rsid w:val="003E3C23"/>
    <w:rsid w:val="003E3CA7"/>
    <w:rsid w:val="003E3D1C"/>
    <w:rsid w:val="003E3EC0"/>
    <w:rsid w:val="003E4329"/>
    <w:rsid w:val="003E43FB"/>
    <w:rsid w:val="003E4877"/>
    <w:rsid w:val="003E488B"/>
    <w:rsid w:val="003E4E68"/>
    <w:rsid w:val="003E4ED3"/>
    <w:rsid w:val="003E4FF6"/>
    <w:rsid w:val="003E5082"/>
    <w:rsid w:val="003E51E2"/>
    <w:rsid w:val="003E553C"/>
    <w:rsid w:val="003E57B0"/>
    <w:rsid w:val="003E57D2"/>
    <w:rsid w:val="003E5D98"/>
    <w:rsid w:val="003E5DF4"/>
    <w:rsid w:val="003E5E57"/>
    <w:rsid w:val="003E5EB9"/>
    <w:rsid w:val="003E6163"/>
    <w:rsid w:val="003E645B"/>
    <w:rsid w:val="003E654D"/>
    <w:rsid w:val="003E6B6C"/>
    <w:rsid w:val="003E6EDC"/>
    <w:rsid w:val="003E6F60"/>
    <w:rsid w:val="003E7493"/>
    <w:rsid w:val="003E78DE"/>
    <w:rsid w:val="003E7C3C"/>
    <w:rsid w:val="003E7D59"/>
    <w:rsid w:val="003E7EEF"/>
    <w:rsid w:val="003F0822"/>
    <w:rsid w:val="003F09A1"/>
    <w:rsid w:val="003F0A2E"/>
    <w:rsid w:val="003F0A9C"/>
    <w:rsid w:val="003F13B9"/>
    <w:rsid w:val="003F13F1"/>
    <w:rsid w:val="003F14F5"/>
    <w:rsid w:val="003F1666"/>
    <w:rsid w:val="003F2049"/>
    <w:rsid w:val="003F25F3"/>
    <w:rsid w:val="003F2804"/>
    <w:rsid w:val="003F2C2D"/>
    <w:rsid w:val="003F2DEA"/>
    <w:rsid w:val="003F31B7"/>
    <w:rsid w:val="003F34D0"/>
    <w:rsid w:val="003F38DE"/>
    <w:rsid w:val="003F3A01"/>
    <w:rsid w:val="003F3BC6"/>
    <w:rsid w:val="003F43DB"/>
    <w:rsid w:val="003F4935"/>
    <w:rsid w:val="003F4E6B"/>
    <w:rsid w:val="003F5128"/>
    <w:rsid w:val="003F5195"/>
    <w:rsid w:val="003F527F"/>
    <w:rsid w:val="003F529A"/>
    <w:rsid w:val="003F550D"/>
    <w:rsid w:val="003F56C0"/>
    <w:rsid w:val="003F5A32"/>
    <w:rsid w:val="003F5B3B"/>
    <w:rsid w:val="003F5CE1"/>
    <w:rsid w:val="003F5FA9"/>
    <w:rsid w:val="003F629B"/>
    <w:rsid w:val="003F6508"/>
    <w:rsid w:val="003F663C"/>
    <w:rsid w:val="003F6A87"/>
    <w:rsid w:val="003F6B42"/>
    <w:rsid w:val="003F6C1E"/>
    <w:rsid w:val="003F6EBE"/>
    <w:rsid w:val="003F7C69"/>
    <w:rsid w:val="003F7CE0"/>
    <w:rsid w:val="00400016"/>
    <w:rsid w:val="0040068D"/>
    <w:rsid w:val="0040068F"/>
    <w:rsid w:val="00400A04"/>
    <w:rsid w:val="00400C8B"/>
    <w:rsid w:val="00400E2B"/>
    <w:rsid w:val="00401015"/>
    <w:rsid w:val="004011D9"/>
    <w:rsid w:val="0040154F"/>
    <w:rsid w:val="004017AB"/>
    <w:rsid w:val="00401ACA"/>
    <w:rsid w:val="00401CDF"/>
    <w:rsid w:val="00402244"/>
    <w:rsid w:val="004022EF"/>
    <w:rsid w:val="0040280D"/>
    <w:rsid w:val="00402B21"/>
    <w:rsid w:val="00402E88"/>
    <w:rsid w:val="0040365C"/>
    <w:rsid w:val="004038DE"/>
    <w:rsid w:val="00403BB3"/>
    <w:rsid w:val="00404508"/>
    <w:rsid w:val="004047C3"/>
    <w:rsid w:val="00404A25"/>
    <w:rsid w:val="00404CC8"/>
    <w:rsid w:val="004050AB"/>
    <w:rsid w:val="004050D6"/>
    <w:rsid w:val="00405185"/>
    <w:rsid w:val="00405EE2"/>
    <w:rsid w:val="00406712"/>
    <w:rsid w:val="00406A12"/>
    <w:rsid w:val="00406BE9"/>
    <w:rsid w:val="00406C52"/>
    <w:rsid w:val="00407573"/>
    <w:rsid w:val="00407778"/>
    <w:rsid w:val="00407936"/>
    <w:rsid w:val="00407C36"/>
    <w:rsid w:val="00407C3E"/>
    <w:rsid w:val="00407DE2"/>
    <w:rsid w:val="00407E9E"/>
    <w:rsid w:val="00407F87"/>
    <w:rsid w:val="004100AE"/>
    <w:rsid w:val="00410199"/>
    <w:rsid w:val="00410264"/>
    <w:rsid w:val="004103D2"/>
    <w:rsid w:val="00410CAB"/>
    <w:rsid w:val="00411321"/>
    <w:rsid w:val="0041137E"/>
    <w:rsid w:val="004117EE"/>
    <w:rsid w:val="00411877"/>
    <w:rsid w:val="004118A6"/>
    <w:rsid w:val="00411A50"/>
    <w:rsid w:val="00411B3B"/>
    <w:rsid w:val="00411D3E"/>
    <w:rsid w:val="00411F90"/>
    <w:rsid w:val="0041212D"/>
    <w:rsid w:val="004121BB"/>
    <w:rsid w:val="004121F3"/>
    <w:rsid w:val="0041226D"/>
    <w:rsid w:val="004125EA"/>
    <w:rsid w:val="00412E46"/>
    <w:rsid w:val="00413B04"/>
    <w:rsid w:val="00413C46"/>
    <w:rsid w:val="00413DE1"/>
    <w:rsid w:val="00413F55"/>
    <w:rsid w:val="004145BB"/>
    <w:rsid w:val="00414C51"/>
    <w:rsid w:val="00414C6B"/>
    <w:rsid w:val="00415183"/>
    <w:rsid w:val="00415B53"/>
    <w:rsid w:val="00415C33"/>
    <w:rsid w:val="004161F1"/>
    <w:rsid w:val="0041658F"/>
    <w:rsid w:val="004165D6"/>
    <w:rsid w:val="00416792"/>
    <w:rsid w:val="00416B3F"/>
    <w:rsid w:val="00416CF8"/>
    <w:rsid w:val="00417012"/>
    <w:rsid w:val="0041702E"/>
    <w:rsid w:val="004176CF"/>
    <w:rsid w:val="00417ACA"/>
    <w:rsid w:val="00417C83"/>
    <w:rsid w:val="00417F5F"/>
    <w:rsid w:val="0042062B"/>
    <w:rsid w:val="00420952"/>
    <w:rsid w:val="004209AA"/>
    <w:rsid w:val="00420AB4"/>
    <w:rsid w:val="00420BD7"/>
    <w:rsid w:val="00420D18"/>
    <w:rsid w:val="004210AE"/>
    <w:rsid w:val="004216AA"/>
    <w:rsid w:val="00421CFB"/>
    <w:rsid w:val="00421D44"/>
    <w:rsid w:val="00421D4C"/>
    <w:rsid w:val="004220B7"/>
    <w:rsid w:val="00422103"/>
    <w:rsid w:val="004225D9"/>
    <w:rsid w:val="00422BF6"/>
    <w:rsid w:val="00422CAC"/>
    <w:rsid w:val="00422D73"/>
    <w:rsid w:val="004231C8"/>
    <w:rsid w:val="00423376"/>
    <w:rsid w:val="004233A7"/>
    <w:rsid w:val="004234E7"/>
    <w:rsid w:val="00423577"/>
    <w:rsid w:val="004237F5"/>
    <w:rsid w:val="0042387C"/>
    <w:rsid w:val="0042398C"/>
    <w:rsid w:val="00424099"/>
    <w:rsid w:val="004242C1"/>
    <w:rsid w:val="00424362"/>
    <w:rsid w:val="00424548"/>
    <w:rsid w:val="00424728"/>
    <w:rsid w:val="00424ADE"/>
    <w:rsid w:val="00424FD2"/>
    <w:rsid w:val="004253C4"/>
    <w:rsid w:val="00425509"/>
    <w:rsid w:val="004256EE"/>
    <w:rsid w:val="004257D5"/>
    <w:rsid w:val="004258E8"/>
    <w:rsid w:val="00425F6F"/>
    <w:rsid w:val="0042621B"/>
    <w:rsid w:val="00426856"/>
    <w:rsid w:val="0042693C"/>
    <w:rsid w:val="00427430"/>
    <w:rsid w:val="00427651"/>
    <w:rsid w:val="00427A13"/>
    <w:rsid w:val="00427BE7"/>
    <w:rsid w:val="00430039"/>
    <w:rsid w:val="0043019C"/>
    <w:rsid w:val="004302DB"/>
    <w:rsid w:val="00430686"/>
    <w:rsid w:val="004307A3"/>
    <w:rsid w:val="004307E3"/>
    <w:rsid w:val="0043082A"/>
    <w:rsid w:val="0043094A"/>
    <w:rsid w:val="0043099B"/>
    <w:rsid w:val="00430D2F"/>
    <w:rsid w:val="0043154B"/>
    <w:rsid w:val="00431A97"/>
    <w:rsid w:val="00432179"/>
    <w:rsid w:val="004323EF"/>
    <w:rsid w:val="004327C2"/>
    <w:rsid w:val="00432929"/>
    <w:rsid w:val="00432D11"/>
    <w:rsid w:val="00432D52"/>
    <w:rsid w:val="0043376F"/>
    <w:rsid w:val="0043380C"/>
    <w:rsid w:val="00433841"/>
    <w:rsid w:val="00433880"/>
    <w:rsid w:val="00433991"/>
    <w:rsid w:val="004339A1"/>
    <w:rsid w:val="00433B35"/>
    <w:rsid w:val="00433C34"/>
    <w:rsid w:val="00433DC1"/>
    <w:rsid w:val="00433E3A"/>
    <w:rsid w:val="00433EA8"/>
    <w:rsid w:val="004345EE"/>
    <w:rsid w:val="00434C42"/>
    <w:rsid w:val="00435120"/>
    <w:rsid w:val="00435656"/>
    <w:rsid w:val="00435B61"/>
    <w:rsid w:val="00435EA2"/>
    <w:rsid w:val="0043660A"/>
    <w:rsid w:val="0043673A"/>
    <w:rsid w:val="0043695E"/>
    <w:rsid w:val="00436A7A"/>
    <w:rsid w:val="00436A86"/>
    <w:rsid w:val="00436D29"/>
    <w:rsid w:val="00437107"/>
    <w:rsid w:val="00437472"/>
    <w:rsid w:val="0043759D"/>
    <w:rsid w:val="00437907"/>
    <w:rsid w:val="00437AA9"/>
    <w:rsid w:val="00437CE8"/>
    <w:rsid w:val="00437DC9"/>
    <w:rsid w:val="0044012C"/>
    <w:rsid w:val="0044038C"/>
    <w:rsid w:val="00440B13"/>
    <w:rsid w:val="00440C44"/>
    <w:rsid w:val="00440CE3"/>
    <w:rsid w:val="00440D03"/>
    <w:rsid w:val="00440E83"/>
    <w:rsid w:val="004411F3"/>
    <w:rsid w:val="004413B1"/>
    <w:rsid w:val="00441C32"/>
    <w:rsid w:val="00441C5F"/>
    <w:rsid w:val="00441DEE"/>
    <w:rsid w:val="00441FEB"/>
    <w:rsid w:val="004421DB"/>
    <w:rsid w:val="00442224"/>
    <w:rsid w:val="00442230"/>
    <w:rsid w:val="00442490"/>
    <w:rsid w:val="00442741"/>
    <w:rsid w:val="004427D3"/>
    <w:rsid w:val="00442A6D"/>
    <w:rsid w:val="00443917"/>
    <w:rsid w:val="00444679"/>
    <w:rsid w:val="00444854"/>
    <w:rsid w:val="00444FDD"/>
    <w:rsid w:val="00445ACF"/>
    <w:rsid w:val="00445AE3"/>
    <w:rsid w:val="00445B67"/>
    <w:rsid w:val="004460FC"/>
    <w:rsid w:val="00446B04"/>
    <w:rsid w:val="00446B47"/>
    <w:rsid w:val="00446FE7"/>
    <w:rsid w:val="004470C6"/>
    <w:rsid w:val="00447C66"/>
    <w:rsid w:val="0045077C"/>
    <w:rsid w:val="004511AC"/>
    <w:rsid w:val="004511B2"/>
    <w:rsid w:val="004512F6"/>
    <w:rsid w:val="00451871"/>
    <w:rsid w:val="00451A5B"/>
    <w:rsid w:val="00451EE3"/>
    <w:rsid w:val="0045208C"/>
    <w:rsid w:val="004521F8"/>
    <w:rsid w:val="00452216"/>
    <w:rsid w:val="0045223C"/>
    <w:rsid w:val="004527D9"/>
    <w:rsid w:val="00452B17"/>
    <w:rsid w:val="00452CB2"/>
    <w:rsid w:val="00452E7A"/>
    <w:rsid w:val="00452F13"/>
    <w:rsid w:val="004530FD"/>
    <w:rsid w:val="00453145"/>
    <w:rsid w:val="004537CF"/>
    <w:rsid w:val="00453A69"/>
    <w:rsid w:val="00453AE0"/>
    <w:rsid w:val="00453B31"/>
    <w:rsid w:val="00453D47"/>
    <w:rsid w:val="00454D16"/>
    <w:rsid w:val="00454E5E"/>
    <w:rsid w:val="00454F10"/>
    <w:rsid w:val="00454FB5"/>
    <w:rsid w:val="004550E2"/>
    <w:rsid w:val="0045533D"/>
    <w:rsid w:val="004553C5"/>
    <w:rsid w:val="00455A2E"/>
    <w:rsid w:val="00455DA5"/>
    <w:rsid w:val="00455E54"/>
    <w:rsid w:val="00455F97"/>
    <w:rsid w:val="004565EE"/>
    <w:rsid w:val="00456664"/>
    <w:rsid w:val="004568ED"/>
    <w:rsid w:val="00456AA2"/>
    <w:rsid w:val="00456CCB"/>
    <w:rsid w:val="0045743D"/>
    <w:rsid w:val="00457486"/>
    <w:rsid w:val="004578B1"/>
    <w:rsid w:val="00457940"/>
    <w:rsid w:val="004579CE"/>
    <w:rsid w:val="00457C60"/>
    <w:rsid w:val="00460524"/>
    <w:rsid w:val="004605DE"/>
    <w:rsid w:val="004606C8"/>
    <w:rsid w:val="00460752"/>
    <w:rsid w:val="004609F2"/>
    <w:rsid w:val="00460B92"/>
    <w:rsid w:val="00460BB8"/>
    <w:rsid w:val="00460C66"/>
    <w:rsid w:val="00460F52"/>
    <w:rsid w:val="00461104"/>
    <w:rsid w:val="004611D8"/>
    <w:rsid w:val="004613AB"/>
    <w:rsid w:val="00461696"/>
    <w:rsid w:val="004616CF"/>
    <w:rsid w:val="00461C5A"/>
    <w:rsid w:val="00461F15"/>
    <w:rsid w:val="00462311"/>
    <w:rsid w:val="0046240D"/>
    <w:rsid w:val="004625F4"/>
    <w:rsid w:val="004625FF"/>
    <w:rsid w:val="00462715"/>
    <w:rsid w:val="00462C28"/>
    <w:rsid w:val="0046340C"/>
    <w:rsid w:val="0046373B"/>
    <w:rsid w:val="00463AA4"/>
    <w:rsid w:val="00463C48"/>
    <w:rsid w:val="00464156"/>
    <w:rsid w:val="00464305"/>
    <w:rsid w:val="00464637"/>
    <w:rsid w:val="00464941"/>
    <w:rsid w:val="00464B85"/>
    <w:rsid w:val="00464C4D"/>
    <w:rsid w:val="0046537C"/>
    <w:rsid w:val="00465524"/>
    <w:rsid w:val="004656E1"/>
    <w:rsid w:val="00465CBD"/>
    <w:rsid w:val="00465E1E"/>
    <w:rsid w:val="00466238"/>
    <w:rsid w:val="004664E8"/>
    <w:rsid w:val="004667B8"/>
    <w:rsid w:val="004667E6"/>
    <w:rsid w:val="00466825"/>
    <w:rsid w:val="00466EE5"/>
    <w:rsid w:val="00466FE1"/>
    <w:rsid w:val="004671B4"/>
    <w:rsid w:val="004675DF"/>
    <w:rsid w:val="004679E8"/>
    <w:rsid w:val="00467AAC"/>
    <w:rsid w:val="00467BEA"/>
    <w:rsid w:val="00467C0F"/>
    <w:rsid w:val="00467D2D"/>
    <w:rsid w:val="00467E4C"/>
    <w:rsid w:val="00467F20"/>
    <w:rsid w:val="004705B4"/>
    <w:rsid w:val="0047088A"/>
    <w:rsid w:val="004708B5"/>
    <w:rsid w:val="0047098B"/>
    <w:rsid w:val="004710AC"/>
    <w:rsid w:val="0047140B"/>
    <w:rsid w:val="00471A73"/>
    <w:rsid w:val="00471AE6"/>
    <w:rsid w:val="00472808"/>
    <w:rsid w:val="00472BBF"/>
    <w:rsid w:val="004730B8"/>
    <w:rsid w:val="0047331D"/>
    <w:rsid w:val="00473467"/>
    <w:rsid w:val="00473653"/>
    <w:rsid w:val="004747F1"/>
    <w:rsid w:val="004750EB"/>
    <w:rsid w:val="00475348"/>
    <w:rsid w:val="0047535D"/>
    <w:rsid w:val="004754A3"/>
    <w:rsid w:val="004755F2"/>
    <w:rsid w:val="0047602F"/>
    <w:rsid w:val="004760E7"/>
    <w:rsid w:val="004763E6"/>
    <w:rsid w:val="0047662D"/>
    <w:rsid w:val="00476880"/>
    <w:rsid w:val="004769B3"/>
    <w:rsid w:val="00477117"/>
    <w:rsid w:val="00477244"/>
    <w:rsid w:val="004773F3"/>
    <w:rsid w:val="00477523"/>
    <w:rsid w:val="004777F6"/>
    <w:rsid w:val="0047787A"/>
    <w:rsid w:val="00477CFF"/>
    <w:rsid w:val="00477D5D"/>
    <w:rsid w:val="00480401"/>
    <w:rsid w:val="0048048C"/>
    <w:rsid w:val="00480600"/>
    <w:rsid w:val="004806DA"/>
    <w:rsid w:val="004809E0"/>
    <w:rsid w:val="004816CB"/>
    <w:rsid w:val="004819FB"/>
    <w:rsid w:val="00481C97"/>
    <w:rsid w:val="00481E69"/>
    <w:rsid w:val="0048242C"/>
    <w:rsid w:val="00482782"/>
    <w:rsid w:val="00482D4D"/>
    <w:rsid w:val="00483243"/>
    <w:rsid w:val="004835EC"/>
    <w:rsid w:val="00483E1E"/>
    <w:rsid w:val="004845C5"/>
    <w:rsid w:val="004848CB"/>
    <w:rsid w:val="00484CF3"/>
    <w:rsid w:val="00484E8F"/>
    <w:rsid w:val="00485206"/>
    <w:rsid w:val="004852AC"/>
    <w:rsid w:val="004853DE"/>
    <w:rsid w:val="00485859"/>
    <w:rsid w:val="0048614D"/>
    <w:rsid w:val="00486353"/>
    <w:rsid w:val="00486729"/>
    <w:rsid w:val="00486B0C"/>
    <w:rsid w:val="00486B1B"/>
    <w:rsid w:val="004872C7"/>
    <w:rsid w:val="004875D7"/>
    <w:rsid w:val="004876B3"/>
    <w:rsid w:val="004878CE"/>
    <w:rsid w:val="00487948"/>
    <w:rsid w:val="00487EF3"/>
    <w:rsid w:val="00490212"/>
    <w:rsid w:val="0049069A"/>
    <w:rsid w:val="00490FF6"/>
    <w:rsid w:val="004910E4"/>
    <w:rsid w:val="00491DFF"/>
    <w:rsid w:val="00491E34"/>
    <w:rsid w:val="004921B0"/>
    <w:rsid w:val="0049282E"/>
    <w:rsid w:val="00492A22"/>
    <w:rsid w:val="00492A4A"/>
    <w:rsid w:val="00492A4B"/>
    <w:rsid w:val="00492EFF"/>
    <w:rsid w:val="0049334F"/>
    <w:rsid w:val="00493366"/>
    <w:rsid w:val="00493747"/>
    <w:rsid w:val="004937B7"/>
    <w:rsid w:val="00493818"/>
    <w:rsid w:val="00493A69"/>
    <w:rsid w:val="00493CA7"/>
    <w:rsid w:val="0049404B"/>
    <w:rsid w:val="00494404"/>
    <w:rsid w:val="0049440D"/>
    <w:rsid w:val="00494502"/>
    <w:rsid w:val="004946CD"/>
    <w:rsid w:val="00494AA1"/>
    <w:rsid w:val="00494DCD"/>
    <w:rsid w:val="00495066"/>
    <w:rsid w:val="004957FD"/>
    <w:rsid w:val="00495DCF"/>
    <w:rsid w:val="0049617F"/>
    <w:rsid w:val="004962DE"/>
    <w:rsid w:val="004962EB"/>
    <w:rsid w:val="0049643F"/>
    <w:rsid w:val="00496567"/>
    <w:rsid w:val="00496584"/>
    <w:rsid w:val="00496974"/>
    <w:rsid w:val="004969CE"/>
    <w:rsid w:val="004969DD"/>
    <w:rsid w:val="00496B7F"/>
    <w:rsid w:val="004970FD"/>
    <w:rsid w:val="00497249"/>
    <w:rsid w:val="0049764F"/>
    <w:rsid w:val="004976B8"/>
    <w:rsid w:val="00497BD0"/>
    <w:rsid w:val="00497D79"/>
    <w:rsid w:val="00497E25"/>
    <w:rsid w:val="004A02BC"/>
    <w:rsid w:val="004A0310"/>
    <w:rsid w:val="004A0506"/>
    <w:rsid w:val="004A085C"/>
    <w:rsid w:val="004A0AF0"/>
    <w:rsid w:val="004A0D24"/>
    <w:rsid w:val="004A0F29"/>
    <w:rsid w:val="004A1016"/>
    <w:rsid w:val="004A1162"/>
    <w:rsid w:val="004A11A4"/>
    <w:rsid w:val="004A1C78"/>
    <w:rsid w:val="004A1F6A"/>
    <w:rsid w:val="004A2669"/>
    <w:rsid w:val="004A27D4"/>
    <w:rsid w:val="004A3790"/>
    <w:rsid w:val="004A3AFA"/>
    <w:rsid w:val="004A3CD3"/>
    <w:rsid w:val="004A3DFF"/>
    <w:rsid w:val="004A4453"/>
    <w:rsid w:val="004A4954"/>
    <w:rsid w:val="004A4D47"/>
    <w:rsid w:val="004A4E01"/>
    <w:rsid w:val="004A4E63"/>
    <w:rsid w:val="004A5187"/>
    <w:rsid w:val="004A538D"/>
    <w:rsid w:val="004A5609"/>
    <w:rsid w:val="004A57A2"/>
    <w:rsid w:val="004A57D3"/>
    <w:rsid w:val="004A5E71"/>
    <w:rsid w:val="004A654A"/>
    <w:rsid w:val="004A665B"/>
    <w:rsid w:val="004A6A42"/>
    <w:rsid w:val="004A6C84"/>
    <w:rsid w:val="004A6CCA"/>
    <w:rsid w:val="004A6D70"/>
    <w:rsid w:val="004A6F85"/>
    <w:rsid w:val="004A776B"/>
    <w:rsid w:val="004A7EBC"/>
    <w:rsid w:val="004A7F48"/>
    <w:rsid w:val="004B004D"/>
    <w:rsid w:val="004B0473"/>
    <w:rsid w:val="004B0731"/>
    <w:rsid w:val="004B0732"/>
    <w:rsid w:val="004B0894"/>
    <w:rsid w:val="004B12E5"/>
    <w:rsid w:val="004B159D"/>
    <w:rsid w:val="004B1D6E"/>
    <w:rsid w:val="004B2832"/>
    <w:rsid w:val="004B2897"/>
    <w:rsid w:val="004B291F"/>
    <w:rsid w:val="004B2B61"/>
    <w:rsid w:val="004B2DDA"/>
    <w:rsid w:val="004B306E"/>
    <w:rsid w:val="004B318A"/>
    <w:rsid w:val="004B3978"/>
    <w:rsid w:val="004B3B82"/>
    <w:rsid w:val="004B3BA2"/>
    <w:rsid w:val="004B3C4B"/>
    <w:rsid w:val="004B3E95"/>
    <w:rsid w:val="004B3FA3"/>
    <w:rsid w:val="004B4175"/>
    <w:rsid w:val="004B4286"/>
    <w:rsid w:val="004B4315"/>
    <w:rsid w:val="004B4349"/>
    <w:rsid w:val="004B434D"/>
    <w:rsid w:val="004B4B86"/>
    <w:rsid w:val="004B4EF3"/>
    <w:rsid w:val="004B521E"/>
    <w:rsid w:val="004B53AB"/>
    <w:rsid w:val="004B5BCD"/>
    <w:rsid w:val="004B5C2D"/>
    <w:rsid w:val="004B5CD2"/>
    <w:rsid w:val="004B5DA5"/>
    <w:rsid w:val="004B5FA7"/>
    <w:rsid w:val="004B6A7D"/>
    <w:rsid w:val="004B6E9A"/>
    <w:rsid w:val="004B7266"/>
    <w:rsid w:val="004B7383"/>
    <w:rsid w:val="004B760F"/>
    <w:rsid w:val="004B7BE8"/>
    <w:rsid w:val="004B7CCD"/>
    <w:rsid w:val="004B7F90"/>
    <w:rsid w:val="004C0020"/>
    <w:rsid w:val="004C02AB"/>
    <w:rsid w:val="004C045F"/>
    <w:rsid w:val="004C08E1"/>
    <w:rsid w:val="004C0B6D"/>
    <w:rsid w:val="004C0FE3"/>
    <w:rsid w:val="004C1265"/>
    <w:rsid w:val="004C16A2"/>
    <w:rsid w:val="004C187E"/>
    <w:rsid w:val="004C1C80"/>
    <w:rsid w:val="004C1FF0"/>
    <w:rsid w:val="004C24CB"/>
    <w:rsid w:val="004C2B21"/>
    <w:rsid w:val="004C2B6D"/>
    <w:rsid w:val="004C2C32"/>
    <w:rsid w:val="004C2E30"/>
    <w:rsid w:val="004C2F9E"/>
    <w:rsid w:val="004C329E"/>
    <w:rsid w:val="004C33E2"/>
    <w:rsid w:val="004C3A61"/>
    <w:rsid w:val="004C3AFB"/>
    <w:rsid w:val="004C3D1D"/>
    <w:rsid w:val="004C3D7D"/>
    <w:rsid w:val="004C3F9C"/>
    <w:rsid w:val="004C42EA"/>
    <w:rsid w:val="004C44FF"/>
    <w:rsid w:val="004C48B6"/>
    <w:rsid w:val="004C5263"/>
    <w:rsid w:val="004C53D6"/>
    <w:rsid w:val="004C57F5"/>
    <w:rsid w:val="004C58B3"/>
    <w:rsid w:val="004C62C7"/>
    <w:rsid w:val="004C62CB"/>
    <w:rsid w:val="004C6427"/>
    <w:rsid w:val="004C71DE"/>
    <w:rsid w:val="004C7A80"/>
    <w:rsid w:val="004D002C"/>
    <w:rsid w:val="004D0524"/>
    <w:rsid w:val="004D0653"/>
    <w:rsid w:val="004D09B6"/>
    <w:rsid w:val="004D0F63"/>
    <w:rsid w:val="004D104B"/>
    <w:rsid w:val="004D125C"/>
    <w:rsid w:val="004D1659"/>
    <w:rsid w:val="004D16DB"/>
    <w:rsid w:val="004D1A50"/>
    <w:rsid w:val="004D1ACB"/>
    <w:rsid w:val="004D1B93"/>
    <w:rsid w:val="004D1CE0"/>
    <w:rsid w:val="004D22A3"/>
    <w:rsid w:val="004D2B75"/>
    <w:rsid w:val="004D2CB7"/>
    <w:rsid w:val="004D2D0F"/>
    <w:rsid w:val="004D2FA7"/>
    <w:rsid w:val="004D3BF5"/>
    <w:rsid w:val="004D3C4E"/>
    <w:rsid w:val="004D42DA"/>
    <w:rsid w:val="004D42FF"/>
    <w:rsid w:val="004D4451"/>
    <w:rsid w:val="004D46B0"/>
    <w:rsid w:val="004D47E6"/>
    <w:rsid w:val="004D4D2E"/>
    <w:rsid w:val="004D4DE8"/>
    <w:rsid w:val="004D4EC4"/>
    <w:rsid w:val="004D5407"/>
    <w:rsid w:val="004D541E"/>
    <w:rsid w:val="004D5640"/>
    <w:rsid w:val="004D5BD8"/>
    <w:rsid w:val="004D62AA"/>
    <w:rsid w:val="004D6348"/>
    <w:rsid w:val="004D6600"/>
    <w:rsid w:val="004D66AA"/>
    <w:rsid w:val="004D6981"/>
    <w:rsid w:val="004D699F"/>
    <w:rsid w:val="004D6BBE"/>
    <w:rsid w:val="004D6D82"/>
    <w:rsid w:val="004D6DFD"/>
    <w:rsid w:val="004D6E22"/>
    <w:rsid w:val="004D764F"/>
    <w:rsid w:val="004D79CF"/>
    <w:rsid w:val="004D7BC4"/>
    <w:rsid w:val="004D7C3D"/>
    <w:rsid w:val="004D7EEC"/>
    <w:rsid w:val="004E0160"/>
    <w:rsid w:val="004E13B2"/>
    <w:rsid w:val="004E1E3B"/>
    <w:rsid w:val="004E201E"/>
    <w:rsid w:val="004E21FB"/>
    <w:rsid w:val="004E249F"/>
    <w:rsid w:val="004E2853"/>
    <w:rsid w:val="004E2A9E"/>
    <w:rsid w:val="004E2C4D"/>
    <w:rsid w:val="004E2D6B"/>
    <w:rsid w:val="004E2E18"/>
    <w:rsid w:val="004E303C"/>
    <w:rsid w:val="004E3314"/>
    <w:rsid w:val="004E333A"/>
    <w:rsid w:val="004E3598"/>
    <w:rsid w:val="004E39E8"/>
    <w:rsid w:val="004E39F1"/>
    <w:rsid w:val="004E3BF6"/>
    <w:rsid w:val="004E3D2E"/>
    <w:rsid w:val="004E3E62"/>
    <w:rsid w:val="004E40DE"/>
    <w:rsid w:val="004E40FB"/>
    <w:rsid w:val="004E44AE"/>
    <w:rsid w:val="004E4EE3"/>
    <w:rsid w:val="004E4F24"/>
    <w:rsid w:val="004E50B0"/>
    <w:rsid w:val="004E5160"/>
    <w:rsid w:val="004E532C"/>
    <w:rsid w:val="004E5730"/>
    <w:rsid w:val="004E5B94"/>
    <w:rsid w:val="004E5C18"/>
    <w:rsid w:val="004E5E70"/>
    <w:rsid w:val="004E5FE1"/>
    <w:rsid w:val="004E62C7"/>
    <w:rsid w:val="004E64A7"/>
    <w:rsid w:val="004E665D"/>
    <w:rsid w:val="004E72D2"/>
    <w:rsid w:val="004E7651"/>
    <w:rsid w:val="004E777D"/>
    <w:rsid w:val="004E778C"/>
    <w:rsid w:val="004E7945"/>
    <w:rsid w:val="004E7F9D"/>
    <w:rsid w:val="004E7FD8"/>
    <w:rsid w:val="004F0155"/>
    <w:rsid w:val="004F0385"/>
    <w:rsid w:val="004F06E7"/>
    <w:rsid w:val="004F083B"/>
    <w:rsid w:val="004F096E"/>
    <w:rsid w:val="004F09F4"/>
    <w:rsid w:val="004F11A6"/>
    <w:rsid w:val="004F1443"/>
    <w:rsid w:val="004F1942"/>
    <w:rsid w:val="004F1B7B"/>
    <w:rsid w:val="004F1CE5"/>
    <w:rsid w:val="004F1D65"/>
    <w:rsid w:val="004F1EDB"/>
    <w:rsid w:val="004F26F2"/>
    <w:rsid w:val="004F28B1"/>
    <w:rsid w:val="004F2965"/>
    <w:rsid w:val="004F2A9B"/>
    <w:rsid w:val="004F2E09"/>
    <w:rsid w:val="004F2ED0"/>
    <w:rsid w:val="004F3129"/>
    <w:rsid w:val="004F4021"/>
    <w:rsid w:val="004F413D"/>
    <w:rsid w:val="004F45C5"/>
    <w:rsid w:val="004F46A1"/>
    <w:rsid w:val="004F4851"/>
    <w:rsid w:val="004F4BF1"/>
    <w:rsid w:val="004F5396"/>
    <w:rsid w:val="004F5767"/>
    <w:rsid w:val="004F598C"/>
    <w:rsid w:val="004F5A25"/>
    <w:rsid w:val="004F6209"/>
    <w:rsid w:val="004F667D"/>
    <w:rsid w:val="004F6732"/>
    <w:rsid w:val="004F6A26"/>
    <w:rsid w:val="004F6B8D"/>
    <w:rsid w:val="004F73FC"/>
    <w:rsid w:val="004F7825"/>
    <w:rsid w:val="004F7E37"/>
    <w:rsid w:val="00500BCA"/>
    <w:rsid w:val="00500E14"/>
    <w:rsid w:val="00500F48"/>
    <w:rsid w:val="00501025"/>
    <w:rsid w:val="005010FE"/>
    <w:rsid w:val="00501967"/>
    <w:rsid w:val="00501CE5"/>
    <w:rsid w:val="00501DA6"/>
    <w:rsid w:val="00502450"/>
    <w:rsid w:val="005024E8"/>
    <w:rsid w:val="0050295C"/>
    <w:rsid w:val="00502971"/>
    <w:rsid w:val="00502D12"/>
    <w:rsid w:val="00502D46"/>
    <w:rsid w:val="00502E35"/>
    <w:rsid w:val="0050313C"/>
    <w:rsid w:val="005035C1"/>
    <w:rsid w:val="005036EB"/>
    <w:rsid w:val="00503955"/>
    <w:rsid w:val="00503AA0"/>
    <w:rsid w:val="00503FB7"/>
    <w:rsid w:val="0050425B"/>
    <w:rsid w:val="005044A9"/>
    <w:rsid w:val="005047B3"/>
    <w:rsid w:val="00504C04"/>
    <w:rsid w:val="00504D16"/>
    <w:rsid w:val="005051FB"/>
    <w:rsid w:val="00505434"/>
    <w:rsid w:val="00505715"/>
    <w:rsid w:val="00505AFB"/>
    <w:rsid w:val="00505B52"/>
    <w:rsid w:val="00505DA6"/>
    <w:rsid w:val="005064D5"/>
    <w:rsid w:val="00506E86"/>
    <w:rsid w:val="00506FF3"/>
    <w:rsid w:val="00507221"/>
    <w:rsid w:val="00507388"/>
    <w:rsid w:val="0050750C"/>
    <w:rsid w:val="00507B59"/>
    <w:rsid w:val="00507D01"/>
    <w:rsid w:val="00507E31"/>
    <w:rsid w:val="00510837"/>
    <w:rsid w:val="00510C0B"/>
    <w:rsid w:val="00510CA4"/>
    <w:rsid w:val="00510D2E"/>
    <w:rsid w:val="00510EE6"/>
    <w:rsid w:val="00511073"/>
    <w:rsid w:val="005110C1"/>
    <w:rsid w:val="00511267"/>
    <w:rsid w:val="005114CB"/>
    <w:rsid w:val="0051190B"/>
    <w:rsid w:val="00511949"/>
    <w:rsid w:val="0051197C"/>
    <w:rsid w:val="00511A99"/>
    <w:rsid w:val="005121CA"/>
    <w:rsid w:val="00512468"/>
    <w:rsid w:val="0051280A"/>
    <w:rsid w:val="00512AA2"/>
    <w:rsid w:val="00512D08"/>
    <w:rsid w:val="00512D58"/>
    <w:rsid w:val="00512DA9"/>
    <w:rsid w:val="00512DC2"/>
    <w:rsid w:val="00512E67"/>
    <w:rsid w:val="00512F1C"/>
    <w:rsid w:val="0051332E"/>
    <w:rsid w:val="0051358A"/>
    <w:rsid w:val="00513751"/>
    <w:rsid w:val="005139EC"/>
    <w:rsid w:val="00513CB5"/>
    <w:rsid w:val="00513EF9"/>
    <w:rsid w:val="00514086"/>
    <w:rsid w:val="00514599"/>
    <w:rsid w:val="005145BF"/>
    <w:rsid w:val="0051461D"/>
    <w:rsid w:val="00514862"/>
    <w:rsid w:val="005149F5"/>
    <w:rsid w:val="00514AE1"/>
    <w:rsid w:val="00514CA6"/>
    <w:rsid w:val="00514DDE"/>
    <w:rsid w:val="00515207"/>
    <w:rsid w:val="00515613"/>
    <w:rsid w:val="00515814"/>
    <w:rsid w:val="005159CB"/>
    <w:rsid w:val="00515D9A"/>
    <w:rsid w:val="00516022"/>
    <w:rsid w:val="00516207"/>
    <w:rsid w:val="00516375"/>
    <w:rsid w:val="00516382"/>
    <w:rsid w:val="005164F0"/>
    <w:rsid w:val="00516574"/>
    <w:rsid w:val="0051670A"/>
    <w:rsid w:val="00516955"/>
    <w:rsid w:val="00517251"/>
    <w:rsid w:val="00517630"/>
    <w:rsid w:val="005178D6"/>
    <w:rsid w:val="00517DE9"/>
    <w:rsid w:val="00517EED"/>
    <w:rsid w:val="00517FDC"/>
    <w:rsid w:val="0052079F"/>
    <w:rsid w:val="00520ABD"/>
    <w:rsid w:val="00520BFF"/>
    <w:rsid w:val="00520EF7"/>
    <w:rsid w:val="005219C5"/>
    <w:rsid w:val="00521F5C"/>
    <w:rsid w:val="00522342"/>
    <w:rsid w:val="0052242E"/>
    <w:rsid w:val="0052296C"/>
    <w:rsid w:val="00522D20"/>
    <w:rsid w:val="00522DEE"/>
    <w:rsid w:val="00522E15"/>
    <w:rsid w:val="00523351"/>
    <w:rsid w:val="00523379"/>
    <w:rsid w:val="00523473"/>
    <w:rsid w:val="0052353B"/>
    <w:rsid w:val="005237B2"/>
    <w:rsid w:val="00523960"/>
    <w:rsid w:val="00523D1E"/>
    <w:rsid w:val="005249D1"/>
    <w:rsid w:val="00524C27"/>
    <w:rsid w:val="005251A7"/>
    <w:rsid w:val="005251CE"/>
    <w:rsid w:val="00525251"/>
    <w:rsid w:val="0052548C"/>
    <w:rsid w:val="00525510"/>
    <w:rsid w:val="005257D6"/>
    <w:rsid w:val="005257E5"/>
    <w:rsid w:val="005258D7"/>
    <w:rsid w:val="00525D60"/>
    <w:rsid w:val="00525EF9"/>
    <w:rsid w:val="00526213"/>
    <w:rsid w:val="00526B2B"/>
    <w:rsid w:val="00526C98"/>
    <w:rsid w:val="0052703A"/>
    <w:rsid w:val="0052711A"/>
    <w:rsid w:val="00527245"/>
    <w:rsid w:val="0052797A"/>
    <w:rsid w:val="00527F9B"/>
    <w:rsid w:val="0053035D"/>
    <w:rsid w:val="00530475"/>
    <w:rsid w:val="00531034"/>
    <w:rsid w:val="00531102"/>
    <w:rsid w:val="005311D2"/>
    <w:rsid w:val="005314F5"/>
    <w:rsid w:val="005317E1"/>
    <w:rsid w:val="00531E35"/>
    <w:rsid w:val="0053220E"/>
    <w:rsid w:val="00532344"/>
    <w:rsid w:val="0053242F"/>
    <w:rsid w:val="00532818"/>
    <w:rsid w:val="005329ED"/>
    <w:rsid w:val="00532C34"/>
    <w:rsid w:val="00532E66"/>
    <w:rsid w:val="0053335F"/>
    <w:rsid w:val="00533947"/>
    <w:rsid w:val="00533B75"/>
    <w:rsid w:val="00533BBF"/>
    <w:rsid w:val="00533CD2"/>
    <w:rsid w:val="00534498"/>
    <w:rsid w:val="0053455B"/>
    <w:rsid w:val="005347EF"/>
    <w:rsid w:val="00534D38"/>
    <w:rsid w:val="00534DAD"/>
    <w:rsid w:val="00535453"/>
    <w:rsid w:val="00535554"/>
    <w:rsid w:val="00535E5C"/>
    <w:rsid w:val="00535EAF"/>
    <w:rsid w:val="00535FA9"/>
    <w:rsid w:val="00536209"/>
    <w:rsid w:val="005363B6"/>
    <w:rsid w:val="00536911"/>
    <w:rsid w:val="00536BD3"/>
    <w:rsid w:val="005371E5"/>
    <w:rsid w:val="00537298"/>
    <w:rsid w:val="0053762D"/>
    <w:rsid w:val="00537887"/>
    <w:rsid w:val="0053793C"/>
    <w:rsid w:val="00537A68"/>
    <w:rsid w:val="005402D1"/>
    <w:rsid w:val="005404F5"/>
    <w:rsid w:val="00540671"/>
    <w:rsid w:val="00540B59"/>
    <w:rsid w:val="00540DE3"/>
    <w:rsid w:val="00540E66"/>
    <w:rsid w:val="005411E8"/>
    <w:rsid w:val="00541233"/>
    <w:rsid w:val="00541525"/>
    <w:rsid w:val="005418C9"/>
    <w:rsid w:val="0054229A"/>
    <w:rsid w:val="00542713"/>
    <w:rsid w:val="00542E5F"/>
    <w:rsid w:val="0054328E"/>
    <w:rsid w:val="00543E4D"/>
    <w:rsid w:val="00544113"/>
    <w:rsid w:val="005442A5"/>
    <w:rsid w:val="0054432C"/>
    <w:rsid w:val="0054448B"/>
    <w:rsid w:val="00544666"/>
    <w:rsid w:val="005446A3"/>
    <w:rsid w:val="00544AE1"/>
    <w:rsid w:val="00544DA4"/>
    <w:rsid w:val="00544F45"/>
    <w:rsid w:val="00544FE0"/>
    <w:rsid w:val="00545457"/>
    <w:rsid w:val="00545493"/>
    <w:rsid w:val="00545498"/>
    <w:rsid w:val="005456FA"/>
    <w:rsid w:val="0054592B"/>
    <w:rsid w:val="00545A97"/>
    <w:rsid w:val="00545E33"/>
    <w:rsid w:val="00545E5F"/>
    <w:rsid w:val="005461DF"/>
    <w:rsid w:val="005467FE"/>
    <w:rsid w:val="00546AB2"/>
    <w:rsid w:val="00546D16"/>
    <w:rsid w:val="00546ED2"/>
    <w:rsid w:val="00546ED5"/>
    <w:rsid w:val="00547091"/>
    <w:rsid w:val="00547190"/>
    <w:rsid w:val="00547A74"/>
    <w:rsid w:val="00547DCC"/>
    <w:rsid w:val="00547E1B"/>
    <w:rsid w:val="00550719"/>
    <w:rsid w:val="005508E8"/>
    <w:rsid w:val="00550BC2"/>
    <w:rsid w:val="00550E68"/>
    <w:rsid w:val="00550F4F"/>
    <w:rsid w:val="00550FB8"/>
    <w:rsid w:val="005512E0"/>
    <w:rsid w:val="005515E8"/>
    <w:rsid w:val="00551688"/>
    <w:rsid w:val="005516AF"/>
    <w:rsid w:val="00551741"/>
    <w:rsid w:val="00551EDD"/>
    <w:rsid w:val="00552025"/>
    <w:rsid w:val="0055235C"/>
    <w:rsid w:val="00552488"/>
    <w:rsid w:val="00552DD6"/>
    <w:rsid w:val="0055301D"/>
    <w:rsid w:val="005530E4"/>
    <w:rsid w:val="005530FF"/>
    <w:rsid w:val="00553863"/>
    <w:rsid w:val="005539F5"/>
    <w:rsid w:val="00553FE9"/>
    <w:rsid w:val="0055418D"/>
    <w:rsid w:val="0055424B"/>
    <w:rsid w:val="00554AFE"/>
    <w:rsid w:val="00554B6D"/>
    <w:rsid w:val="005550B9"/>
    <w:rsid w:val="00555499"/>
    <w:rsid w:val="00555608"/>
    <w:rsid w:val="00555782"/>
    <w:rsid w:val="005559C9"/>
    <w:rsid w:val="00555D83"/>
    <w:rsid w:val="00555DE0"/>
    <w:rsid w:val="00556325"/>
    <w:rsid w:val="005569AE"/>
    <w:rsid w:val="00556A78"/>
    <w:rsid w:val="00557836"/>
    <w:rsid w:val="005578BD"/>
    <w:rsid w:val="00557A49"/>
    <w:rsid w:val="00557AEB"/>
    <w:rsid w:val="00557B8E"/>
    <w:rsid w:val="00557DE3"/>
    <w:rsid w:val="00560103"/>
    <w:rsid w:val="00560609"/>
    <w:rsid w:val="0056079B"/>
    <w:rsid w:val="00560CCF"/>
    <w:rsid w:val="00560FC7"/>
    <w:rsid w:val="00560FF6"/>
    <w:rsid w:val="00561053"/>
    <w:rsid w:val="0056168D"/>
    <w:rsid w:val="0056192C"/>
    <w:rsid w:val="005619CB"/>
    <w:rsid w:val="00561AB3"/>
    <w:rsid w:val="00561D8A"/>
    <w:rsid w:val="005620CD"/>
    <w:rsid w:val="005623C2"/>
    <w:rsid w:val="005627BC"/>
    <w:rsid w:val="00562878"/>
    <w:rsid w:val="00562ABA"/>
    <w:rsid w:val="00562FE9"/>
    <w:rsid w:val="0056369A"/>
    <w:rsid w:val="00563C80"/>
    <w:rsid w:val="00563F0E"/>
    <w:rsid w:val="005643DB"/>
    <w:rsid w:val="0056477A"/>
    <w:rsid w:val="00564AD0"/>
    <w:rsid w:val="00564C3A"/>
    <w:rsid w:val="00564C4B"/>
    <w:rsid w:val="00564E24"/>
    <w:rsid w:val="00564E30"/>
    <w:rsid w:val="00565270"/>
    <w:rsid w:val="00565297"/>
    <w:rsid w:val="00565584"/>
    <w:rsid w:val="00565C84"/>
    <w:rsid w:val="00565E77"/>
    <w:rsid w:val="005660AC"/>
    <w:rsid w:val="00566553"/>
    <w:rsid w:val="005665FF"/>
    <w:rsid w:val="00566F86"/>
    <w:rsid w:val="00567191"/>
    <w:rsid w:val="00567487"/>
    <w:rsid w:val="005674D7"/>
    <w:rsid w:val="005679F3"/>
    <w:rsid w:val="0057004C"/>
    <w:rsid w:val="00570318"/>
    <w:rsid w:val="005703BC"/>
    <w:rsid w:val="00570508"/>
    <w:rsid w:val="00570512"/>
    <w:rsid w:val="005705C7"/>
    <w:rsid w:val="00570A09"/>
    <w:rsid w:val="00570EED"/>
    <w:rsid w:val="005712E2"/>
    <w:rsid w:val="00571650"/>
    <w:rsid w:val="005718AF"/>
    <w:rsid w:val="00571A33"/>
    <w:rsid w:val="00571A4A"/>
    <w:rsid w:val="00571EC6"/>
    <w:rsid w:val="00571EE9"/>
    <w:rsid w:val="00572395"/>
    <w:rsid w:val="00572450"/>
    <w:rsid w:val="005728D1"/>
    <w:rsid w:val="00572C4D"/>
    <w:rsid w:val="00572EDD"/>
    <w:rsid w:val="00572F64"/>
    <w:rsid w:val="00573506"/>
    <w:rsid w:val="00573641"/>
    <w:rsid w:val="0057382A"/>
    <w:rsid w:val="00573A71"/>
    <w:rsid w:val="0057419A"/>
    <w:rsid w:val="00574D5A"/>
    <w:rsid w:val="005752A9"/>
    <w:rsid w:val="005754E4"/>
    <w:rsid w:val="005755E0"/>
    <w:rsid w:val="00575E79"/>
    <w:rsid w:val="00575E7D"/>
    <w:rsid w:val="005760A4"/>
    <w:rsid w:val="0057618A"/>
    <w:rsid w:val="005764B7"/>
    <w:rsid w:val="005766B1"/>
    <w:rsid w:val="0057688E"/>
    <w:rsid w:val="00576C3C"/>
    <w:rsid w:val="00576D97"/>
    <w:rsid w:val="00576E5C"/>
    <w:rsid w:val="00577116"/>
    <w:rsid w:val="00577171"/>
    <w:rsid w:val="005777A3"/>
    <w:rsid w:val="00580721"/>
    <w:rsid w:val="00580B9E"/>
    <w:rsid w:val="00580C3B"/>
    <w:rsid w:val="00580CA7"/>
    <w:rsid w:val="00580CC6"/>
    <w:rsid w:val="00580F2F"/>
    <w:rsid w:val="00581D76"/>
    <w:rsid w:val="00581E1E"/>
    <w:rsid w:val="00581E8F"/>
    <w:rsid w:val="00581FB2"/>
    <w:rsid w:val="005820E6"/>
    <w:rsid w:val="005822B9"/>
    <w:rsid w:val="005823B1"/>
    <w:rsid w:val="005824C6"/>
    <w:rsid w:val="005824D2"/>
    <w:rsid w:val="00582C52"/>
    <w:rsid w:val="00583A20"/>
    <w:rsid w:val="00583C17"/>
    <w:rsid w:val="00583F96"/>
    <w:rsid w:val="00584300"/>
    <w:rsid w:val="00584BD2"/>
    <w:rsid w:val="00584DE1"/>
    <w:rsid w:val="00584E45"/>
    <w:rsid w:val="00585085"/>
    <w:rsid w:val="00585545"/>
    <w:rsid w:val="00585634"/>
    <w:rsid w:val="00585665"/>
    <w:rsid w:val="00585D46"/>
    <w:rsid w:val="00585E1D"/>
    <w:rsid w:val="00585FD0"/>
    <w:rsid w:val="005860B4"/>
    <w:rsid w:val="005863FF"/>
    <w:rsid w:val="00586444"/>
    <w:rsid w:val="00586585"/>
    <w:rsid w:val="00586E1E"/>
    <w:rsid w:val="00586E3D"/>
    <w:rsid w:val="005871E4"/>
    <w:rsid w:val="00587360"/>
    <w:rsid w:val="0058791C"/>
    <w:rsid w:val="00587D0F"/>
    <w:rsid w:val="00587E12"/>
    <w:rsid w:val="00590071"/>
    <w:rsid w:val="00590142"/>
    <w:rsid w:val="00590739"/>
    <w:rsid w:val="00590927"/>
    <w:rsid w:val="00590AED"/>
    <w:rsid w:val="00590CBA"/>
    <w:rsid w:val="005915C9"/>
    <w:rsid w:val="005915E6"/>
    <w:rsid w:val="0059189A"/>
    <w:rsid w:val="00591A9E"/>
    <w:rsid w:val="00591C72"/>
    <w:rsid w:val="00591FE8"/>
    <w:rsid w:val="0059292A"/>
    <w:rsid w:val="00592A68"/>
    <w:rsid w:val="00592C2B"/>
    <w:rsid w:val="00592E5D"/>
    <w:rsid w:val="00592FCA"/>
    <w:rsid w:val="005933AE"/>
    <w:rsid w:val="00593609"/>
    <w:rsid w:val="0059388B"/>
    <w:rsid w:val="005939D5"/>
    <w:rsid w:val="00593B76"/>
    <w:rsid w:val="00593D75"/>
    <w:rsid w:val="00593DF3"/>
    <w:rsid w:val="0059423F"/>
    <w:rsid w:val="005945FE"/>
    <w:rsid w:val="005947F6"/>
    <w:rsid w:val="005948B3"/>
    <w:rsid w:val="00594B61"/>
    <w:rsid w:val="0059533C"/>
    <w:rsid w:val="0059535C"/>
    <w:rsid w:val="005959A7"/>
    <w:rsid w:val="00595F56"/>
    <w:rsid w:val="00596327"/>
    <w:rsid w:val="005964E6"/>
    <w:rsid w:val="00596522"/>
    <w:rsid w:val="00596537"/>
    <w:rsid w:val="005966CD"/>
    <w:rsid w:val="00596AA2"/>
    <w:rsid w:val="00596C33"/>
    <w:rsid w:val="00596F51"/>
    <w:rsid w:val="00596FA4"/>
    <w:rsid w:val="005975A5"/>
    <w:rsid w:val="005975B7"/>
    <w:rsid w:val="005976E4"/>
    <w:rsid w:val="0059780C"/>
    <w:rsid w:val="00597BFB"/>
    <w:rsid w:val="00597E17"/>
    <w:rsid w:val="005A0020"/>
    <w:rsid w:val="005A0E40"/>
    <w:rsid w:val="005A0E89"/>
    <w:rsid w:val="005A102B"/>
    <w:rsid w:val="005A1270"/>
    <w:rsid w:val="005A16C9"/>
    <w:rsid w:val="005A1882"/>
    <w:rsid w:val="005A1D36"/>
    <w:rsid w:val="005A2731"/>
    <w:rsid w:val="005A274E"/>
    <w:rsid w:val="005A28B5"/>
    <w:rsid w:val="005A2C7B"/>
    <w:rsid w:val="005A2CD4"/>
    <w:rsid w:val="005A3B96"/>
    <w:rsid w:val="005A3D7A"/>
    <w:rsid w:val="005A3E54"/>
    <w:rsid w:val="005A4116"/>
    <w:rsid w:val="005A4331"/>
    <w:rsid w:val="005A4EE2"/>
    <w:rsid w:val="005A516A"/>
    <w:rsid w:val="005A5353"/>
    <w:rsid w:val="005A539B"/>
    <w:rsid w:val="005A582F"/>
    <w:rsid w:val="005A58B9"/>
    <w:rsid w:val="005A5991"/>
    <w:rsid w:val="005A5B17"/>
    <w:rsid w:val="005A5D39"/>
    <w:rsid w:val="005A5F22"/>
    <w:rsid w:val="005A6B29"/>
    <w:rsid w:val="005A6CAC"/>
    <w:rsid w:val="005A7104"/>
    <w:rsid w:val="005A785D"/>
    <w:rsid w:val="005A7A03"/>
    <w:rsid w:val="005A7AAE"/>
    <w:rsid w:val="005A7CAD"/>
    <w:rsid w:val="005A7E25"/>
    <w:rsid w:val="005B04D6"/>
    <w:rsid w:val="005B06AE"/>
    <w:rsid w:val="005B0E94"/>
    <w:rsid w:val="005B1249"/>
    <w:rsid w:val="005B13CF"/>
    <w:rsid w:val="005B152F"/>
    <w:rsid w:val="005B19E6"/>
    <w:rsid w:val="005B1D14"/>
    <w:rsid w:val="005B1F3E"/>
    <w:rsid w:val="005B1FEA"/>
    <w:rsid w:val="005B2669"/>
    <w:rsid w:val="005B2936"/>
    <w:rsid w:val="005B2BEF"/>
    <w:rsid w:val="005B2FBC"/>
    <w:rsid w:val="005B32C9"/>
    <w:rsid w:val="005B342D"/>
    <w:rsid w:val="005B3D1E"/>
    <w:rsid w:val="005B3E2A"/>
    <w:rsid w:val="005B3F17"/>
    <w:rsid w:val="005B425F"/>
    <w:rsid w:val="005B4285"/>
    <w:rsid w:val="005B453A"/>
    <w:rsid w:val="005B47DF"/>
    <w:rsid w:val="005B4981"/>
    <w:rsid w:val="005B4CD3"/>
    <w:rsid w:val="005B4D5B"/>
    <w:rsid w:val="005B4ED7"/>
    <w:rsid w:val="005B51DE"/>
    <w:rsid w:val="005B52E5"/>
    <w:rsid w:val="005B530A"/>
    <w:rsid w:val="005B5383"/>
    <w:rsid w:val="005B544A"/>
    <w:rsid w:val="005B5458"/>
    <w:rsid w:val="005B5C22"/>
    <w:rsid w:val="005B5DF3"/>
    <w:rsid w:val="005B5E70"/>
    <w:rsid w:val="005B5F8C"/>
    <w:rsid w:val="005B62AF"/>
    <w:rsid w:val="005B6474"/>
    <w:rsid w:val="005B67A5"/>
    <w:rsid w:val="005B6B55"/>
    <w:rsid w:val="005B6E0A"/>
    <w:rsid w:val="005B6FBE"/>
    <w:rsid w:val="005B7164"/>
    <w:rsid w:val="005B7234"/>
    <w:rsid w:val="005B7465"/>
    <w:rsid w:val="005B7706"/>
    <w:rsid w:val="005B7AED"/>
    <w:rsid w:val="005B7D62"/>
    <w:rsid w:val="005B7F16"/>
    <w:rsid w:val="005C09B3"/>
    <w:rsid w:val="005C0DEA"/>
    <w:rsid w:val="005C1677"/>
    <w:rsid w:val="005C1ABE"/>
    <w:rsid w:val="005C1D7E"/>
    <w:rsid w:val="005C2033"/>
    <w:rsid w:val="005C2323"/>
    <w:rsid w:val="005C23B7"/>
    <w:rsid w:val="005C26FD"/>
    <w:rsid w:val="005C2CA2"/>
    <w:rsid w:val="005C2DAC"/>
    <w:rsid w:val="005C2EB5"/>
    <w:rsid w:val="005C2ECB"/>
    <w:rsid w:val="005C3071"/>
    <w:rsid w:val="005C3942"/>
    <w:rsid w:val="005C3BC3"/>
    <w:rsid w:val="005C3EE4"/>
    <w:rsid w:val="005C411B"/>
    <w:rsid w:val="005C44FA"/>
    <w:rsid w:val="005C4550"/>
    <w:rsid w:val="005C45C8"/>
    <w:rsid w:val="005C4C31"/>
    <w:rsid w:val="005C4D44"/>
    <w:rsid w:val="005C57CD"/>
    <w:rsid w:val="005C5D1D"/>
    <w:rsid w:val="005C5FE1"/>
    <w:rsid w:val="005C6269"/>
    <w:rsid w:val="005C630A"/>
    <w:rsid w:val="005C674A"/>
    <w:rsid w:val="005C6C7C"/>
    <w:rsid w:val="005C6C9B"/>
    <w:rsid w:val="005C702A"/>
    <w:rsid w:val="005C7384"/>
    <w:rsid w:val="005C7701"/>
    <w:rsid w:val="005C7EB4"/>
    <w:rsid w:val="005D048F"/>
    <w:rsid w:val="005D0CD7"/>
    <w:rsid w:val="005D0D0F"/>
    <w:rsid w:val="005D0FE7"/>
    <w:rsid w:val="005D1298"/>
    <w:rsid w:val="005D1485"/>
    <w:rsid w:val="005D1F8B"/>
    <w:rsid w:val="005D27BA"/>
    <w:rsid w:val="005D2864"/>
    <w:rsid w:val="005D29EC"/>
    <w:rsid w:val="005D2A2A"/>
    <w:rsid w:val="005D2E4F"/>
    <w:rsid w:val="005D2F17"/>
    <w:rsid w:val="005D300A"/>
    <w:rsid w:val="005D33C6"/>
    <w:rsid w:val="005D3531"/>
    <w:rsid w:val="005D3610"/>
    <w:rsid w:val="005D3B8A"/>
    <w:rsid w:val="005D3D26"/>
    <w:rsid w:val="005D3DB8"/>
    <w:rsid w:val="005D3E36"/>
    <w:rsid w:val="005D400B"/>
    <w:rsid w:val="005D4069"/>
    <w:rsid w:val="005D4423"/>
    <w:rsid w:val="005D4DE3"/>
    <w:rsid w:val="005D4E57"/>
    <w:rsid w:val="005D4F34"/>
    <w:rsid w:val="005D51F1"/>
    <w:rsid w:val="005D5483"/>
    <w:rsid w:val="005D5C95"/>
    <w:rsid w:val="005D610F"/>
    <w:rsid w:val="005D6383"/>
    <w:rsid w:val="005D6508"/>
    <w:rsid w:val="005D65AE"/>
    <w:rsid w:val="005D675E"/>
    <w:rsid w:val="005D6ADF"/>
    <w:rsid w:val="005D6D33"/>
    <w:rsid w:val="005D727B"/>
    <w:rsid w:val="005D7432"/>
    <w:rsid w:val="005D7B2C"/>
    <w:rsid w:val="005D7BB9"/>
    <w:rsid w:val="005D7D87"/>
    <w:rsid w:val="005D7E0C"/>
    <w:rsid w:val="005E00FB"/>
    <w:rsid w:val="005E080A"/>
    <w:rsid w:val="005E09C0"/>
    <w:rsid w:val="005E0A63"/>
    <w:rsid w:val="005E0B94"/>
    <w:rsid w:val="005E10F1"/>
    <w:rsid w:val="005E128A"/>
    <w:rsid w:val="005E12C2"/>
    <w:rsid w:val="005E12D1"/>
    <w:rsid w:val="005E1409"/>
    <w:rsid w:val="005E1674"/>
    <w:rsid w:val="005E1D60"/>
    <w:rsid w:val="005E2618"/>
    <w:rsid w:val="005E272C"/>
    <w:rsid w:val="005E2D0B"/>
    <w:rsid w:val="005E348F"/>
    <w:rsid w:val="005E359D"/>
    <w:rsid w:val="005E3A19"/>
    <w:rsid w:val="005E3A24"/>
    <w:rsid w:val="005E3B8B"/>
    <w:rsid w:val="005E40F2"/>
    <w:rsid w:val="005E4687"/>
    <w:rsid w:val="005E4A73"/>
    <w:rsid w:val="005E4B95"/>
    <w:rsid w:val="005E4DEF"/>
    <w:rsid w:val="005E4E88"/>
    <w:rsid w:val="005E5274"/>
    <w:rsid w:val="005E532E"/>
    <w:rsid w:val="005E5F03"/>
    <w:rsid w:val="005E6244"/>
    <w:rsid w:val="005E67EB"/>
    <w:rsid w:val="005E6B88"/>
    <w:rsid w:val="005E6CD1"/>
    <w:rsid w:val="005E76D3"/>
    <w:rsid w:val="005F033F"/>
    <w:rsid w:val="005F0664"/>
    <w:rsid w:val="005F0AAC"/>
    <w:rsid w:val="005F0D25"/>
    <w:rsid w:val="005F0F69"/>
    <w:rsid w:val="005F169B"/>
    <w:rsid w:val="005F184E"/>
    <w:rsid w:val="005F18E4"/>
    <w:rsid w:val="005F23C0"/>
    <w:rsid w:val="005F28CC"/>
    <w:rsid w:val="005F3050"/>
    <w:rsid w:val="005F347A"/>
    <w:rsid w:val="005F3509"/>
    <w:rsid w:val="005F3575"/>
    <w:rsid w:val="005F3589"/>
    <w:rsid w:val="005F366C"/>
    <w:rsid w:val="005F3868"/>
    <w:rsid w:val="005F4153"/>
    <w:rsid w:val="005F4497"/>
    <w:rsid w:val="005F462A"/>
    <w:rsid w:val="005F47AF"/>
    <w:rsid w:val="005F4D11"/>
    <w:rsid w:val="005F52AB"/>
    <w:rsid w:val="005F592E"/>
    <w:rsid w:val="005F5AA3"/>
    <w:rsid w:val="005F5BF4"/>
    <w:rsid w:val="005F5D0E"/>
    <w:rsid w:val="005F6854"/>
    <w:rsid w:val="005F6C14"/>
    <w:rsid w:val="005F6DE5"/>
    <w:rsid w:val="005F6E5E"/>
    <w:rsid w:val="005F706D"/>
    <w:rsid w:val="005F7286"/>
    <w:rsid w:val="005F7497"/>
    <w:rsid w:val="005F74BC"/>
    <w:rsid w:val="005F770A"/>
    <w:rsid w:val="005F7730"/>
    <w:rsid w:val="005F7740"/>
    <w:rsid w:val="005F7741"/>
    <w:rsid w:val="005F7C1B"/>
    <w:rsid w:val="0060010D"/>
    <w:rsid w:val="00600638"/>
    <w:rsid w:val="00600E9F"/>
    <w:rsid w:val="00601186"/>
    <w:rsid w:val="006013CE"/>
    <w:rsid w:val="006013D2"/>
    <w:rsid w:val="00601868"/>
    <w:rsid w:val="00601884"/>
    <w:rsid w:val="00601965"/>
    <w:rsid w:val="00601DF2"/>
    <w:rsid w:val="00601E2C"/>
    <w:rsid w:val="00602182"/>
    <w:rsid w:val="006024A2"/>
    <w:rsid w:val="00602B7C"/>
    <w:rsid w:val="00602CF8"/>
    <w:rsid w:val="00603286"/>
    <w:rsid w:val="00603567"/>
    <w:rsid w:val="006036C4"/>
    <w:rsid w:val="00603A42"/>
    <w:rsid w:val="00603ECF"/>
    <w:rsid w:val="00604EED"/>
    <w:rsid w:val="006052DB"/>
    <w:rsid w:val="00605403"/>
    <w:rsid w:val="00605451"/>
    <w:rsid w:val="00605712"/>
    <w:rsid w:val="00605CAD"/>
    <w:rsid w:val="00605CF0"/>
    <w:rsid w:val="00605ED3"/>
    <w:rsid w:val="0060624B"/>
    <w:rsid w:val="00606367"/>
    <w:rsid w:val="0060643B"/>
    <w:rsid w:val="0060684C"/>
    <w:rsid w:val="00606B98"/>
    <w:rsid w:val="00606BB2"/>
    <w:rsid w:val="00606C60"/>
    <w:rsid w:val="00606CF2"/>
    <w:rsid w:val="00606EB8"/>
    <w:rsid w:val="0060709D"/>
    <w:rsid w:val="00607216"/>
    <w:rsid w:val="00607442"/>
    <w:rsid w:val="006076C4"/>
    <w:rsid w:val="006077BA"/>
    <w:rsid w:val="00607853"/>
    <w:rsid w:val="00607E39"/>
    <w:rsid w:val="00607F14"/>
    <w:rsid w:val="00607FA6"/>
    <w:rsid w:val="00607FF8"/>
    <w:rsid w:val="00610260"/>
    <w:rsid w:val="00610277"/>
    <w:rsid w:val="006102F4"/>
    <w:rsid w:val="0061057C"/>
    <w:rsid w:val="006107FB"/>
    <w:rsid w:val="00610B9B"/>
    <w:rsid w:val="006115C1"/>
    <w:rsid w:val="006116B8"/>
    <w:rsid w:val="00611872"/>
    <w:rsid w:val="00611D62"/>
    <w:rsid w:val="006126C8"/>
    <w:rsid w:val="00612712"/>
    <w:rsid w:val="0061272E"/>
    <w:rsid w:val="00612AE7"/>
    <w:rsid w:val="00612B01"/>
    <w:rsid w:val="00612CDA"/>
    <w:rsid w:val="00612D87"/>
    <w:rsid w:val="00613244"/>
    <w:rsid w:val="0061394B"/>
    <w:rsid w:val="00613D02"/>
    <w:rsid w:val="006141C5"/>
    <w:rsid w:val="00614393"/>
    <w:rsid w:val="0061471C"/>
    <w:rsid w:val="00614E7F"/>
    <w:rsid w:val="0061539F"/>
    <w:rsid w:val="00615447"/>
    <w:rsid w:val="00615BA6"/>
    <w:rsid w:val="00615C93"/>
    <w:rsid w:val="00615D7F"/>
    <w:rsid w:val="0061610A"/>
    <w:rsid w:val="006161BF"/>
    <w:rsid w:val="0061621C"/>
    <w:rsid w:val="0061654E"/>
    <w:rsid w:val="006166F8"/>
    <w:rsid w:val="00616993"/>
    <w:rsid w:val="00616AD9"/>
    <w:rsid w:val="00616D50"/>
    <w:rsid w:val="00616E0F"/>
    <w:rsid w:val="00617553"/>
    <w:rsid w:val="006178B3"/>
    <w:rsid w:val="00617AD7"/>
    <w:rsid w:val="006200C1"/>
    <w:rsid w:val="006200D2"/>
    <w:rsid w:val="00620481"/>
    <w:rsid w:val="006204E9"/>
    <w:rsid w:val="006205AB"/>
    <w:rsid w:val="0062061E"/>
    <w:rsid w:val="00620A91"/>
    <w:rsid w:val="00620AC5"/>
    <w:rsid w:val="006218AA"/>
    <w:rsid w:val="00621A2B"/>
    <w:rsid w:val="00621ADC"/>
    <w:rsid w:val="00621F5E"/>
    <w:rsid w:val="006226F0"/>
    <w:rsid w:val="0062272F"/>
    <w:rsid w:val="006227B3"/>
    <w:rsid w:val="006227EA"/>
    <w:rsid w:val="0062283A"/>
    <w:rsid w:val="00622898"/>
    <w:rsid w:val="00622951"/>
    <w:rsid w:val="0062295D"/>
    <w:rsid w:val="00622A28"/>
    <w:rsid w:val="00622DBC"/>
    <w:rsid w:val="00623141"/>
    <w:rsid w:val="006236D1"/>
    <w:rsid w:val="00623C14"/>
    <w:rsid w:val="00624313"/>
    <w:rsid w:val="00624601"/>
    <w:rsid w:val="00624915"/>
    <w:rsid w:val="00624DD1"/>
    <w:rsid w:val="0062557E"/>
    <w:rsid w:val="006255F5"/>
    <w:rsid w:val="006260D2"/>
    <w:rsid w:val="006264FD"/>
    <w:rsid w:val="00626868"/>
    <w:rsid w:val="0062701A"/>
    <w:rsid w:val="0062708D"/>
    <w:rsid w:val="00627145"/>
    <w:rsid w:val="0062724B"/>
    <w:rsid w:val="00627259"/>
    <w:rsid w:val="00627339"/>
    <w:rsid w:val="00627A25"/>
    <w:rsid w:val="00627AAD"/>
    <w:rsid w:val="00627B92"/>
    <w:rsid w:val="0063031F"/>
    <w:rsid w:val="006303BA"/>
    <w:rsid w:val="006309CD"/>
    <w:rsid w:val="00630AD0"/>
    <w:rsid w:val="00631815"/>
    <w:rsid w:val="00631DC8"/>
    <w:rsid w:val="00631F36"/>
    <w:rsid w:val="0063251B"/>
    <w:rsid w:val="00632CBA"/>
    <w:rsid w:val="00633165"/>
    <w:rsid w:val="0063332B"/>
    <w:rsid w:val="0063351C"/>
    <w:rsid w:val="0063371A"/>
    <w:rsid w:val="00633C8B"/>
    <w:rsid w:val="00633EF6"/>
    <w:rsid w:val="00634085"/>
    <w:rsid w:val="0063424F"/>
    <w:rsid w:val="00634515"/>
    <w:rsid w:val="00634518"/>
    <w:rsid w:val="006347C0"/>
    <w:rsid w:val="0063493A"/>
    <w:rsid w:val="00634B4F"/>
    <w:rsid w:val="00634DD0"/>
    <w:rsid w:val="006352D7"/>
    <w:rsid w:val="00635B5D"/>
    <w:rsid w:val="00635BC1"/>
    <w:rsid w:val="00635EB0"/>
    <w:rsid w:val="00636052"/>
    <w:rsid w:val="0063605D"/>
    <w:rsid w:val="006365E1"/>
    <w:rsid w:val="00636A51"/>
    <w:rsid w:val="00636B9F"/>
    <w:rsid w:val="00636D5A"/>
    <w:rsid w:val="00637136"/>
    <w:rsid w:val="0063735D"/>
    <w:rsid w:val="006374AE"/>
    <w:rsid w:val="0064011D"/>
    <w:rsid w:val="00640174"/>
    <w:rsid w:val="006402D9"/>
    <w:rsid w:val="00640950"/>
    <w:rsid w:val="00640A4B"/>
    <w:rsid w:val="00640A57"/>
    <w:rsid w:val="00640B77"/>
    <w:rsid w:val="006411CD"/>
    <w:rsid w:val="00641393"/>
    <w:rsid w:val="006416AF"/>
    <w:rsid w:val="00641B27"/>
    <w:rsid w:val="00641CB8"/>
    <w:rsid w:val="00642198"/>
    <w:rsid w:val="00642658"/>
    <w:rsid w:val="00642766"/>
    <w:rsid w:val="00642A81"/>
    <w:rsid w:val="00642C13"/>
    <w:rsid w:val="00642E55"/>
    <w:rsid w:val="00642FFE"/>
    <w:rsid w:val="0064301B"/>
    <w:rsid w:val="00643200"/>
    <w:rsid w:val="0064338C"/>
    <w:rsid w:val="00643522"/>
    <w:rsid w:val="00643853"/>
    <w:rsid w:val="00643DEF"/>
    <w:rsid w:val="00643F59"/>
    <w:rsid w:val="00644B97"/>
    <w:rsid w:val="00644EBD"/>
    <w:rsid w:val="0064503A"/>
    <w:rsid w:val="006451E6"/>
    <w:rsid w:val="00645587"/>
    <w:rsid w:val="0064559E"/>
    <w:rsid w:val="006457E1"/>
    <w:rsid w:val="00645D31"/>
    <w:rsid w:val="0064652C"/>
    <w:rsid w:val="00646AAE"/>
    <w:rsid w:val="00646B20"/>
    <w:rsid w:val="00646FDE"/>
    <w:rsid w:val="0064701B"/>
    <w:rsid w:val="00647089"/>
    <w:rsid w:val="00647107"/>
    <w:rsid w:val="006472A5"/>
    <w:rsid w:val="00647332"/>
    <w:rsid w:val="00647977"/>
    <w:rsid w:val="006479B6"/>
    <w:rsid w:val="00647A35"/>
    <w:rsid w:val="00647E76"/>
    <w:rsid w:val="006500D5"/>
    <w:rsid w:val="006505F4"/>
    <w:rsid w:val="006507AD"/>
    <w:rsid w:val="00650931"/>
    <w:rsid w:val="00650B2E"/>
    <w:rsid w:val="00650FB9"/>
    <w:rsid w:val="00651238"/>
    <w:rsid w:val="00651E65"/>
    <w:rsid w:val="006521A5"/>
    <w:rsid w:val="0065231F"/>
    <w:rsid w:val="0065233B"/>
    <w:rsid w:val="0065259D"/>
    <w:rsid w:val="00652779"/>
    <w:rsid w:val="00652BBA"/>
    <w:rsid w:val="00652C6A"/>
    <w:rsid w:val="0065316D"/>
    <w:rsid w:val="006531D1"/>
    <w:rsid w:val="00653482"/>
    <w:rsid w:val="00653836"/>
    <w:rsid w:val="0065393F"/>
    <w:rsid w:val="00654321"/>
    <w:rsid w:val="0065438E"/>
    <w:rsid w:val="0065491D"/>
    <w:rsid w:val="00654C81"/>
    <w:rsid w:val="00654CDC"/>
    <w:rsid w:val="0065585B"/>
    <w:rsid w:val="00655D67"/>
    <w:rsid w:val="00655FC2"/>
    <w:rsid w:val="0065619C"/>
    <w:rsid w:val="006567E3"/>
    <w:rsid w:val="00656C11"/>
    <w:rsid w:val="00656C57"/>
    <w:rsid w:val="00657121"/>
    <w:rsid w:val="00657213"/>
    <w:rsid w:val="00657554"/>
    <w:rsid w:val="00657B0B"/>
    <w:rsid w:val="00657C12"/>
    <w:rsid w:val="00657C90"/>
    <w:rsid w:val="0066005A"/>
    <w:rsid w:val="00660065"/>
    <w:rsid w:val="00660090"/>
    <w:rsid w:val="0066009F"/>
    <w:rsid w:val="00660179"/>
    <w:rsid w:val="0066062F"/>
    <w:rsid w:val="006607D9"/>
    <w:rsid w:val="006607FA"/>
    <w:rsid w:val="00660822"/>
    <w:rsid w:val="00660A38"/>
    <w:rsid w:val="0066103C"/>
    <w:rsid w:val="00661281"/>
    <w:rsid w:val="0066166D"/>
    <w:rsid w:val="00661807"/>
    <w:rsid w:val="00661A1C"/>
    <w:rsid w:val="00661EBF"/>
    <w:rsid w:val="006623B8"/>
    <w:rsid w:val="00662827"/>
    <w:rsid w:val="006630E8"/>
    <w:rsid w:val="00663331"/>
    <w:rsid w:val="006633FD"/>
    <w:rsid w:val="0066355E"/>
    <w:rsid w:val="0066365A"/>
    <w:rsid w:val="00663F97"/>
    <w:rsid w:val="0066400E"/>
    <w:rsid w:val="006643A8"/>
    <w:rsid w:val="00664722"/>
    <w:rsid w:val="00664C03"/>
    <w:rsid w:val="00665270"/>
    <w:rsid w:val="0066532B"/>
    <w:rsid w:val="006655AC"/>
    <w:rsid w:val="0066566D"/>
    <w:rsid w:val="00665722"/>
    <w:rsid w:val="00665CFD"/>
    <w:rsid w:val="00666203"/>
    <w:rsid w:val="00666294"/>
    <w:rsid w:val="0066662C"/>
    <w:rsid w:val="00666744"/>
    <w:rsid w:val="0066699C"/>
    <w:rsid w:val="0066750B"/>
    <w:rsid w:val="0066753F"/>
    <w:rsid w:val="00667827"/>
    <w:rsid w:val="00667E03"/>
    <w:rsid w:val="00667F60"/>
    <w:rsid w:val="00670239"/>
    <w:rsid w:val="00670333"/>
    <w:rsid w:val="00670A02"/>
    <w:rsid w:val="00670F43"/>
    <w:rsid w:val="00670F86"/>
    <w:rsid w:val="0067179D"/>
    <w:rsid w:val="00671D5F"/>
    <w:rsid w:val="00671FB2"/>
    <w:rsid w:val="00672270"/>
    <w:rsid w:val="006725F2"/>
    <w:rsid w:val="00672EF6"/>
    <w:rsid w:val="00672F67"/>
    <w:rsid w:val="00673070"/>
    <w:rsid w:val="006730CC"/>
    <w:rsid w:val="0067377C"/>
    <w:rsid w:val="006741DC"/>
    <w:rsid w:val="00674669"/>
    <w:rsid w:val="006746F9"/>
    <w:rsid w:val="006747F1"/>
    <w:rsid w:val="00674F6D"/>
    <w:rsid w:val="006753D8"/>
    <w:rsid w:val="006754A2"/>
    <w:rsid w:val="006754FE"/>
    <w:rsid w:val="0067552F"/>
    <w:rsid w:val="00675B68"/>
    <w:rsid w:val="00675B9B"/>
    <w:rsid w:val="00675D6F"/>
    <w:rsid w:val="0067644E"/>
    <w:rsid w:val="00676561"/>
    <w:rsid w:val="006768A9"/>
    <w:rsid w:val="006768B2"/>
    <w:rsid w:val="0067693E"/>
    <w:rsid w:val="00676A1C"/>
    <w:rsid w:val="00676B6D"/>
    <w:rsid w:val="00676EC3"/>
    <w:rsid w:val="00676FE8"/>
    <w:rsid w:val="00677008"/>
    <w:rsid w:val="00677208"/>
    <w:rsid w:val="00677411"/>
    <w:rsid w:val="0067763C"/>
    <w:rsid w:val="006779F3"/>
    <w:rsid w:val="00677B23"/>
    <w:rsid w:val="00677BFB"/>
    <w:rsid w:val="00677CEC"/>
    <w:rsid w:val="00680287"/>
    <w:rsid w:val="006809D2"/>
    <w:rsid w:val="00680AB0"/>
    <w:rsid w:val="00680AE1"/>
    <w:rsid w:val="006810F4"/>
    <w:rsid w:val="0068117B"/>
    <w:rsid w:val="006811AB"/>
    <w:rsid w:val="006812A2"/>
    <w:rsid w:val="00681386"/>
    <w:rsid w:val="006819E5"/>
    <w:rsid w:val="00681D92"/>
    <w:rsid w:val="00681DF7"/>
    <w:rsid w:val="00681F27"/>
    <w:rsid w:val="006821F6"/>
    <w:rsid w:val="006823D0"/>
    <w:rsid w:val="006829FF"/>
    <w:rsid w:val="00682A6C"/>
    <w:rsid w:val="00682BC0"/>
    <w:rsid w:val="00682BF6"/>
    <w:rsid w:val="00682D65"/>
    <w:rsid w:val="00683446"/>
    <w:rsid w:val="00683BE3"/>
    <w:rsid w:val="00683DC3"/>
    <w:rsid w:val="006840D2"/>
    <w:rsid w:val="006844FD"/>
    <w:rsid w:val="006848E8"/>
    <w:rsid w:val="0068490F"/>
    <w:rsid w:val="00684A55"/>
    <w:rsid w:val="00684D97"/>
    <w:rsid w:val="006851F4"/>
    <w:rsid w:val="00685260"/>
    <w:rsid w:val="006852A5"/>
    <w:rsid w:val="00685655"/>
    <w:rsid w:val="00685E42"/>
    <w:rsid w:val="00686142"/>
    <w:rsid w:val="006863A6"/>
    <w:rsid w:val="006867BC"/>
    <w:rsid w:val="006869BA"/>
    <w:rsid w:val="00686C25"/>
    <w:rsid w:val="00686CB2"/>
    <w:rsid w:val="00686CB3"/>
    <w:rsid w:val="0068727F"/>
    <w:rsid w:val="00687547"/>
    <w:rsid w:val="006876FD"/>
    <w:rsid w:val="006879EE"/>
    <w:rsid w:val="00690402"/>
    <w:rsid w:val="00690F30"/>
    <w:rsid w:val="00691F80"/>
    <w:rsid w:val="00692B63"/>
    <w:rsid w:val="00692BA9"/>
    <w:rsid w:val="00692BAE"/>
    <w:rsid w:val="00692BB5"/>
    <w:rsid w:val="00692C95"/>
    <w:rsid w:val="00692CEA"/>
    <w:rsid w:val="00693053"/>
    <w:rsid w:val="0069321B"/>
    <w:rsid w:val="00693419"/>
    <w:rsid w:val="006937B6"/>
    <w:rsid w:val="00693AE2"/>
    <w:rsid w:val="00693D73"/>
    <w:rsid w:val="00693F99"/>
    <w:rsid w:val="0069411A"/>
    <w:rsid w:val="0069417B"/>
    <w:rsid w:val="00694288"/>
    <w:rsid w:val="006949D1"/>
    <w:rsid w:val="00695332"/>
    <w:rsid w:val="006957EC"/>
    <w:rsid w:val="00695CF6"/>
    <w:rsid w:val="00695D65"/>
    <w:rsid w:val="00695F4B"/>
    <w:rsid w:val="006967CE"/>
    <w:rsid w:val="00696AEC"/>
    <w:rsid w:val="00696C16"/>
    <w:rsid w:val="00696E8B"/>
    <w:rsid w:val="00696E90"/>
    <w:rsid w:val="00697088"/>
    <w:rsid w:val="00697286"/>
    <w:rsid w:val="00697433"/>
    <w:rsid w:val="006976C5"/>
    <w:rsid w:val="006A0050"/>
    <w:rsid w:val="006A03E8"/>
    <w:rsid w:val="006A04D2"/>
    <w:rsid w:val="006A06AF"/>
    <w:rsid w:val="006A114C"/>
    <w:rsid w:val="006A1192"/>
    <w:rsid w:val="006A12CD"/>
    <w:rsid w:val="006A1574"/>
    <w:rsid w:val="006A1782"/>
    <w:rsid w:val="006A17F8"/>
    <w:rsid w:val="006A19D1"/>
    <w:rsid w:val="006A19FF"/>
    <w:rsid w:val="006A20CB"/>
    <w:rsid w:val="006A22D7"/>
    <w:rsid w:val="006A2FFA"/>
    <w:rsid w:val="006A3408"/>
    <w:rsid w:val="006A403F"/>
    <w:rsid w:val="006A404C"/>
    <w:rsid w:val="006A43D0"/>
    <w:rsid w:val="006A4E26"/>
    <w:rsid w:val="006A5470"/>
    <w:rsid w:val="006A5497"/>
    <w:rsid w:val="006A55ED"/>
    <w:rsid w:val="006A5622"/>
    <w:rsid w:val="006A5734"/>
    <w:rsid w:val="006A5B6B"/>
    <w:rsid w:val="006A5CB6"/>
    <w:rsid w:val="006A6575"/>
    <w:rsid w:val="006A6CE7"/>
    <w:rsid w:val="006A70DD"/>
    <w:rsid w:val="006A7269"/>
    <w:rsid w:val="006A7309"/>
    <w:rsid w:val="006A744E"/>
    <w:rsid w:val="006A748A"/>
    <w:rsid w:val="006A763A"/>
    <w:rsid w:val="006A78CA"/>
    <w:rsid w:val="006A7BC4"/>
    <w:rsid w:val="006A7E15"/>
    <w:rsid w:val="006A7E53"/>
    <w:rsid w:val="006A7F50"/>
    <w:rsid w:val="006B0300"/>
    <w:rsid w:val="006B0575"/>
    <w:rsid w:val="006B0D60"/>
    <w:rsid w:val="006B0EAA"/>
    <w:rsid w:val="006B1102"/>
    <w:rsid w:val="006B1806"/>
    <w:rsid w:val="006B1973"/>
    <w:rsid w:val="006B1D9F"/>
    <w:rsid w:val="006B1DE0"/>
    <w:rsid w:val="006B1EC3"/>
    <w:rsid w:val="006B2203"/>
    <w:rsid w:val="006B2366"/>
    <w:rsid w:val="006B2884"/>
    <w:rsid w:val="006B2E2E"/>
    <w:rsid w:val="006B319A"/>
    <w:rsid w:val="006B3579"/>
    <w:rsid w:val="006B378E"/>
    <w:rsid w:val="006B37CD"/>
    <w:rsid w:val="006B3B45"/>
    <w:rsid w:val="006B3B7B"/>
    <w:rsid w:val="006B417A"/>
    <w:rsid w:val="006B42EC"/>
    <w:rsid w:val="006B4543"/>
    <w:rsid w:val="006B4F23"/>
    <w:rsid w:val="006B4F79"/>
    <w:rsid w:val="006B5044"/>
    <w:rsid w:val="006B5113"/>
    <w:rsid w:val="006B5929"/>
    <w:rsid w:val="006B5DD0"/>
    <w:rsid w:val="006B76B6"/>
    <w:rsid w:val="006B7D29"/>
    <w:rsid w:val="006C00C0"/>
    <w:rsid w:val="006C0C50"/>
    <w:rsid w:val="006C0F02"/>
    <w:rsid w:val="006C0FA6"/>
    <w:rsid w:val="006C11F9"/>
    <w:rsid w:val="006C16B2"/>
    <w:rsid w:val="006C1A32"/>
    <w:rsid w:val="006C1BEA"/>
    <w:rsid w:val="006C1D4D"/>
    <w:rsid w:val="006C1D83"/>
    <w:rsid w:val="006C2B50"/>
    <w:rsid w:val="006C2BF1"/>
    <w:rsid w:val="006C3821"/>
    <w:rsid w:val="006C3891"/>
    <w:rsid w:val="006C3AC2"/>
    <w:rsid w:val="006C3C14"/>
    <w:rsid w:val="006C3EA2"/>
    <w:rsid w:val="006C424C"/>
    <w:rsid w:val="006C437E"/>
    <w:rsid w:val="006C461E"/>
    <w:rsid w:val="006C5517"/>
    <w:rsid w:val="006C5AE3"/>
    <w:rsid w:val="006C5BB6"/>
    <w:rsid w:val="006C5DB9"/>
    <w:rsid w:val="006C5F39"/>
    <w:rsid w:val="006C6120"/>
    <w:rsid w:val="006C6693"/>
    <w:rsid w:val="006C6A6F"/>
    <w:rsid w:val="006C6AC3"/>
    <w:rsid w:val="006C6BD4"/>
    <w:rsid w:val="006C6F4C"/>
    <w:rsid w:val="006C7387"/>
    <w:rsid w:val="006C7480"/>
    <w:rsid w:val="006C7B7F"/>
    <w:rsid w:val="006C7FA5"/>
    <w:rsid w:val="006D0079"/>
    <w:rsid w:val="006D01C3"/>
    <w:rsid w:val="006D0204"/>
    <w:rsid w:val="006D0493"/>
    <w:rsid w:val="006D07FD"/>
    <w:rsid w:val="006D10A6"/>
    <w:rsid w:val="006D131C"/>
    <w:rsid w:val="006D13BE"/>
    <w:rsid w:val="006D15BF"/>
    <w:rsid w:val="006D19C1"/>
    <w:rsid w:val="006D2081"/>
    <w:rsid w:val="006D2430"/>
    <w:rsid w:val="006D24C1"/>
    <w:rsid w:val="006D2763"/>
    <w:rsid w:val="006D2913"/>
    <w:rsid w:val="006D2BE7"/>
    <w:rsid w:val="006D2CE8"/>
    <w:rsid w:val="006D2DF3"/>
    <w:rsid w:val="006D2FC8"/>
    <w:rsid w:val="006D3041"/>
    <w:rsid w:val="006D3412"/>
    <w:rsid w:val="006D35FC"/>
    <w:rsid w:val="006D36E3"/>
    <w:rsid w:val="006D3ADA"/>
    <w:rsid w:val="006D43F6"/>
    <w:rsid w:val="006D43F7"/>
    <w:rsid w:val="006D475E"/>
    <w:rsid w:val="006D4902"/>
    <w:rsid w:val="006D4CA4"/>
    <w:rsid w:val="006D4DF1"/>
    <w:rsid w:val="006D5279"/>
    <w:rsid w:val="006D56A5"/>
    <w:rsid w:val="006D5B23"/>
    <w:rsid w:val="006D670F"/>
    <w:rsid w:val="006D6AA5"/>
    <w:rsid w:val="006D74EA"/>
    <w:rsid w:val="006D762B"/>
    <w:rsid w:val="006D7832"/>
    <w:rsid w:val="006D7A1F"/>
    <w:rsid w:val="006D7FFA"/>
    <w:rsid w:val="006E05C5"/>
    <w:rsid w:val="006E0A61"/>
    <w:rsid w:val="006E0B97"/>
    <w:rsid w:val="006E0BF6"/>
    <w:rsid w:val="006E0D03"/>
    <w:rsid w:val="006E0E37"/>
    <w:rsid w:val="006E0EBF"/>
    <w:rsid w:val="006E1605"/>
    <w:rsid w:val="006E16E1"/>
    <w:rsid w:val="006E16EE"/>
    <w:rsid w:val="006E193E"/>
    <w:rsid w:val="006E19AB"/>
    <w:rsid w:val="006E1A40"/>
    <w:rsid w:val="006E1AAE"/>
    <w:rsid w:val="006E1AE2"/>
    <w:rsid w:val="006E1B23"/>
    <w:rsid w:val="006E1B54"/>
    <w:rsid w:val="006E1BAE"/>
    <w:rsid w:val="006E1CAB"/>
    <w:rsid w:val="006E1E5E"/>
    <w:rsid w:val="006E2788"/>
    <w:rsid w:val="006E28E4"/>
    <w:rsid w:val="006E2C7E"/>
    <w:rsid w:val="006E2F6F"/>
    <w:rsid w:val="006E3120"/>
    <w:rsid w:val="006E34A0"/>
    <w:rsid w:val="006E3578"/>
    <w:rsid w:val="006E39FE"/>
    <w:rsid w:val="006E3E73"/>
    <w:rsid w:val="006E3EAB"/>
    <w:rsid w:val="006E3F6A"/>
    <w:rsid w:val="006E46BA"/>
    <w:rsid w:val="006E5094"/>
    <w:rsid w:val="006E563D"/>
    <w:rsid w:val="006E5D46"/>
    <w:rsid w:val="006E687C"/>
    <w:rsid w:val="006E6AD5"/>
    <w:rsid w:val="006E6B43"/>
    <w:rsid w:val="006E6DB4"/>
    <w:rsid w:val="006E72D9"/>
    <w:rsid w:val="006E73F1"/>
    <w:rsid w:val="006E75C3"/>
    <w:rsid w:val="006E795F"/>
    <w:rsid w:val="006E7F33"/>
    <w:rsid w:val="006E7F98"/>
    <w:rsid w:val="006F014D"/>
    <w:rsid w:val="006F017E"/>
    <w:rsid w:val="006F07F1"/>
    <w:rsid w:val="006F099B"/>
    <w:rsid w:val="006F09E3"/>
    <w:rsid w:val="006F0BDA"/>
    <w:rsid w:val="006F0E51"/>
    <w:rsid w:val="006F0EE7"/>
    <w:rsid w:val="006F1555"/>
    <w:rsid w:val="006F1898"/>
    <w:rsid w:val="006F1992"/>
    <w:rsid w:val="006F1CDF"/>
    <w:rsid w:val="006F1EAA"/>
    <w:rsid w:val="006F1F3D"/>
    <w:rsid w:val="006F204E"/>
    <w:rsid w:val="006F26C5"/>
    <w:rsid w:val="006F27A5"/>
    <w:rsid w:val="006F2A38"/>
    <w:rsid w:val="006F306A"/>
    <w:rsid w:val="006F30F0"/>
    <w:rsid w:val="006F330F"/>
    <w:rsid w:val="006F34A7"/>
    <w:rsid w:val="006F38C5"/>
    <w:rsid w:val="006F3D25"/>
    <w:rsid w:val="006F44E7"/>
    <w:rsid w:val="006F4B6C"/>
    <w:rsid w:val="006F5C7B"/>
    <w:rsid w:val="006F5E48"/>
    <w:rsid w:val="006F6010"/>
    <w:rsid w:val="006F6149"/>
    <w:rsid w:val="006F6238"/>
    <w:rsid w:val="006F716C"/>
    <w:rsid w:val="006F72A1"/>
    <w:rsid w:val="006F72B2"/>
    <w:rsid w:val="006F75BA"/>
    <w:rsid w:val="00700079"/>
    <w:rsid w:val="00700162"/>
    <w:rsid w:val="0070066A"/>
    <w:rsid w:val="00700A96"/>
    <w:rsid w:val="00700C62"/>
    <w:rsid w:val="00700C90"/>
    <w:rsid w:val="00700CC0"/>
    <w:rsid w:val="00700D21"/>
    <w:rsid w:val="00700ECC"/>
    <w:rsid w:val="007010C4"/>
    <w:rsid w:val="0070172A"/>
    <w:rsid w:val="00701830"/>
    <w:rsid w:val="00701843"/>
    <w:rsid w:val="00701992"/>
    <w:rsid w:val="007019BD"/>
    <w:rsid w:val="0070271B"/>
    <w:rsid w:val="00702CA1"/>
    <w:rsid w:val="00703342"/>
    <w:rsid w:val="0070339B"/>
    <w:rsid w:val="00703637"/>
    <w:rsid w:val="00703758"/>
    <w:rsid w:val="00703848"/>
    <w:rsid w:val="00704221"/>
    <w:rsid w:val="00704272"/>
    <w:rsid w:val="00704625"/>
    <w:rsid w:val="00704934"/>
    <w:rsid w:val="00704D29"/>
    <w:rsid w:val="00704EC8"/>
    <w:rsid w:val="007051CD"/>
    <w:rsid w:val="00705C56"/>
    <w:rsid w:val="0070611A"/>
    <w:rsid w:val="00706406"/>
    <w:rsid w:val="00706564"/>
    <w:rsid w:val="0070663D"/>
    <w:rsid w:val="00706D80"/>
    <w:rsid w:val="00706EFC"/>
    <w:rsid w:val="00707500"/>
    <w:rsid w:val="00707609"/>
    <w:rsid w:val="00707D90"/>
    <w:rsid w:val="00707FE5"/>
    <w:rsid w:val="00710464"/>
    <w:rsid w:val="0071075F"/>
    <w:rsid w:val="00710A14"/>
    <w:rsid w:val="00710A27"/>
    <w:rsid w:val="00710F33"/>
    <w:rsid w:val="00711116"/>
    <w:rsid w:val="00711126"/>
    <w:rsid w:val="007111F2"/>
    <w:rsid w:val="00711A93"/>
    <w:rsid w:val="00711DB6"/>
    <w:rsid w:val="00712135"/>
    <w:rsid w:val="00712289"/>
    <w:rsid w:val="00712899"/>
    <w:rsid w:val="007128D1"/>
    <w:rsid w:val="007128DD"/>
    <w:rsid w:val="00713439"/>
    <w:rsid w:val="0071357C"/>
    <w:rsid w:val="00713D3E"/>
    <w:rsid w:val="00713F6E"/>
    <w:rsid w:val="007148CF"/>
    <w:rsid w:val="00714AEB"/>
    <w:rsid w:val="00715355"/>
    <w:rsid w:val="0071589D"/>
    <w:rsid w:val="007158C0"/>
    <w:rsid w:val="00715B79"/>
    <w:rsid w:val="00715C91"/>
    <w:rsid w:val="00715DC6"/>
    <w:rsid w:val="00715F4F"/>
    <w:rsid w:val="00716007"/>
    <w:rsid w:val="007168E8"/>
    <w:rsid w:val="00716C65"/>
    <w:rsid w:val="00716E48"/>
    <w:rsid w:val="007175F7"/>
    <w:rsid w:val="0071771C"/>
    <w:rsid w:val="00717989"/>
    <w:rsid w:val="00717FAC"/>
    <w:rsid w:val="0072022A"/>
    <w:rsid w:val="007206E8"/>
    <w:rsid w:val="0072076B"/>
    <w:rsid w:val="00720975"/>
    <w:rsid w:val="00720A5D"/>
    <w:rsid w:val="00720B7C"/>
    <w:rsid w:val="00720BAC"/>
    <w:rsid w:val="00720DAB"/>
    <w:rsid w:val="007210EF"/>
    <w:rsid w:val="007211DE"/>
    <w:rsid w:val="00721342"/>
    <w:rsid w:val="007217F0"/>
    <w:rsid w:val="00721A15"/>
    <w:rsid w:val="00721EB3"/>
    <w:rsid w:val="00721EF1"/>
    <w:rsid w:val="007221E6"/>
    <w:rsid w:val="00722652"/>
    <w:rsid w:val="00723046"/>
    <w:rsid w:val="0072387E"/>
    <w:rsid w:val="00723B55"/>
    <w:rsid w:val="00723C0F"/>
    <w:rsid w:val="00723F58"/>
    <w:rsid w:val="00724368"/>
    <w:rsid w:val="007243D7"/>
    <w:rsid w:val="0072448C"/>
    <w:rsid w:val="00724510"/>
    <w:rsid w:val="00724677"/>
    <w:rsid w:val="00724841"/>
    <w:rsid w:val="007248EC"/>
    <w:rsid w:val="00724DC0"/>
    <w:rsid w:val="00724EDC"/>
    <w:rsid w:val="00724F3A"/>
    <w:rsid w:val="0072547B"/>
    <w:rsid w:val="007255AC"/>
    <w:rsid w:val="00725F4F"/>
    <w:rsid w:val="00725FBD"/>
    <w:rsid w:val="007265C1"/>
    <w:rsid w:val="00726B2E"/>
    <w:rsid w:val="00726BF8"/>
    <w:rsid w:val="00726D13"/>
    <w:rsid w:val="00726FFD"/>
    <w:rsid w:val="00727083"/>
    <w:rsid w:val="00727382"/>
    <w:rsid w:val="00727806"/>
    <w:rsid w:val="00727967"/>
    <w:rsid w:val="00727C60"/>
    <w:rsid w:val="00727CF9"/>
    <w:rsid w:val="00730492"/>
    <w:rsid w:val="0073091E"/>
    <w:rsid w:val="007309D9"/>
    <w:rsid w:val="00730D11"/>
    <w:rsid w:val="00731375"/>
    <w:rsid w:val="007315DA"/>
    <w:rsid w:val="00731655"/>
    <w:rsid w:val="007316BF"/>
    <w:rsid w:val="00731766"/>
    <w:rsid w:val="007319C7"/>
    <w:rsid w:val="00731E98"/>
    <w:rsid w:val="00732117"/>
    <w:rsid w:val="0073223E"/>
    <w:rsid w:val="007329A1"/>
    <w:rsid w:val="007329A9"/>
    <w:rsid w:val="00733306"/>
    <w:rsid w:val="00733344"/>
    <w:rsid w:val="0073348B"/>
    <w:rsid w:val="00733545"/>
    <w:rsid w:val="00733577"/>
    <w:rsid w:val="007335A1"/>
    <w:rsid w:val="0073390F"/>
    <w:rsid w:val="00733DF3"/>
    <w:rsid w:val="00733DFF"/>
    <w:rsid w:val="00733E8E"/>
    <w:rsid w:val="00733F0F"/>
    <w:rsid w:val="0073436E"/>
    <w:rsid w:val="00734AE5"/>
    <w:rsid w:val="00734E0F"/>
    <w:rsid w:val="00735794"/>
    <w:rsid w:val="007358FE"/>
    <w:rsid w:val="007359A5"/>
    <w:rsid w:val="007359AE"/>
    <w:rsid w:val="00736159"/>
    <w:rsid w:val="00736312"/>
    <w:rsid w:val="007365DD"/>
    <w:rsid w:val="00736AB4"/>
    <w:rsid w:val="007370C3"/>
    <w:rsid w:val="0073714C"/>
    <w:rsid w:val="00737984"/>
    <w:rsid w:val="00737A20"/>
    <w:rsid w:val="00737AB8"/>
    <w:rsid w:val="00737C54"/>
    <w:rsid w:val="00740148"/>
    <w:rsid w:val="007402DB"/>
    <w:rsid w:val="007404F8"/>
    <w:rsid w:val="00740835"/>
    <w:rsid w:val="00740DA4"/>
    <w:rsid w:val="00741173"/>
    <w:rsid w:val="007412BA"/>
    <w:rsid w:val="007416A5"/>
    <w:rsid w:val="0074175A"/>
    <w:rsid w:val="007417EC"/>
    <w:rsid w:val="00741A0E"/>
    <w:rsid w:val="007420E4"/>
    <w:rsid w:val="00742561"/>
    <w:rsid w:val="007429A7"/>
    <w:rsid w:val="00742D57"/>
    <w:rsid w:val="00743545"/>
    <w:rsid w:val="007435A5"/>
    <w:rsid w:val="00743A41"/>
    <w:rsid w:val="00743CBE"/>
    <w:rsid w:val="00743D67"/>
    <w:rsid w:val="00743F50"/>
    <w:rsid w:val="00744251"/>
    <w:rsid w:val="00744336"/>
    <w:rsid w:val="007443B0"/>
    <w:rsid w:val="00744771"/>
    <w:rsid w:val="007448B6"/>
    <w:rsid w:val="00744932"/>
    <w:rsid w:val="00744CBE"/>
    <w:rsid w:val="00744DB9"/>
    <w:rsid w:val="007451DC"/>
    <w:rsid w:val="007456EA"/>
    <w:rsid w:val="0074582C"/>
    <w:rsid w:val="00745AE1"/>
    <w:rsid w:val="00745B00"/>
    <w:rsid w:val="0074600B"/>
    <w:rsid w:val="00746259"/>
    <w:rsid w:val="0074634B"/>
    <w:rsid w:val="0074641A"/>
    <w:rsid w:val="007464B3"/>
    <w:rsid w:val="0074676C"/>
    <w:rsid w:val="00746B33"/>
    <w:rsid w:val="00746D2E"/>
    <w:rsid w:val="00747010"/>
    <w:rsid w:val="00747660"/>
    <w:rsid w:val="00747731"/>
    <w:rsid w:val="00747848"/>
    <w:rsid w:val="00747B25"/>
    <w:rsid w:val="00747C2E"/>
    <w:rsid w:val="00747DE0"/>
    <w:rsid w:val="00747E72"/>
    <w:rsid w:val="007500DB"/>
    <w:rsid w:val="00750217"/>
    <w:rsid w:val="0075053F"/>
    <w:rsid w:val="0075066C"/>
    <w:rsid w:val="00750763"/>
    <w:rsid w:val="007509B2"/>
    <w:rsid w:val="00750A00"/>
    <w:rsid w:val="0075162F"/>
    <w:rsid w:val="00751700"/>
    <w:rsid w:val="0075170B"/>
    <w:rsid w:val="007519D7"/>
    <w:rsid w:val="007522A7"/>
    <w:rsid w:val="007523D0"/>
    <w:rsid w:val="00752813"/>
    <w:rsid w:val="00752BE3"/>
    <w:rsid w:val="00752F54"/>
    <w:rsid w:val="007532EA"/>
    <w:rsid w:val="0075372F"/>
    <w:rsid w:val="0075375C"/>
    <w:rsid w:val="00753AC1"/>
    <w:rsid w:val="00753CCF"/>
    <w:rsid w:val="00754705"/>
    <w:rsid w:val="00754973"/>
    <w:rsid w:val="007549F8"/>
    <w:rsid w:val="00754E3E"/>
    <w:rsid w:val="00754E51"/>
    <w:rsid w:val="00755302"/>
    <w:rsid w:val="00755410"/>
    <w:rsid w:val="00755855"/>
    <w:rsid w:val="00755B56"/>
    <w:rsid w:val="00755BA5"/>
    <w:rsid w:val="00755E17"/>
    <w:rsid w:val="00755E6B"/>
    <w:rsid w:val="00756409"/>
    <w:rsid w:val="00756EC1"/>
    <w:rsid w:val="007574F3"/>
    <w:rsid w:val="0075753A"/>
    <w:rsid w:val="007575F1"/>
    <w:rsid w:val="00757624"/>
    <w:rsid w:val="00757870"/>
    <w:rsid w:val="0076053A"/>
    <w:rsid w:val="00760AE9"/>
    <w:rsid w:val="0076137E"/>
    <w:rsid w:val="00761394"/>
    <w:rsid w:val="00761536"/>
    <w:rsid w:val="00761706"/>
    <w:rsid w:val="007624BD"/>
    <w:rsid w:val="00762880"/>
    <w:rsid w:val="00762952"/>
    <w:rsid w:val="00762BB6"/>
    <w:rsid w:val="00762CD1"/>
    <w:rsid w:val="00762F06"/>
    <w:rsid w:val="007632F3"/>
    <w:rsid w:val="007638E8"/>
    <w:rsid w:val="00764345"/>
    <w:rsid w:val="00764363"/>
    <w:rsid w:val="00764E90"/>
    <w:rsid w:val="007657F4"/>
    <w:rsid w:val="0076585C"/>
    <w:rsid w:val="00765B82"/>
    <w:rsid w:val="00765BC4"/>
    <w:rsid w:val="00765DBB"/>
    <w:rsid w:val="00765DF8"/>
    <w:rsid w:val="00766032"/>
    <w:rsid w:val="00766374"/>
    <w:rsid w:val="0076642C"/>
    <w:rsid w:val="0076672C"/>
    <w:rsid w:val="007668F3"/>
    <w:rsid w:val="00766C5E"/>
    <w:rsid w:val="00766DB1"/>
    <w:rsid w:val="007672D5"/>
    <w:rsid w:val="00767A44"/>
    <w:rsid w:val="00770432"/>
    <w:rsid w:val="0077048E"/>
    <w:rsid w:val="007705BF"/>
    <w:rsid w:val="00770732"/>
    <w:rsid w:val="00770834"/>
    <w:rsid w:val="00770880"/>
    <w:rsid w:val="00771CC0"/>
    <w:rsid w:val="007722D6"/>
    <w:rsid w:val="0077267A"/>
    <w:rsid w:val="00772A1B"/>
    <w:rsid w:val="00772EA5"/>
    <w:rsid w:val="00772F45"/>
    <w:rsid w:val="007736D4"/>
    <w:rsid w:val="00773876"/>
    <w:rsid w:val="007738A4"/>
    <w:rsid w:val="007738CA"/>
    <w:rsid w:val="00773A9C"/>
    <w:rsid w:val="007740CC"/>
    <w:rsid w:val="007741C6"/>
    <w:rsid w:val="00774870"/>
    <w:rsid w:val="0077507F"/>
    <w:rsid w:val="00775144"/>
    <w:rsid w:val="007753E3"/>
    <w:rsid w:val="00775571"/>
    <w:rsid w:val="00775621"/>
    <w:rsid w:val="00775707"/>
    <w:rsid w:val="0077583B"/>
    <w:rsid w:val="00775868"/>
    <w:rsid w:val="00775907"/>
    <w:rsid w:val="00775B87"/>
    <w:rsid w:val="00775D82"/>
    <w:rsid w:val="00776103"/>
    <w:rsid w:val="007764E1"/>
    <w:rsid w:val="00776579"/>
    <w:rsid w:val="00777450"/>
    <w:rsid w:val="0077747F"/>
    <w:rsid w:val="00777ADE"/>
    <w:rsid w:val="00777DBC"/>
    <w:rsid w:val="00777EFD"/>
    <w:rsid w:val="00777FA4"/>
    <w:rsid w:val="00777FED"/>
    <w:rsid w:val="00780040"/>
    <w:rsid w:val="007801AA"/>
    <w:rsid w:val="00780263"/>
    <w:rsid w:val="007802E1"/>
    <w:rsid w:val="007807FB"/>
    <w:rsid w:val="00780AAB"/>
    <w:rsid w:val="00780AB2"/>
    <w:rsid w:val="00780B10"/>
    <w:rsid w:val="00780C32"/>
    <w:rsid w:val="00780CD8"/>
    <w:rsid w:val="00780EED"/>
    <w:rsid w:val="00781085"/>
    <w:rsid w:val="00781130"/>
    <w:rsid w:val="00781151"/>
    <w:rsid w:val="00781901"/>
    <w:rsid w:val="00781FD7"/>
    <w:rsid w:val="00782DD5"/>
    <w:rsid w:val="00782FFA"/>
    <w:rsid w:val="00783382"/>
    <w:rsid w:val="00783420"/>
    <w:rsid w:val="00783552"/>
    <w:rsid w:val="00783568"/>
    <w:rsid w:val="0078368E"/>
    <w:rsid w:val="00783A52"/>
    <w:rsid w:val="00783B10"/>
    <w:rsid w:val="00783B78"/>
    <w:rsid w:val="007840AF"/>
    <w:rsid w:val="007841D7"/>
    <w:rsid w:val="0078473A"/>
    <w:rsid w:val="007847C2"/>
    <w:rsid w:val="00784F64"/>
    <w:rsid w:val="00784FF2"/>
    <w:rsid w:val="00785009"/>
    <w:rsid w:val="007852BD"/>
    <w:rsid w:val="00785397"/>
    <w:rsid w:val="0078548F"/>
    <w:rsid w:val="0078556B"/>
    <w:rsid w:val="007858BB"/>
    <w:rsid w:val="00785D1B"/>
    <w:rsid w:val="0078607C"/>
    <w:rsid w:val="0078617E"/>
    <w:rsid w:val="00786321"/>
    <w:rsid w:val="00786900"/>
    <w:rsid w:val="007869E6"/>
    <w:rsid w:val="00786C12"/>
    <w:rsid w:val="00786DFA"/>
    <w:rsid w:val="00786E09"/>
    <w:rsid w:val="00786F8B"/>
    <w:rsid w:val="0078752C"/>
    <w:rsid w:val="007877EB"/>
    <w:rsid w:val="00787BCA"/>
    <w:rsid w:val="00787C2C"/>
    <w:rsid w:val="00787C73"/>
    <w:rsid w:val="00787E46"/>
    <w:rsid w:val="00787ECE"/>
    <w:rsid w:val="00790BC5"/>
    <w:rsid w:val="00790D48"/>
    <w:rsid w:val="0079115C"/>
    <w:rsid w:val="00791710"/>
    <w:rsid w:val="00791865"/>
    <w:rsid w:val="00791D8C"/>
    <w:rsid w:val="00791DE4"/>
    <w:rsid w:val="0079202B"/>
    <w:rsid w:val="007921D1"/>
    <w:rsid w:val="007921E8"/>
    <w:rsid w:val="0079230C"/>
    <w:rsid w:val="007925D9"/>
    <w:rsid w:val="0079274E"/>
    <w:rsid w:val="0079284F"/>
    <w:rsid w:val="00792986"/>
    <w:rsid w:val="00792A6F"/>
    <w:rsid w:val="00792C8A"/>
    <w:rsid w:val="00792D04"/>
    <w:rsid w:val="007931BF"/>
    <w:rsid w:val="0079331E"/>
    <w:rsid w:val="0079348F"/>
    <w:rsid w:val="0079368C"/>
    <w:rsid w:val="00793975"/>
    <w:rsid w:val="00793B60"/>
    <w:rsid w:val="00794234"/>
    <w:rsid w:val="007948C3"/>
    <w:rsid w:val="00794E18"/>
    <w:rsid w:val="00795605"/>
    <w:rsid w:val="00795C04"/>
    <w:rsid w:val="00795C25"/>
    <w:rsid w:val="00795C8B"/>
    <w:rsid w:val="007960F0"/>
    <w:rsid w:val="007961D3"/>
    <w:rsid w:val="0079623F"/>
    <w:rsid w:val="00796334"/>
    <w:rsid w:val="00796473"/>
    <w:rsid w:val="007967AF"/>
    <w:rsid w:val="00796DC1"/>
    <w:rsid w:val="00796E76"/>
    <w:rsid w:val="00796EC4"/>
    <w:rsid w:val="00796FC9"/>
    <w:rsid w:val="00797009"/>
    <w:rsid w:val="0079746B"/>
    <w:rsid w:val="0079748D"/>
    <w:rsid w:val="007976D2"/>
    <w:rsid w:val="00797811"/>
    <w:rsid w:val="00797880"/>
    <w:rsid w:val="00797982"/>
    <w:rsid w:val="007A0078"/>
    <w:rsid w:val="007A05F1"/>
    <w:rsid w:val="007A0851"/>
    <w:rsid w:val="007A0BFE"/>
    <w:rsid w:val="007A0D25"/>
    <w:rsid w:val="007A18C7"/>
    <w:rsid w:val="007A19EE"/>
    <w:rsid w:val="007A1A88"/>
    <w:rsid w:val="007A1C23"/>
    <w:rsid w:val="007A1D16"/>
    <w:rsid w:val="007A1D4F"/>
    <w:rsid w:val="007A20B1"/>
    <w:rsid w:val="007A2256"/>
    <w:rsid w:val="007A2681"/>
    <w:rsid w:val="007A2728"/>
    <w:rsid w:val="007A2944"/>
    <w:rsid w:val="007A2DE5"/>
    <w:rsid w:val="007A2F75"/>
    <w:rsid w:val="007A3244"/>
    <w:rsid w:val="007A355C"/>
    <w:rsid w:val="007A37F6"/>
    <w:rsid w:val="007A3C7B"/>
    <w:rsid w:val="007A3F8B"/>
    <w:rsid w:val="007A4374"/>
    <w:rsid w:val="007A483C"/>
    <w:rsid w:val="007A49C1"/>
    <w:rsid w:val="007A4D3D"/>
    <w:rsid w:val="007A4F09"/>
    <w:rsid w:val="007A59D9"/>
    <w:rsid w:val="007A5E61"/>
    <w:rsid w:val="007A6544"/>
    <w:rsid w:val="007A68F1"/>
    <w:rsid w:val="007A6AD2"/>
    <w:rsid w:val="007A6FDC"/>
    <w:rsid w:val="007A6FFE"/>
    <w:rsid w:val="007A73A6"/>
    <w:rsid w:val="007A74C4"/>
    <w:rsid w:val="007A7678"/>
    <w:rsid w:val="007A77B0"/>
    <w:rsid w:val="007A782D"/>
    <w:rsid w:val="007A784B"/>
    <w:rsid w:val="007A7B99"/>
    <w:rsid w:val="007A7C83"/>
    <w:rsid w:val="007A7D09"/>
    <w:rsid w:val="007B0781"/>
    <w:rsid w:val="007B0D7B"/>
    <w:rsid w:val="007B114A"/>
    <w:rsid w:val="007B1193"/>
    <w:rsid w:val="007B120A"/>
    <w:rsid w:val="007B1432"/>
    <w:rsid w:val="007B15AC"/>
    <w:rsid w:val="007B175E"/>
    <w:rsid w:val="007B184F"/>
    <w:rsid w:val="007B1939"/>
    <w:rsid w:val="007B1C15"/>
    <w:rsid w:val="007B20A3"/>
    <w:rsid w:val="007B24FA"/>
    <w:rsid w:val="007B2796"/>
    <w:rsid w:val="007B2965"/>
    <w:rsid w:val="007B2A79"/>
    <w:rsid w:val="007B36F1"/>
    <w:rsid w:val="007B36FE"/>
    <w:rsid w:val="007B3738"/>
    <w:rsid w:val="007B4763"/>
    <w:rsid w:val="007B495C"/>
    <w:rsid w:val="007B4AD0"/>
    <w:rsid w:val="007B4BC0"/>
    <w:rsid w:val="007B50AA"/>
    <w:rsid w:val="007B51A6"/>
    <w:rsid w:val="007B55D9"/>
    <w:rsid w:val="007B58D5"/>
    <w:rsid w:val="007B6712"/>
    <w:rsid w:val="007B6722"/>
    <w:rsid w:val="007B6856"/>
    <w:rsid w:val="007B68DB"/>
    <w:rsid w:val="007B6934"/>
    <w:rsid w:val="007B6A9C"/>
    <w:rsid w:val="007B6BA7"/>
    <w:rsid w:val="007B6E1C"/>
    <w:rsid w:val="007B703A"/>
    <w:rsid w:val="007B70CB"/>
    <w:rsid w:val="007B715E"/>
    <w:rsid w:val="007B7171"/>
    <w:rsid w:val="007B7245"/>
    <w:rsid w:val="007B7894"/>
    <w:rsid w:val="007B7978"/>
    <w:rsid w:val="007B7991"/>
    <w:rsid w:val="007C0491"/>
    <w:rsid w:val="007C0506"/>
    <w:rsid w:val="007C1101"/>
    <w:rsid w:val="007C16E8"/>
    <w:rsid w:val="007C2020"/>
    <w:rsid w:val="007C207E"/>
    <w:rsid w:val="007C2351"/>
    <w:rsid w:val="007C2699"/>
    <w:rsid w:val="007C2833"/>
    <w:rsid w:val="007C2B4A"/>
    <w:rsid w:val="007C3623"/>
    <w:rsid w:val="007C3A77"/>
    <w:rsid w:val="007C3AF7"/>
    <w:rsid w:val="007C3F51"/>
    <w:rsid w:val="007C3FF7"/>
    <w:rsid w:val="007C4492"/>
    <w:rsid w:val="007C4593"/>
    <w:rsid w:val="007C496B"/>
    <w:rsid w:val="007C4A2E"/>
    <w:rsid w:val="007C4BC5"/>
    <w:rsid w:val="007C4DF2"/>
    <w:rsid w:val="007C5203"/>
    <w:rsid w:val="007C521B"/>
    <w:rsid w:val="007C5249"/>
    <w:rsid w:val="007C546D"/>
    <w:rsid w:val="007C57F8"/>
    <w:rsid w:val="007C5CA5"/>
    <w:rsid w:val="007C5FBB"/>
    <w:rsid w:val="007C6318"/>
    <w:rsid w:val="007C6437"/>
    <w:rsid w:val="007C663A"/>
    <w:rsid w:val="007C66F2"/>
    <w:rsid w:val="007C6BE0"/>
    <w:rsid w:val="007C6C52"/>
    <w:rsid w:val="007C7730"/>
    <w:rsid w:val="007C795A"/>
    <w:rsid w:val="007C7F74"/>
    <w:rsid w:val="007D0447"/>
    <w:rsid w:val="007D0872"/>
    <w:rsid w:val="007D1676"/>
    <w:rsid w:val="007D20FA"/>
    <w:rsid w:val="007D2687"/>
    <w:rsid w:val="007D2917"/>
    <w:rsid w:val="007D2F0B"/>
    <w:rsid w:val="007D3155"/>
    <w:rsid w:val="007D327D"/>
    <w:rsid w:val="007D346F"/>
    <w:rsid w:val="007D3CD5"/>
    <w:rsid w:val="007D45D1"/>
    <w:rsid w:val="007D47DB"/>
    <w:rsid w:val="007D47E3"/>
    <w:rsid w:val="007D4904"/>
    <w:rsid w:val="007D49E0"/>
    <w:rsid w:val="007D4B5D"/>
    <w:rsid w:val="007D4C8C"/>
    <w:rsid w:val="007D4DB6"/>
    <w:rsid w:val="007D4E0B"/>
    <w:rsid w:val="007D4EEF"/>
    <w:rsid w:val="007D5518"/>
    <w:rsid w:val="007D5800"/>
    <w:rsid w:val="007D5884"/>
    <w:rsid w:val="007D59A9"/>
    <w:rsid w:val="007D59EB"/>
    <w:rsid w:val="007D5BAF"/>
    <w:rsid w:val="007D5E82"/>
    <w:rsid w:val="007D5FBC"/>
    <w:rsid w:val="007D61F3"/>
    <w:rsid w:val="007D6A28"/>
    <w:rsid w:val="007D71B5"/>
    <w:rsid w:val="007D7A17"/>
    <w:rsid w:val="007D7BA6"/>
    <w:rsid w:val="007E001C"/>
    <w:rsid w:val="007E003A"/>
    <w:rsid w:val="007E0218"/>
    <w:rsid w:val="007E075C"/>
    <w:rsid w:val="007E079A"/>
    <w:rsid w:val="007E0B3A"/>
    <w:rsid w:val="007E0DB8"/>
    <w:rsid w:val="007E165C"/>
    <w:rsid w:val="007E1894"/>
    <w:rsid w:val="007E189C"/>
    <w:rsid w:val="007E1AB4"/>
    <w:rsid w:val="007E1D26"/>
    <w:rsid w:val="007E1D28"/>
    <w:rsid w:val="007E1EA6"/>
    <w:rsid w:val="007E2039"/>
    <w:rsid w:val="007E266F"/>
    <w:rsid w:val="007E283F"/>
    <w:rsid w:val="007E2A9C"/>
    <w:rsid w:val="007E2B1C"/>
    <w:rsid w:val="007E2C5C"/>
    <w:rsid w:val="007E2D8B"/>
    <w:rsid w:val="007E2E58"/>
    <w:rsid w:val="007E32FD"/>
    <w:rsid w:val="007E39BC"/>
    <w:rsid w:val="007E3A3A"/>
    <w:rsid w:val="007E3E70"/>
    <w:rsid w:val="007E4444"/>
    <w:rsid w:val="007E45FD"/>
    <w:rsid w:val="007E48D5"/>
    <w:rsid w:val="007E4BFA"/>
    <w:rsid w:val="007E5274"/>
    <w:rsid w:val="007E52E6"/>
    <w:rsid w:val="007E5718"/>
    <w:rsid w:val="007E5827"/>
    <w:rsid w:val="007E5D27"/>
    <w:rsid w:val="007E5E28"/>
    <w:rsid w:val="007E63FD"/>
    <w:rsid w:val="007E658D"/>
    <w:rsid w:val="007E6700"/>
    <w:rsid w:val="007E6704"/>
    <w:rsid w:val="007E6930"/>
    <w:rsid w:val="007E6951"/>
    <w:rsid w:val="007E6DD5"/>
    <w:rsid w:val="007E6EBF"/>
    <w:rsid w:val="007E6EE0"/>
    <w:rsid w:val="007E77D5"/>
    <w:rsid w:val="007E78BE"/>
    <w:rsid w:val="007E7C5E"/>
    <w:rsid w:val="007E7D79"/>
    <w:rsid w:val="007E7DA7"/>
    <w:rsid w:val="007E7FDD"/>
    <w:rsid w:val="007F021E"/>
    <w:rsid w:val="007F0276"/>
    <w:rsid w:val="007F0451"/>
    <w:rsid w:val="007F074B"/>
    <w:rsid w:val="007F0892"/>
    <w:rsid w:val="007F0A66"/>
    <w:rsid w:val="007F0C49"/>
    <w:rsid w:val="007F0DA3"/>
    <w:rsid w:val="007F0E0F"/>
    <w:rsid w:val="007F0E92"/>
    <w:rsid w:val="007F0EE5"/>
    <w:rsid w:val="007F0F5A"/>
    <w:rsid w:val="007F11C7"/>
    <w:rsid w:val="007F13D5"/>
    <w:rsid w:val="007F15E8"/>
    <w:rsid w:val="007F169F"/>
    <w:rsid w:val="007F1A3B"/>
    <w:rsid w:val="007F1FE2"/>
    <w:rsid w:val="007F23A4"/>
    <w:rsid w:val="007F271D"/>
    <w:rsid w:val="007F289A"/>
    <w:rsid w:val="007F2B95"/>
    <w:rsid w:val="007F2FC8"/>
    <w:rsid w:val="007F38A8"/>
    <w:rsid w:val="007F4C17"/>
    <w:rsid w:val="007F5042"/>
    <w:rsid w:val="007F5246"/>
    <w:rsid w:val="007F525E"/>
    <w:rsid w:val="007F5A4B"/>
    <w:rsid w:val="007F5F78"/>
    <w:rsid w:val="007F6383"/>
    <w:rsid w:val="007F6688"/>
    <w:rsid w:val="007F6738"/>
    <w:rsid w:val="007F68CD"/>
    <w:rsid w:val="007F6F04"/>
    <w:rsid w:val="007F71AE"/>
    <w:rsid w:val="007F728A"/>
    <w:rsid w:val="007F728C"/>
    <w:rsid w:val="007F7315"/>
    <w:rsid w:val="007F74C5"/>
    <w:rsid w:val="007F7794"/>
    <w:rsid w:val="007F7891"/>
    <w:rsid w:val="007F78D4"/>
    <w:rsid w:val="007F7AC9"/>
    <w:rsid w:val="007F7C51"/>
    <w:rsid w:val="007F7EAE"/>
    <w:rsid w:val="00800077"/>
    <w:rsid w:val="008001BF"/>
    <w:rsid w:val="00800229"/>
    <w:rsid w:val="008005AD"/>
    <w:rsid w:val="0080064F"/>
    <w:rsid w:val="008008DD"/>
    <w:rsid w:val="008013C8"/>
    <w:rsid w:val="00801C38"/>
    <w:rsid w:val="00801CEF"/>
    <w:rsid w:val="00801D4A"/>
    <w:rsid w:val="00801D80"/>
    <w:rsid w:val="00802253"/>
    <w:rsid w:val="008022B9"/>
    <w:rsid w:val="0080252D"/>
    <w:rsid w:val="008025E0"/>
    <w:rsid w:val="0080291D"/>
    <w:rsid w:val="00803289"/>
    <w:rsid w:val="00803CE6"/>
    <w:rsid w:val="00803DF6"/>
    <w:rsid w:val="0080407A"/>
    <w:rsid w:val="00804306"/>
    <w:rsid w:val="00804686"/>
    <w:rsid w:val="0080480C"/>
    <w:rsid w:val="00804FD0"/>
    <w:rsid w:val="00805B17"/>
    <w:rsid w:val="00805F5F"/>
    <w:rsid w:val="008063B1"/>
    <w:rsid w:val="00806B09"/>
    <w:rsid w:val="00806D0F"/>
    <w:rsid w:val="008071FA"/>
    <w:rsid w:val="00807798"/>
    <w:rsid w:val="00807944"/>
    <w:rsid w:val="00807AE7"/>
    <w:rsid w:val="00807AEF"/>
    <w:rsid w:val="00807E0B"/>
    <w:rsid w:val="0081000D"/>
    <w:rsid w:val="00810B63"/>
    <w:rsid w:val="00810F41"/>
    <w:rsid w:val="00811953"/>
    <w:rsid w:val="00811E4B"/>
    <w:rsid w:val="00812215"/>
    <w:rsid w:val="00812B60"/>
    <w:rsid w:val="00812FD4"/>
    <w:rsid w:val="00813175"/>
    <w:rsid w:val="00813BFB"/>
    <w:rsid w:val="00813DB7"/>
    <w:rsid w:val="00813DBF"/>
    <w:rsid w:val="00813EDE"/>
    <w:rsid w:val="0081416D"/>
    <w:rsid w:val="00814279"/>
    <w:rsid w:val="008142A3"/>
    <w:rsid w:val="008145F9"/>
    <w:rsid w:val="0081465D"/>
    <w:rsid w:val="00814878"/>
    <w:rsid w:val="00814BEE"/>
    <w:rsid w:val="00814FC5"/>
    <w:rsid w:val="008151AB"/>
    <w:rsid w:val="0081550C"/>
    <w:rsid w:val="00815558"/>
    <w:rsid w:val="00815618"/>
    <w:rsid w:val="0081581E"/>
    <w:rsid w:val="00815E62"/>
    <w:rsid w:val="00815F99"/>
    <w:rsid w:val="00816040"/>
    <w:rsid w:val="00816311"/>
    <w:rsid w:val="008166BB"/>
    <w:rsid w:val="00816CA2"/>
    <w:rsid w:val="00816DCC"/>
    <w:rsid w:val="00816F3C"/>
    <w:rsid w:val="008170B7"/>
    <w:rsid w:val="0081710E"/>
    <w:rsid w:val="008171BA"/>
    <w:rsid w:val="00817355"/>
    <w:rsid w:val="00817D32"/>
    <w:rsid w:val="00817D8C"/>
    <w:rsid w:val="00817E18"/>
    <w:rsid w:val="008201B0"/>
    <w:rsid w:val="0082041A"/>
    <w:rsid w:val="0082060D"/>
    <w:rsid w:val="0082062F"/>
    <w:rsid w:val="00820634"/>
    <w:rsid w:val="0082094F"/>
    <w:rsid w:val="00820B72"/>
    <w:rsid w:val="00820DB1"/>
    <w:rsid w:val="00820EAD"/>
    <w:rsid w:val="008210B4"/>
    <w:rsid w:val="00821305"/>
    <w:rsid w:val="0082161A"/>
    <w:rsid w:val="00821A34"/>
    <w:rsid w:val="00821F89"/>
    <w:rsid w:val="0082216D"/>
    <w:rsid w:val="008227B8"/>
    <w:rsid w:val="008229ED"/>
    <w:rsid w:val="00822E13"/>
    <w:rsid w:val="00822EFE"/>
    <w:rsid w:val="00823226"/>
    <w:rsid w:val="00823376"/>
    <w:rsid w:val="00823717"/>
    <w:rsid w:val="008237D1"/>
    <w:rsid w:val="00823BCF"/>
    <w:rsid w:val="00823E54"/>
    <w:rsid w:val="008243CE"/>
    <w:rsid w:val="008243E8"/>
    <w:rsid w:val="00824634"/>
    <w:rsid w:val="008247B5"/>
    <w:rsid w:val="008247C4"/>
    <w:rsid w:val="008247D0"/>
    <w:rsid w:val="00824879"/>
    <w:rsid w:val="00824B56"/>
    <w:rsid w:val="00824C84"/>
    <w:rsid w:val="00825402"/>
    <w:rsid w:val="008254D3"/>
    <w:rsid w:val="008255F9"/>
    <w:rsid w:val="00825799"/>
    <w:rsid w:val="0082599B"/>
    <w:rsid w:val="00825C17"/>
    <w:rsid w:val="00825C8A"/>
    <w:rsid w:val="00825DE8"/>
    <w:rsid w:val="00825EBC"/>
    <w:rsid w:val="00825FB4"/>
    <w:rsid w:val="008261E9"/>
    <w:rsid w:val="008266C7"/>
    <w:rsid w:val="00826E9E"/>
    <w:rsid w:val="00827008"/>
    <w:rsid w:val="0082706F"/>
    <w:rsid w:val="00827130"/>
    <w:rsid w:val="0082745D"/>
    <w:rsid w:val="0082763B"/>
    <w:rsid w:val="00827969"/>
    <w:rsid w:val="00827979"/>
    <w:rsid w:val="00827C3A"/>
    <w:rsid w:val="00827DD5"/>
    <w:rsid w:val="00827F98"/>
    <w:rsid w:val="00827F9F"/>
    <w:rsid w:val="008300C1"/>
    <w:rsid w:val="0083012C"/>
    <w:rsid w:val="00830AC9"/>
    <w:rsid w:val="00830BDD"/>
    <w:rsid w:val="00830F4C"/>
    <w:rsid w:val="00831714"/>
    <w:rsid w:val="008317F0"/>
    <w:rsid w:val="00831A42"/>
    <w:rsid w:val="00831AFD"/>
    <w:rsid w:val="00831B68"/>
    <w:rsid w:val="00831DEF"/>
    <w:rsid w:val="008320C2"/>
    <w:rsid w:val="008324AF"/>
    <w:rsid w:val="0083256A"/>
    <w:rsid w:val="008326C3"/>
    <w:rsid w:val="00832705"/>
    <w:rsid w:val="0083275E"/>
    <w:rsid w:val="0083279F"/>
    <w:rsid w:val="00832AAF"/>
    <w:rsid w:val="00832BF9"/>
    <w:rsid w:val="008331F6"/>
    <w:rsid w:val="0083328E"/>
    <w:rsid w:val="008335DA"/>
    <w:rsid w:val="008339AC"/>
    <w:rsid w:val="00833CBF"/>
    <w:rsid w:val="00833E8B"/>
    <w:rsid w:val="00834108"/>
    <w:rsid w:val="008344FC"/>
    <w:rsid w:val="00834A16"/>
    <w:rsid w:val="008352ED"/>
    <w:rsid w:val="0083541D"/>
    <w:rsid w:val="00835DC4"/>
    <w:rsid w:val="00835E46"/>
    <w:rsid w:val="0083608F"/>
    <w:rsid w:val="008362C4"/>
    <w:rsid w:val="008364A4"/>
    <w:rsid w:val="00836808"/>
    <w:rsid w:val="00836840"/>
    <w:rsid w:val="00836AF7"/>
    <w:rsid w:val="00836CBC"/>
    <w:rsid w:val="00836D30"/>
    <w:rsid w:val="00836D74"/>
    <w:rsid w:val="008378A6"/>
    <w:rsid w:val="00837AF7"/>
    <w:rsid w:val="00837F48"/>
    <w:rsid w:val="00837FA5"/>
    <w:rsid w:val="00840473"/>
    <w:rsid w:val="008406DB"/>
    <w:rsid w:val="00840A17"/>
    <w:rsid w:val="00840C9C"/>
    <w:rsid w:val="0084136F"/>
    <w:rsid w:val="00841616"/>
    <w:rsid w:val="008416D3"/>
    <w:rsid w:val="0084177E"/>
    <w:rsid w:val="0084190A"/>
    <w:rsid w:val="00841A9D"/>
    <w:rsid w:val="00841ACD"/>
    <w:rsid w:val="00841C8E"/>
    <w:rsid w:val="00841E2E"/>
    <w:rsid w:val="00841E79"/>
    <w:rsid w:val="008423BC"/>
    <w:rsid w:val="00842606"/>
    <w:rsid w:val="00842ADC"/>
    <w:rsid w:val="00843399"/>
    <w:rsid w:val="008434C4"/>
    <w:rsid w:val="0084368D"/>
    <w:rsid w:val="008437B0"/>
    <w:rsid w:val="00843AC4"/>
    <w:rsid w:val="0084477B"/>
    <w:rsid w:val="00844CF4"/>
    <w:rsid w:val="00844E10"/>
    <w:rsid w:val="0084577F"/>
    <w:rsid w:val="008457B7"/>
    <w:rsid w:val="00845E0A"/>
    <w:rsid w:val="00845E7B"/>
    <w:rsid w:val="00845E97"/>
    <w:rsid w:val="008461A5"/>
    <w:rsid w:val="00846559"/>
    <w:rsid w:val="008469F1"/>
    <w:rsid w:val="00846B21"/>
    <w:rsid w:val="0084734F"/>
    <w:rsid w:val="008477F3"/>
    <w:rsid w:val="00847852"/>
    <w:rsid w:val="008501B4"/>
    <w:rsid w:val="008501C4"/>
    <w:rsid w:val="008505A3"/>
    <w:rsid w:val="008506D7"/>
    <w:rsid w:val="00850DE8"/>
    <w:rsid w:val="00851093"/>
    <w:rsid w:val="008518DD"/>
    <w:rsid w:val="00851AC6"/>
    <w:rsid w:val="00851BFB"/>
    <w:rsid w:val="00851C13"/>
    <w:rsid w:val="00851EA8"/>
    <w:rsid w:val="00851FCA"/>
    <w:rsid w:val="00852391"/>
    <w:rsid w:val="00853584"/>
    <w:rsid w:val="00853D25"/>
    <w:rsid w:val="00853E59"/>
    <w:rsid w:val="00854127"/>
    <w:rsid w:val="008544DE"/>
    <w:rsid w:val="008548E1"/>
    <w:rsid w:val="00854F7C"/>
    <w:rsid w:val="00854FDC"/>
    <w:rsid w:val="008550AF"/>
    <w:rsid w:val="00855415"/>
    <w:rsid w:val="00855610"/>
    <w:rsid w:val="00855958"/>
    <w:rsid w:val="00855B8C"/>
    <w:rsid w:val="00855E5B"/>
    <w:rsid w:val="0085615A"/>
    <w:rsid w:val="00856463"/>
    <w:rsid w:val="00856624"/>
    <w:rsid w:val="00856BBC"/>
    <w:rsid w:val="008573C5"/>
    <w:rsid w:val="00857908"/>
    <w:rsid w:val="00857A0F"/>
    <w:rsid w:val="00857CFB"/>
    <w:rsid w:val="00860025"/>
    <w:rsid w:val="00860177"/>
    <w:rsid w:val="00860532"/>
    <w:rsid w:val="00860722"/>
    <w:rsid w:val="0086086C"/>
    <w:rsid w:val="008609AA"/>
    <w:rsid w:val="00860A2D"/>
    <w:rsid w:val="00860E51"/>
    <w:rsid w:val="00860EB8"/>
    <w:rsid w:val="00860F9C"/>
    <w:rsid w:val="00861401"/>
    <w:rsid w:val="00861AF6"/>
    <w:rsid w:val="00861DA3"/>
    <w:rsid w:val="00862306"/>
    <w:rsid w:val="0086242F"/>
    <w:rsid w:val="008624C5"/>
    <w:rsid w:val="00862C46"/>
    <w:rsid w:val="00862D11"/>
    <w:rsid w:val="00862E35"/>
    <w:rsid w:val="0086337E"/>
    <w:rsid w:val="0086338C"/>
    <w:rsid w:val="00863734"/>
    <w:rsid w:val="00863D33"/>
    <w:rsid w:val="00863E00"/>
    <w:rsid w:val="008645DB"/>
    <w:rsid w:val="00864F9F"/>
    <w:rsid w:val="008651E8"/>
    <w:rsid w:val="00865304"/>
    <w:rsid w:val="0086547A"/>
    <w:rsid w:val="008655E6"/>
    <w:rsid w:val="00865961"/>
    <w:rsid w:val="00865D7B"/>
    <w:rsid w:val="00866289"/>
    <w:rsid w:val="0086684E"/>
    <w:rsid w:val="00866A54"/>
    <w:rsid w:val="008679F1"/>
    <w:rsid w:val="0087009C"/>
    <w:rsid w:val="00870779"/>
    <w:rsid w:val="00870995"/>
    <w:rsid w:val="00870FE3"/>
    <w:rsid w:val="008715CF"/>
    <w:rsid w:val="00871E8C"/>
    <w:rsid w:val="008720DD"/>
    <w:rsid w:val="008728F5"/>
    <w:rsid w:val="00872F46"/>
    <w:rsid w:val="00873DB2"/>
    <w:rsid w:val="00873E53"/>
    <w:rsid w:val="00874012"/>
    <w:rsid w:val="008741EA"/>
    <w:rsid w:val="008747CA"/>
    <w:rsid w:val="00874998"/>
    <w:rsid w:val="00874A29"/>
    <w:rsid w:val="00874F8B"/>
    <w:rsid w:val="00875470"/>
    <w:rsid w:val="00875941"/>
    <w:rsid w:val="0087599E"/>
    <w:rsid w:val="00876028"/>
    <w:rsid w:val="008760C7"/>
    <w:rsid w:val="00876387"/>
    <w:rsid w:val="00876470"/>
    <w:rsid w:val="00876812"/>
    <w:rsid w:val="008768BE"/>
    <w:rsid w:val="00876A8E"/>
    <w:rsid w:val="00876CAC"/>
    <w:rsid w:val="00876CEE"/>
    <w:rsid w:val="00877133"/>
    <w:rsid w:val="008807AA"/>
    <w:rsid w:val="00880918"/>
    <w:rsid w:val="00880BC6"/>
    <w:rsid w:val="00880EB8"/>
    <w:rsid w:val="00880F6F"/>
    <w:rsid w:val="0088127F"/>
    <w:rsid w:val="00881A5C"/>
    <w:rsid w:val="00881AA7"/>
    <w:rsid w:val="00881E09"/>
    <w:rsid w:val="00882399"/>
    <w:rsid w:val="00882581"/>
    <w:rsid w:val="008827F9"/>
    <w:rsid w:val="0088285B"/>
    <w:rsid w:val="00882AA6"/>
    <w:rsid w:val="00882B0E"/>
    <w:rsid w:val="00882F6B"/>
    <w:rsid w:val="008833BB"/>
    <w:rsid w:val="00883708"/>
    <w:rsid w:val="00883A40"/>
    <w:rsid w:val="00883D76"/>
    <w:rsid w:val="008840A2"/>
    <w:rsid w:val="008841B4"/>
    <w:rsid w:val="00884F69"/>
    <w:rsid w:val="00884F98"/>
    <w:rsid w:val="0088521A"/>
    <w:rsid w:val="008852D7"/>
    <w:rsid w:val="0088536A"/>
    <w:rsid w:val="00885517"/>
    <w:rsid w:val="0088551E"/>
    <w:rsid w:val="008858C3"/>
    <w:rsid w:val="00885915"/>
    <w:rsid w:val="00885A99"/>
    <w:rsid w:val="00885A9A"/>
    <w:rsid w:val="00885DBC"/>
    <w:rsid w:val="00885E30"/>
    <w:rsid w:val="00885E64"/>
    <w:rsid w:val="00885F82"/>
    <w:rsid w:val="0088625A"/>
    <w:rsid w:val="00886484"/>
    <w:rsid w:val="00886D16"/>
    <w:rsid w:val="00887050"/>
    <w:rsid w:val="00887438"/>
    <w:rsid w:val="008876BA"/>
    <w:rsid w:val="00887754"/>
    <w:rsid w:val="00887836"/>
    <w:rsid w:val="00887B0A"/>
    <w:rsid w:val="00887B62"/>
    <w:rsid w:val="00887B8A"/>
    <w:rsid w:val="00887C30"/>
    <w:rsid w:val="00890284"/>
    <w:rsid w:val="0089072E"/>
    <w:rsid w:val="008907F6"/>
    <w:rsid w:val="00890DF4"/>
    <w:rsid w:val="00891083"/>
    <w:rsid w:val="008915B6"/>
    <w:rsid w:val="0089183A"/>
    <w:rsid w:val="00891884"/>
    <w:rsid w:val="0089192B"/>
    <w:rsid w:val="00891E79"/>
    <w:rsid w:val="00892115"/>
    <w:rsid w:val="0089284A"/>
    <w:rsid w:val="00892867"/>
    <w:rsid w:val="008929A2"/>
    <w:rsid w:val="00892F8A"/>
    <w:rsid w:val="00893985"/>
    <w:rsid w:val="00893D11"/>
    <w:rsid w:val="00893D8C"/>
    <w:rsid w:val="0089401B"/>
    <w:rsid w:val="008940B1"/>
    <w:rsid w:val="0089415C"/>
    <w:rsid w:val="008944B8"/>
    <w:rsid w:val="0089458F"/>
    <w:rsid w:val="008948E9"/>
    <w:rsid w:val="0089555A"/>
    <w:rsid w:val="008955FE"/>
    <w:rsid w:val="00895A65"/>
    <w:rsid w:val="00895C1E"/>
    <w:rsid w:val="00896071"/>
    <w:rsid w:val="008961E0"/>
    <w:rsid w:val="008962C0"/>
    <w:rsid w:val="00896313"/>
    <w:rsid w:val="008963F9"/>
    <w:rsid w:val="00896637"/>
    <w:rsid w:val="008968B5"/>
    <w:rsid w:val="008968CA"/>
    <w:rsid w:val="00896C18"/>
    <w:rsid w:val="00896D2C"/>
    <w:rsid w:val="00897774"/>
    <w:rsid w:val="00897C69"/>
    <w:rsid w:val="00897DB0"/>
    <w:rsid w:val="00897ECB"/>
    <w:rsid w:val="008A0849"/>
    <w:rsid w:val="008A0B36"/>
    <w:rsid w:val="008A10DF"/>
    <w:rsid w:val="008A115F"/>
    <w:rsid w:val="008A132A"/>
    <w:rsid w:val="008A13C0"/>
    <w:rsid w:val="008A1837"/>
    <w:rsid w:val="008A19F9"/>
    <w:rsid w:val="008A1B2E"/>
    <w:rsid w:val="008A1DEB"/>
    <w:rsid w:val="008A1F7D"/>
    <w:rsid w:val="008A1FA3"/>
    <w:rsid w:val="008A2779"/>
    <w:rsid w:val="008A2985"/>
    <w:rsid w:val="008A29AF"/>
    <w:rsid w:val="008A2B00"/>
    <w:rsid w:val="008A309E"/>
    <w:rsid w:val="008A3379"/>
    <w:rsid w:val="008A33A1"/>
    <w:rsid w:val="008A34F4"/>
    <w:rsid w:val="008A35EE"/>
    <w:rsid w:val="008A366D"/>
    <w:rsid w:val="008A36FC"/>
    <w:rsid w:val="008A3776"/>
    <w:rsid w:val="008A3EDD"/>
    <w:rsid w:val="008A3EEC"/>
    <w:rsid w:val="008A3F77"/>
    <w:rsid w:val="008A44F6"/>
    <w:rsid w:val="008A4805"/>
    <w:rsid w:val="008A4DA9"/>
    <w:rsid w:val="008A4E57"/>
    <w:rsid w:val="008A52A5"/>
    <w:rsid w:val="008A54D4"/>
    <w:rsid w:val="008A5AB5"/>
    <w:rsid w:val="008A5D15"/>
    <w:rsid w:val="008A5EB2"/>
    <w:rsid w:val="008A5EE8"/>
    <w:rsid w:val="008A5F64"/>
    <w:rsid w:val="008A6329"/>
    <w:rsid w:val="008A6D95"/>
    <w:rsid w:val="008A6F21"/>
    <w:rsid w:val="008A74BC"/>
    <w:rsid w:val="008A7675"/>
    <w:rsid w:val="008A77E7"/>
    <w:rsid w:val="008A7B8F"/>
    <w:rsid w:val="008A7FB8"/>
    <w:rsid w:val="008B0146"/>
    <w:rsid w:val="008B01E5"/>
    <w:rsid w:val="008B05C3"/>
    <w:rsid w:val="008B0647"/>
    <w:rsid w:val="008B0A20"/>
    <w:rsid w:val="008B0B3C"/>
    <w:rsid w:val="008B0BD0"/>
    <w:rsid w:val="008B1492"/>
    <w:rsid w:val="008B1ADE"/>
    <w:rsid w:val="008B1FEA"/>
    <w:rsid w:val="008B260C"/>
    <w:rsid w:val="008B271B"/>
    <w:rsid w:val="008B2E39"/>
    <w:rsid w:val="008B353F"/>
    <w:rsid w:val="008B38AB"/>
    <w:rsid w:val="008B3B9A"/>
    <w:rsid w:val="008B3E54"/>
    <w:rsid w:val="008B3E6D"/>
    <w:rsid w:val="008B40A9"/>
    <w:rsid w:val="008B446C"/>
    <w:rsid w:val="008B4733"/>
    <w:rsid w:val="008B50AA"/>
    <w:rsid w:val="008B58E6"/>
    <w:rsid w:val="008B602C"/>
    <w:rsid w:val="008B641B"/>
    <w:rsid w:val="008B65B4"/>
    <w:rsid w:val="008B6608"/>
    <w:rsid w:val="008B66DB"/>
    <w:rsid w:val="008B69B4"/>
    <w:rsid w:val="008B6C48"/>
    <w:rsid w:val="008B6CB2"/>
    <w:rsid w:val="008B721C"/>
    <w:rsid w:val="008B7232"/>
    <w:rsid w:val="008B7566"/>
    <w:rsid w:val="008B7CC6"/>
    <w:rsid w:val="008C01AC"/>
    <w:rsid w:val="008C024D"/>
    <w:rsid w:val="008C0394"/>
    <w:rsid w:val="008C0AB4"/>
    <w:rsid w:val="008C0B69"/>
    <w:rsid w:val="008C0B83"/>
    <w:rsid w:val="008C191C"/>
    <w:rsid w:val="008C1A9C"/>
    <w:rsid w:val="008C1B4C"/>
    <w:rsid w:val="008C2076"/>
    <w:rsid w:val="008C20C3"/>
    <w:rsid w:val="008C2282"/>
    <w:rsid w:val="008C230F"/>
    <w:rsid w:val="008C25A6"/>
    <w:rsid w:val="008C27B6"/>
    <w:rsid w:val="008C2A8C"/>
    <w:rsid w:val="008C2B91"/>
    <w:rsid w:val="008C2F64"/>
    <w:rsid w:val="008C30ED"/>
    <w:rsid w:val="008C31F3"/>
    <w:rsid w:val="008C3341"/>
    <w:rsid w:val="008C366C"/>
    <w:rsid w:val="008C3759"/>
    <w:rsid w:val="008C3B62"/>
    <w:rsid w:val="008C45CB"/>
    <w:rsid w:val="008C4FE6"/>
    <w:rsid w:val="008C560D"/>
    <w:rsid w:val="008C584D"/>
    <w:rsid w:val="008C5A4E"/>
    <w:rsid w:val="008C63A9"/>
    <w:rsid w:val="008C6789"/>
    <w:rsid w:val="008C6925"/>
    <w:rsid w:val="008C70D1"/>
    <w:rsid w:val="008C7955"/>
    <w:rsid w:val="008C7B66"/>
    <w:rsid w:val="008C7B9B"/>
    <w:rsid w:val="008C7E92"/>
    <w:rsid w:val="008C7ED2"/>
    <w:rsid w:val="008D0142"/>
    <w:rsid w:val="008D0383"/>
    <w:rsid w:val="008D07F2"/>
    <w:rsid w:val="008D085B"/>
    <w:rsid w:val="008D0BDE"/>
    <w:rsid w:val="008D0D61"/>
    <w:rsid w:val="008D11AE"/>
    <w:rsid w:val="008D131F"/>
    <w:rsid w:val="008D1728"/>
    <w:rsid w:val="008D245E"/>
    <w:rsid w:val="008D27EA"/>
    <w:rsid w:val="008D28D8"/>
    <w:rsid w:val="008D2A3B"/>
    <w:rsid w:val="008D2C54"/>
    <w:rsid w:val="008D3268"/>
    <w:rsid w:val="008D3341"/>
    <w:rsid w:val="008D339F"/>
    <w:rsid w:val="008D33DD"/>
    <w:rsid w:val="008D3511"/>
    <w:rsid w:val="008D3AC4"/>
    <w:rsid w:val="008D3D94"/>
    <w:rsid w:val="008D3EBA"/>
    <w:rsid w:val="008D3F28"/>
    <w:rsid w:val="008D4423"/>
    <w:rsid w:val="008D4477"/>
    <w:rsid w:val="008D458C"/>
    <w:rsid w:val="008D4A06"/>
    <w:rsid w:val="008D4DDA"/>
    <w:rsid w:val="008D4FCC"/>
    <w:rsid w:val="008D5590"/>
    <w:rsid w:val="008D565B"/>
    <w:rsid w:val="008D591E"/>
    <w:rsid w:val="008D5951"/>
    <w:rsid w:val="008D5AA7"/>
    <w:rsid w:val="008D615E"/>
    <w:rsid w:val="008D695D"/>
    <w:rsid w:val="008D6B57"/>
    <w:rsid w:val="008D7090"/>
    <w:rsid w:val="008D73BF"/>
    <w:rsid w:val="008D74F8"/>
    <w:rsid w:val="008D75D1"/>
    <w:rsid w:val="008D7640"/>
    <w:rsid w:val="008D76B5"/>
    <w:rsid w:val="008D798A"/>
    <w:rsid w:val="008D7AFD"/>
    <w:rsid w:val="008E0031"/>
    <w:rsid w:val="008E0104"/>
    <w:rsid w:val="008E0126"/>
    <w:rsid w:val="008E0211"/>
    <w:rsid w:val="008E056C"/>
    <w:rsid w:val="008E058B"/>
    <w:rsid w:val="008E0D8F"/>
    <w:rsid w:val="008E1539"/>
    <w:rsid w:val="008E1907"/>
    <w:rsid w:val="008E1BAB"/>
    <w:rsid w:val="008E2229"/>
    <w:rsid w:val="008E25CD"/>
    <w:rsid w:val="008E2941"/>
    <w:rsid w:val="008E2C2E"/>
    <w:rsid w:val="008E2FD4"/>
    <w:rsid w:val="008E37BC"/>
    <w:rsid w:val="008E3932"/>
    <w:rsid w:val="008E3CFE"/>
    <w:rsid w:val="008E40EA"/>
    <w:rsid w:val="008E4651"/>
    <w:rsid w:val="008E4B07"/>
    <w:rsid w:val="008E4D46"/>
    <w:rsid w:val="008E58C0"/>
    <w:rsid w:val="008E5C8D"/>
    <w:rsid w:val="008E60E3"/>
    <w:rsid w:val="008E6336"/>
    <w:rsid w:val="008E6786"/>
    <w:rsid w:val="008E6CEA"/>
    <w:rsid w:val="008E7077"/>
    <w:rsid w:val="008E7320"/>
    <w:rsid w:val="008E7AF0"/>
    <w:rsid w:val="008F0126"/>
    <w:rsid w:val="008F04EF"/>
    <w:rsid w:val="008F0594"/>
    <w:rsid w:val="008F0AF8"/>
    <w:rsid w:val="008F0F18"/>
    <w:rsid w:val="008F15F5"/>
    <w:rsid w:val="008F1DD4"/>
    <w:rsid w:val="008F2BDA"/>
    <w:rsid w:val="008F3268"/>
    <w:rsid w:val="008F332C"/>
    <w:rsid w:val="008F3A5E"/>
    <w:rsid w:val="008F3C38"/>
    <w:rsid w:val="008F3DBE"/>
    <w:rsid w:val="008F3ED0"/>
    <w:rsid w:val="008F401D"/>
    <w:rsid w:val="008F431A"/>
    <w:rsid w:val="008F4436"/>
    <w:rsid w:val="008F459E"/>
    <w:rsid w:val="008F46A9"/>
    <w:rsid w:val="008F49AD"/>
    <w:rsid w:val="008F51BA"/>
    <w:rsid w:val="008F59FB"/>
    <w:rsid w:val="008F5B29"/>
    <w:rsid w:val="008F5C3E"/>
    <w:rsid w:val="008F6138"/>
    <w:rsid w:val="008F658A"/>
    <w:rsid w:val="008F699B"/>
    <w:rsid w:val="008F69E0"/>
    <w:rsid w:val="008F7037"/>
    <w:rsid w:val="008F7098"/>
    <w:rsid w:val="008F71FA"/>
    <w:rsid w:val="008F73E4"/>
    <w:rsid w:val="008F790D"/>
    <w:rsid w:val="008F79DC"/>
    <w:rsid w:val="00900469"/>
    <w:rsid w:val="00900682"/>
    <w:rsid w:val="009008DD"/>
    <w:rsid w:val="00900BEB"/>
    <w:rsid w:val="00900C19"/>
    <w:rsid w:val="00900DAC"/>
    <w:rsid w:val="009020C8"/>
    <w:rsid w:val="00902954"/>
    <w:rsid w:val="00902DC7"/>
    <w:rsid w:val="00903CAF"/>
    <w:rsid w:val="00903F13"/>
    <w:rsid w:val="009040B0"/>
    <w:rsid w:val="0090437C"/>
    <w:rsid w:val="00904BF6"/>
    <w:rsid w:val="00904EAC"/>
    <w:rsid w:val="00904F04"/>
    <w:rsid w:val="009050E5"/>
    <w:rsid w:val="00905ECE"/>
    <w:rsid w:val="009062B6"/>
    <w:rsid w:val="009064D2"/>
    <w:rsid w:val="009069CD"/>
    <w:rsid w:val="00906C0E"/>
    <w:rsid w:val="00906D41"/>
    <w:rsid w:val="00907D74"/>
    <w:rsid w:val="00907D95"/>
    <w:rsid w:val="00907E27"/>
    <w:rsid w:val="00907EB1"/>
    <w:rsid w:val="009104EA"/>
    <w:rsid w:val="009109A8"/>
    <w:rsid w:val="00910B08"/>
    <w:rsid w:val="00910E3D"/>
    <w:rsid w:val="00911028"/>
    <w:rsid w:val="00911783"/>
    <w:rsid w:val="009118E5"/>
    <w:rsid w:val="009119DF"/>
    <w:rsid w:val="00912A56"/>
    <w:rsid w:val="00912CAF"/>
    <w:rsid w:val="00913867"/>
    <w:rsid w:val="00913C42"/>
    <w:rsid w:val="00914029"/>
    <w:rsid w:val="00914140"/>
    <w:rsid w:val="00914181"/>
    <w:rsid w:val="0091427A"/>
    <w:rsid w:val="00914714"/>
    <w:rsid w:val="0091493F"/>
    <w:rsid w:val="00914AD0"/>
    <w:rsid w:val="00914AE1"/>
    <w:rsid w:val="00914B86"/>
    <w:rsid w:val="00914C60"/>
    <w:rsid w:val="00915383"/>
    <w:rsid w:val="00915553"/>
    <w:rsid w:val="00915DD5"/>
    <w:rsid w:val="009162AE"/>
    <w:rsid w:val="0091654B"/>
    <w:rsid w:val="0091678B"/>
    <w:rsid w:val="009169EE"/>
    <w:rsid w:val="00916A57"/>
    <w:rsid w:val="00916C39"/>
    <w:rsid w:val="00916ED2"/>
    <w:rsid w:val="00917243"/>
    <w:rsid w:val="00917324"/>
    <w:rsid w:val="00917507"/>
    <w:rsid w:val="00917BA5"/>
    <w:rsid w:val="00917BC5"/>
    <w:rsid w:val="00917DC6"/>
    <w:rsid w:val="00920144"/>
    <w:rsid w:val="00920325"/>
    <w:rsid w:val="0092085F"/>
    <w:rsid w:val="00920934"/>
    <w:rsid w:val="009221B1"/>
    <w:rsid w:val="009221EE"/>
    <w:rsid w:val="00922511"/>
    <w:rsid w:val="00922517"/>
    <w:rsid w:val="009227D3"/>
    <w:rsid w:val="00922816"/>
    <w:rsid w:val="00922D21"/>
    <w:rsid w:val="00922DD1"/>
    <w:rsid w:val="00922DE5"/>
    <w:rsid w:val="00922F18"/>
    <w:rsid w:val="009233E9"/>
    <w:rsid w:val="009236DF"/>
    <w:rsid w:val="00923711"/>
    <w:rsid w:val="009238A0"/>
    <w:rsid w:val="00923E06"/>
    <w:rsid w:val="00924457"/>
    <w:rsid w:val="00924600"/>
    <w:rsid w:val="0092479B"/>
    <w:rsid w:val="00924811"/>
    <w:rsid w:val="00924CBC"/>
    <w:rsid w:val="0092511B"/>
    <w:rsid w:val="0092545D"/>
    <w:rsid w:val="009254FB"/>
    <w:rsid w:val="009257C3"/>
    <w:rsid w:val="00925DEC"/>
    <w:rsid w:val="0092622E"/>
    <w:rsid w:val="00926247"/>
    <w:rsid w:val="009263E0"/>
    <w:rsid w:val="009264FB"/>
    <w:rsid w:val="00926531"/>
    <w:rsid w:val="009266A2"/>
    <w:rsid w:val="00926AC3"/>
    <w:rsid w:val="00926CE1"/>
    <w:rsid w:val="00927999"/>
    <w:rsid w:val="00927A67"/>
    <w:rsid w:val="00927C56"/>
    <w:rsid w:val="00927C8F"/>
    <w:rsid w:val="00927D3E"/>
    <w:rsid w:val="00930104"/>
    <w:rsid w:val="009302B0"/>
    <w:rsid w:val="009307B4"/>
    <w:rsid w:val="00930848"/>
    <w:rsid w:val="00930860"/>
    <w:rsid w:val="0093115E"/>
    <w:rsid w:val="0093124D"/>
    <w:rsid w:val="0093180C"/>
    <w:rsid w:val="00931C93"/>
    <w:rsid w:val="00931EF9"/>
    <w:rsid w:val="00931F90"/>
    <w:rsid w:val="00932026"/>
    <w:rsid w:val="009324D5"/>
    <w:rsid w:val="00932556"/>
    <w:rsid w:val="0093259B"/>
    <w:rsid w:val="00932B6B"/>
    <w:rsid w:val="00932C91"/>
    <w:rsid w:val="00932D73"/>
    <w:rsid w:val="00932D96"/>
    <w:rsid w:val="00933232"/>
    <w:rsid w:val="00933A80"/>
    <w:rsid w:val="00934276"/>
    <w:rsid w:val="0093430C"/>
    <w:rsid w:val="00934A2C"/>
    <w:rsid w:val="00934A63"/>
    <w:rsid w:val="00934BA7"/>
    <w:rsid w:val="00935643"/>
    <w:rsid w:val="00935920"/>
    <w:rsid w:val="00935B62"/>
    <w:rsid w:val="00935C34"/>
    <w:rsid w:val="00935CAD"/>
    <w:rsid w:val="00936037"/>
    <w:rsid w:val="00936413"/>
    <w:rsid w:val="00936422"/>
    <w:rsid w:val="0093657D"/>
    <w:rsid w:val="009365DF"/>
    <w:rsid w:val="00936DC2"/>
    <w:rsid w:val="00936EC2"/>
    <w:rsid w:val="009370F9"/>
    <w:rsid w:val="00937363"/>
    <w:rsid w:val="0093766B"/>
    <w:rsid w:val="00937753"/>
    <w:rsid w:val="00937927"/>
    <w:rsid w:val="00937BE8"/>
    <w:rsid w:val="00937C44"/>
    <w:rsid w:val="00937CF4"/>
    <w:rsid w:val="00937D4C"/>
    <w:rsid w:val="009401D2"/>
    <w:rsid w:val="00940419"/>
    <w:rsid w:val="009407A0"/>
    <w:rsid w:val="00940A6D"/>
    <w:rsid w:val="00941018"/>
    <w:rsid w:val="00941096"/>
    <w:rsid w:val="0094163A"/>
    <w:rsid w:val="0094186B"/>
    <w:rsid w:val="00941D75"/>
    <w:rsid w:val="00942044"/>
    <w:rsid w:val="009425DC"/>
    <w:rsid w:val="009431C6"/>
    <w:rsid w:val="00943E2D"/>
    <w:rsid w:val="00943F43"/>
    <w:rsid w:val="00943FC6"/>
    <w:rsid w:val="00943FD1"/>
    <w:rsid w:val="009447DA"/>
    <w:rsid w:val="009449A2"/>
    <w:rsid w:val="00944D33"/>
    <w:rsid w:val="00944FBE"/>
    <w:rsid w:val="009452A3"/>
    <w:rsid w:val="009458F1"/>
    <w:rsid w:val="00945A2F"/>
    <w:rsid w:val="00946107"/>
    <w:rsid w:val="009462A4"/>
    <w:rsid w:val="0094664A"/>
    <w:rsid w:val="00946B2A"/>
    <w:rsid w:val="00946C4F"/>
    <w:rsid w:val="00946E70"/>
    <w:rsid w:val="00946EBE"/>
    <w:rsid w:val="00947101"/>
    <w:rsid w:val="009474CC"/>
    <w:rsid w:val="009474CF"/>
    <w:rsid w:val="00947639"/>
    <w:rsid w:val="00947752"/>
    <w:rsid w:val="00947A88"/>
    <w:rsid w:val="00947F69"/>
    <w:rsid w:val="00947F7E"/>
    <w:rsid w:val="00950184"/>
    <w:rsid w:val="00950202"/>
    <w:rsid w:val="009506E0"/>
    <w:rsid w:val="0095075A"/>
    <w:rsid w:val="009508EE"/>
    <w:rsid w:val="00951291"/>
    <w:rsid w:val="0095139D"/>
    <w:rsid w:val="00951881"/>
    <w:rsid w:val="00951CCD"/>
    <w:rsid w:val="00952187"/>
    <w:rsid w:val="00952379"/>
    <w:rsid w:val="00952D51"/>
    <w:rsid w:val="00952E5A"/>
    <w:rsid w:val="009535D5"/>
    <w:rsid w:val="009539F5"/>
    <w:rsid w:val="00953DBD"/>
    <w:rsid w:val="0095429A"/>
    <w:rsid w:val="00954361"/>
    <w:rsid w:val="00954542"/>
    <w:rsid w:val="009545C5"/>
    <w:rsid w:val="00954ACB"/>
    <w:rsid w:val="00954ED5"/>
    <w:rsid w:val="00955184"/>
    <w:rsid w:val="009551CB"/>
    <w:rsid w:val="00955944"/>
    <w:rsid w:val="00955A58"/>
    <w:rsid w:val="0095655B"/>
    <w:rsid w:val="00956A3D"/>
    <w:rsid w:val="00957150"/>
    <w:rsid w:val="00957157"/>
    <w:rsid w:val="009572DC"/>
    <w:rsid w:val="009573E4"/>
    <w:rsid w:val="00957599"/>
    <w:rsid w:val="009579D4"/>
    <w:rsid w:val="00957A2F"/>
    <w:rsid w:val="00957F74"/>
    <w:rsid w:val="00960544"/>
    <w:rsid w:val="00960C03"/>
    <w:rsid w:val="00961C2F"/>
    <w:rsid w:val="009621E9"/>
    <w:rsid w:val="0096250E"/>
    <w:rsid w:val="009626E7"/>
    <w:rsid w:val="00962751"/>
    <w:rsid w:val="00962EAF"/>
    <w:rsid w:val="00963030"/>
    <w:rsid w:val="0096361F"/>
    <w:rsid w:val="00963B57"/>
    <w:rsid w:val="009640C9"/>
    <w:rsid w:val="00964CB6"/>
    <w:rsid w:val="0096510B"/>
    <w:rsid w:val="0096526C"/>
    <w:rsid w:val="00965A72"/>
    <w:rsid w:val="00965E3C"/>
    <w:rsid w:val="00966059"/>
    <w:rsid w:val="009665A3"/>
    <w:rsid w:val="00966802"/>
    <w:rsid w:val="00966DD0"/>
    <w:rsid w:val="00967128"/>
    <w:rsid w:val="009676BE"/>
    <w:rsid w:val="009678B3"/>
    <w:rsid w:val="00967AA0"/>
    <w:rsid w:val="00967F95"/>
    <w:rsid w:val="00970378"/>
    <w:rsid w:val="00970412"/>
    <w:rsid w:val="00970423"/>
    <w:rsid w:val="009707B7"/>
    <w:rsid w:val="0097099F"/>
    <w:rsid w:val="00970B20"/>
    <w:rsid w:val="00970C74"/>
    <w:rsid w:val="00970E41"/>
    <w:rsid w:val="00971053"/>
    <w:rsid w:val="00971286"/>
    <w:rsid w:val="0097195E"/>
    <w:rsid w:val="00971C5B"/>
    <w:rsid w:val="00971FA1"/>
    <w:rsid w:val="0097269D"/>
    <w:rsid w:val="009726EE"/>
    <w:rsid w:val="00972796"/>
    <w:rsid w:val="00972ACE"/>
    <w:rsid w:val="00972BFB"/>
    <w:rsid w:val="00972DD3"/>
    <w:rsid w:val="00972E9E"/>
    <w:rsid w:val="00972F5C"/>
    <w:rsid w:val="00973258"/>
    <w:rsid w:val="0097361A"/>
    <w:rsid w:val="00973B99"/>
    <w:rsid w:val="00973EB1"/>
    <w:rsid w:val="00973F20"/>
    <w:rsid w:val="0097439D"/>
    <w:rsid w:val="009749C7"/>
    <w:rsid w:val="00974D6B"/>
    <w:rsid w:val="00975320"/>
    <w:rsid w:val="00975355"/>
    <w:rsid w:val="009756C7"/>
    <w:rsid w:val="0097594F"/>
    <w:rsid w:val="00975C48"/>
    <w:rsid w:val="00975E3F"/>
    <w:rsid w:val="00975E9A"/>
    <w:rsid w:val="00975F87"/>
    <w:rsid w:val="00975FCD"/>
    <w:rsid w:val="00976426"/>
    <w:rsid w:val="0097675F"/>
    <w:rsid w:val="009767FB"/>
    <w:rsid w:val="00976A56"/>
    <w:rsid w:val="00977478"/>
    <w:rsid w:val="00977DB3"/>
    <w:rsid w:val="00977DCE"/>
    <w:rsid w:val="00977E3A"/>
    <w:rsid w:val="00977FC2"/>
    <w:rsid w:val="0098073A"/>
    <w:rsid w:val="009808A4"/>
    <w:rsid w:val="00980E18"/>
    <w:rsid w:val="009810D6"/>
    <w:rsid w:val="00981416"/>
    <w:rsid w:val="009818AA"/>
    <w:rsid w:val="00981B2B"/>
    <w:rsid w:val="009824E8"/>
    <w:rsid w:val="0098276C"/>
    <w:rsid w:val="009827B0"/>
    <w:rsid w:val="009828BC"/>
    <w:rsid w:val="00982C8B"/>
    <w:rsid w:val="00982DE6"/>
    <w:rsid w:val="00983289"/>
    <w:rsid w:val="00983322"/>
    <w:rsid w:val="00983DBF"/>
    <w:rsid w:val="00983E97"/>
    <w:rsid w:val="0098430D"/>
    <w:rsid w:val="00984345"/>
    <w:rsid w:val="009843B2"/>
    <w:rsid w:val="00984490"/>
    <w:rsid w:val="009844FA"/>
    <w:rsid w:val="00984A0E"/>
    <w:rsid w:val="00984F12"/>
    <w:rsid w:val="0098513D"/>
    <w:rsid w:val="009851C7"/>
    <w:rsid w:val="009853BE"/>
    <w:rsid w:val="00985593"/>
    <w:rsid w:val="009857FE"/>
    <w:rsid w:val="00985889"/>
    <w:rsid w:val="00985A4F"/>
    <w:rsid w:val="00985BB6"/>
    <w:rsid w:val="00985BC6"/>
    <w:rsid w:val="00985C53"/>
    <w:rsid w:val="009863A5"/>
    <w:rsid w:val="0098673A"/>
    <w:rsid w:val="0098674C"/>
    <w:rsid w:val="00986D76"/>
    <w:rsid w:val="0098766A"/>
    <w:rsid w:val="00987687"/>
    <w:rsid w:val="009878FD"/>
    <w:rsid w:val="00987A27"/>
    <w:rsid w:val="00987B1A"/>
    <w:rsid w:val="00987D9F"/>
    <w:rsid w:val="00987DC9"/>
    <w:rsid w:val="00990265"/>
    <w:rsid w:val="009905BA"/>
    <w:rsid w:val="00990673"/>
    <w:rsid w:val="00990865"/>
    <w:rsid w:val="00991026"/>
    <w:rsid w:val="0099105F"/>
    <w:rsid w:val="00991C7E"/>
    <w:rsid w:val="00991F96"/>
    <w:rsid w:val="009920E2"/>
    <w:rsid w:val="00992129"/>
    <w:rsid w:val="0099239B"/>
    <w:rsid w:val="009924A8"/>
    <w:rsid w:val="00992607"/>
    <w:rsid w:val="0099265A"/>
    <w:rsid w:val="0099275B"/>
    <w:rsid w:val="00992D1A"/>
    <w:rsid w:val="009936C5"/>
    <w:rsid w:val="00993A26"/>
    <w:rsid w:val="00993A71"/>
    <w:rsid w:val="00993B2F"/>
    <w:rsid w:val="00993FDE"/>
    <w:rsid w:val="00994184"/>
    <w:rsid w:val="0099505D"/>
    <w:rsid w:val="00995183"/>
    <w:rsid w:val="00995611"/>
    <w:rsid w:val="0099594F"/>
    <w:rsid w:val="00995967"/>
    <w:rsid w:val="00995D96"/>
    <w:rsid w:val="00995FC5"/>
    <w:rsid w:val="00996250"/>
    <w:rsid w:val="00996268"/>
    <w:rsid w:val="00996338"/>
    <w:rsid w:val="0099685C"/>
    <w:rsid w:val="009968A6"/>
    <w:rsid w:val="00996F54"/>
    <w:rsid w:val="00997210"/>
    <w:rsid w:val="009972BB"/>
    <w:rsid w:val="00997506"/>
    <w:rsid w:val="0099788F"/>
    <w:rsid w:val="00997BDA"/>
    <w:rsid w:val="009A02C3"/>
    <w:rsid w:val="009A049A"/>
    <w:rsid w:val="009A0528"/>
    <w:rsid w:val="009A0533"/>
    <w:rsid w:val="009A0BDA"/>
    <w:rsid w:val="009A0C5C"/>
    <w:rsid w:val="009A0DFB"/>
    <w:rsid w:val="009A1651"/>
    <w:rsid w:val="009A168B"/>
    <w:rsid w:val="009A1804"/>
    <w:rsid w:val="009A1CF0"/>
    <w:rsid w:val="009A258D"/>
    <w:rsid w:val="009A26A6"/>
    <w:rsid w:val="009A2B55"/>
    <w:rsid w:val="009A2BE2"/>
    <w:rsid w:val="009A2C5B"/>
    <w:rsid w:val="009A2D13"/>
    <w:rsid w:val="009A30F1"/>
    <w:rsid w:val="009A3272"/>
    <w:rsid w:val="009A32BE"/>
    <w:rsid w:val="009A344D"/>
    <w:rsid w:val="009A3BB1"/>
    <w:rsid w:val="009A3D5C"/>
    <w:rsid w:val="009A4852"/>
    <w:rsid w:val="009A49ED"/>
    <w:rsid w:val="009A4C9C"/>
    <w:rsid w:val="009A4CB1"/>
    <w:rsid w:val="009A4D5D"/>
    <w:rsid w:val="009A4DA1"/>
    <w:rsid w:val="009A545B"/>
    <w:rsid w:val="009A57FB"/>
    <w:rsid w:val="009A5F6D"/>
    <w:rsid w:val="009A622E"/>
    <w:rsid w:val="009A660F"/>
    <w:rsid w:val="009A6749"/>
    <w:rsid w:val="009A6767"/>
    <w:rsid w:val="009A679E"/>
    <w:rsid w:val="009A6CB5"/>
    <w:rsid w:val="009A753C"/>
    <w:rsid w:val="009A7548"/>
    <w:rsid w:val="009A7A9E"/>
    <w:rsid w:val="009B027D"/>
    <w:rsid w:val="009B0444"/>
    <w:rsid w:val="009B06A8"/>
    <w:rsid w:val="009B0780"/>
    <w:rsid w:val="009B07E8"/>
    <w:rsid w:val="009B089D"/>
    <w:rsid w:val="009B09BE"/>
    <w:rsid w:val="009B0FBB"/>
    <w:rsid w:val="009B0FFC"/>
    <w:rsid w:val="009B118B"/>
    <w:rsid w:val="009B1388"/>
    <w:rsid w:val="009B13DB"/>
    <w:rsid w:val="009B1478"/>
    <w:rsid w:val="009B14BB"/>
    <w:rsid w:val="009B157E"/>
    <w:rsid w:val="009B1A1C"/>
    <w:rsid w:val="009B202C"/>
    <w:rsid w:val="009B2140"/>
    <w:rsid w:val="009B2159"/>
    <w:rsid w:val="009B27F8"/>
    <w:rsid w:val="009B2914"/>
    <w:rsid w:val="009B29D9"/>
    <w:rsid w:val="009B29EF"/>
    <w:rsid w:val="009B30CC"/>
    <w:rsid w:val="009B3B13"/>
    <w:rsid w:val="009B4062"/>
    <w:rsid w:val="009B4431"/>
    <w:rsid w:val="009B4476"/>
    <w:rsid w:val="009B49C4"/>
    <w:rsid w:val="009B4F82"/>
    <w:rsid w:val="009B4FB9"/>
    <w:rsid w:val="009B5499"/>
    <w:rsid w:val="009B5677"/>
    <w:rsid w:val="009B56FB"/>
    <w:rsid w:val="009B570A"/>
    <w:rsid w:val="009B58D2"/>
    <w:rsid w:val="009B5937"/>
    <w:rsid w:val="009B5B6F"/>
    <w:rsid w:val="009B5C31"/>
    <w:rsid w:val="009B5C4F"/>
    <w:rsid w:val="009B6254"/>
    <w:rsid w:val="009B63FE"/>
    <w:rsid w:val="009B6484"/>
    <w:rsid w:val="009B6524"/>
    <w:rsid w:val="009B65D8"/>
    <w:rsid w:val="009B68DD"/>
    <w:rsid w:val="009B6BA0"/>
    <w:rsid w:val="009B6C18"/>
    <w:rsid w:val="009B7235"/>
    <w:rsid w:val="009B7263"/>
    <w:rsid w:val="009B7413"/>
    <w:rsid w:val="009B7617"/>
    <w:rsid w:val="009B7684"/>
    <w:rsid w:val="009B76D3"/>
    <w:rsid w:val="009B78DD"/>
    <w:rsid w:val="009B7EC4"/>
    <w:rsid w:val="009B7F4A"/>
    <w:rsid w:val="009C0535"/>
    <w:rsid w:val="009C06BA"/>
    <w:rsid w:val="009C0899"/>
    <w:rsid w:val="009C09C7"/>
    <w:rsid w:val="009C0B67"/>
    <w:rsid w:val="009C1619"/>
    <w:rsid w:val="009C1B27"/>
    <w:rsid w:val="009C24AF"/>
    <w:rsid w:val="009C25E6"/>
    <w:rsid w:val="009C2767"/>
    <w:rsid w:val="009C2770"/>
    <w:rsid w:val="009C2804"/>
    <w:rsid w:val="009C28B9"/>
    <w:rsid w:val="009C2924"/>
    <w:rsid w:val="009C2BBC"/>
    <w:rsid w:val="009C2D6A"/>
    <w:rsid w:val="009C3A6E"/>
    <w:rsid w:val="009C3B7B"/>
    <w:rsid w:val="009C3F2B"/>
    <w:rsid w:val="009C4A59"/>
    <w:rsid w:val="009C50EC"/>
    <w:rsid w:val="009C56C5"/>
    <w:rsid w:val="009C5720"/>
    <w:rsid w:val="009C5B48"/>
    <w:rsid w:val="009C62ED"/>
    <w:rsid w:val="009C703F"/>
    <w:rsid w:val="009C741E"/>
    <w:rsid w:val="009C7649"/>
    <w:rsid w:val="009C7776"/>
    <w:rsid w:val="009C7AC0"/>
    <w:rsid w:val="009C7F6C"/>
    <w:rsid w:val="009D00C3"/>
    <w:rsid w:val="009D02D7"/>
    <w:rsid w:val="009D039B"/>
    <w:rsid w:val="009D0626"/>
    <w:rsid w:val="009D0715"/>
    <w:rsid w:val="009D0C39"/>
    <w:rsid w:val="009D129F"/>
    <w:rsid w:val="009D13F1"/>
    <w:rsid w:val="009D1D75"/>
    <w:rsid w:val="009D1DEE"/>
    <w:rsid w:val="009D2065"/>
    <w:rsid w:val="009D2192"/>
    <w:rsid w:val="009D21F5"/>
    <w:rsid w:val="009D226F"/>
    <w:rsid w:val="009D227D"/>
    <w:rsid w:val="009D233C"/>
    <w:rsid w:val="009D234E"/>
    <w:rsid w:val="009D236D"/>
    <w:rsid w:val="009D2696"/>
    <w:rsid w:val="009D2843"/>
    <w:rsid w:val="009D2BA9"/>
    <w:rsid w:val="009D2D32"/>
    <w:rsid w:val="009D332C"/>
    <w:rsid w:val="009D34C3"/>
    <w:rsid w:val="009D38BD"/>
    <w:rsid w:val="009D3B6C"/>
    <w:rsid w:val="009D3D0F"/>
    <w:rsid w:val="009D3D88"/>
    <w:rsid w:val="009D4519"/>
    <w:rsid w:val="009D482F"/>
    <w:rsid w:val="009D4BBF"/>
    <w:rsid w:val="009D4DA9"/>
    <w:rsid w:val="009D5655"/>
    <w:rsid w:val="009D5705"/>
    <w:rsid w:val="009D5887"/>
    <w:rsid w:val="009D5C09"/>
    <w:rsid w:val="009D5C21"/>
    <w:rsid w:val="009D6E9A"/>
    <w:rsid w:val="009D708B"/>
    <w:rsid w:val="009D7886"/>
    <w:rsid w:val="009D7A07"/>
    <w:rsid w:val="009D7FD5"/>
    <w:rsid w:val="009E00FB"/>
    <w:rsid w:val="009E0590"/>
    <w:rsid w:val="009E05A7"/>
    <w:rsid w:val="009E0617"/>
    <w:rsid w:val="009E0A58"/>
    <w:rsid w:val="009E1094"/>
    <w:rsid w:val="009E16E9"/>
    <w:rsid w:val="009E1BD8"/>
    <w:rsid w:val="009E1C2E"/>
    <w:rsid w:val="009E2183"/>
    <w:rsid w:val="009E22F6"/>
    <w:rsid w:val="009E2342"/>
    <w:rsid w:val="009E23EE"/>
    <w:rsid w:val="009E24D1"/>
    <w:rsid w:val="009E25EC"/>
    <w:rsid w:val="009E2BFF"/>
    <w:rsid w:val="009E2EB3"/>
    <w:rsid w:val="009E2ECE"/>
    <w:rsid w:val="009E319C"/>
    <w:rsid w:val="009E3282"/>
    <w:rsid w:val="009E351E"/>
    <w:rsid w:val="009E3C17"/>
    <w:rsid w:val="009E41AC"/>
    <w:rsid w:val="009E45E7"/>
    <w:rsid w:val="009E4917"/>
    <w:rsid w:val="009E4AFF"/>
    <w:rsid w:val="009E4F5A"/>
    <w:rsid w:val="009E5058"/>
    <w:rsid w:val="009E51C0"/>
    <w:rsid w:val="009E54BF"/>
    <w:rsid w:val="009E55DE"/>
    <w:rsid w:val="009E57C6"/>
    <w:rsid w:val="009E5A6A"/>
    <w:rsid w:val="009E5F09"/>
    <w:rsid w:val="009E62B5"/>
    <w:rsid w:val="009E64BA"/>
    <w:rsid w:val="009E68DB"/>
    <w:rsid w:val="009E6D2E"/>
    <w:rsid w:val="009E6DE9"/>
    <w:rsid w:val="009E6DFC"/>
    <w:rsid w:val="009E6F7F"/>
    <w:rsid w:val="009E72F7"/>
    <w:rsid w:val="009E73F9"/>
    <w:rsid w:val="009E766B"/>
    <w:rsid w:val="009E76C6"/>
    <w:rsid w:val="009E7B4B"/>
    <w:rsid w:val="009E7BEE"/>
    <w:rsid w:val="009E7DAA"/>
    <w:rsid w:val="009E7EB2"/>
    <w:rsid w:val="009F0224"/>
    <w:rsid w:val="009F02A4"/>
    <w:rsid w:val="009F048F"/>
    <w:rsid w:val="009F07FB"/>
    <w:rsid w:val="009F0957"/>
    <w:rsid w:val="009F0CB6"/>
    <w:rsid w:val="009F0DA2"/>
    <w:rsid w:val="009F124E"/>
    <w:rsid w:val="009F12D0"/>
    <w:rsid w:val="009F1697"/>
    <w:rsid w:val="009F16F6"/>
    <w:rsid w:val="009F170B"/>
    <w:rsid w:val="009F1776"/>
    <w:rsid w:val="009F1A25"/>
    <w:rsid w:val="009F1A38"/>
    <w:rsid w:val="009F1F1F"/>
    <w:rsid w:val="009F1F42"/>
    <w:rsid w:val="009F2091"/>
    <w:rsid w:val="009F2253"/>
    <w:rsid w:val="009F2328"/>
    <w:rsid w:val="009F268C"/>
    <w:rsid w:val="009F346E"/>
    <w:rsid w:val="009F3826"/>
    <w:rsid w:val="009F38E5"/>
    <w:rsid w:val="009F39AE"/>
    <w:rsid w:val="009F3B1C"/>
    <w:rsid w:val="009F3B7E"/>
    <w:rsid w:val="009F3D13"/>
    <w:rsid w:val="009F3FC1"/>
    <w:rsid w:val="009F4250"/>
    <w:rsid w:val="009F46AF"/>
    <w:rsid w:val="009F482F"/>
    <w:rsid w:val="009F4A6E"/>
    <w:rsid w:val="009F4B97"/>
    <w:rsid w:val="009F4BD8"/>
    <w:rsid w:val="009F4ED2"/>
    <w:rsid w:val="009F521B"/>
    <w:rsid w:val="009F54A0"/>
    <w:rsid w:val="009F55AF"/>
    <w:rsid w:val="009F561F"/>
    <w:rsid w:val="009F570B"/>
    <w:rsid w:val="009F5996"/>
    <w:rsid w:val="009F5B60"/>
    <w:rsid w:val="009F5DAB"/>
    <w:rsid w:val="009F5E5F"/>
    <w:rsid w:val="009F7019"/>
    <w:rsid w:val="009F7284"/>
    <w:rsid w:val="009F7346"/>
    <w:rsid w:val="009F74F2"/>
    <w:rsid w:val="009F763E"/>
    <w:rsid w:val="009F7905"/>
    <w:rsid w:val="009F797D"/>
    <w:rsid w:val="009F7DD7"/>
    <w:rsid w:val="009F7E49"/>
    <w:rsid w:val="009F7EA2"/>
    <w:rsid w:val="009F7EDF"/>
    <w:rsid w:val="00A005CB"/>
    <w:rsid w:val="00A00E6D"/>
    <w:rsid w:val="00A01937"/>
    <w:rsid w:val="00A01D18"/>
    <w:rsid w:val="00A02D39"/>
    <w:rsid w:val="00A030D6"/>
    <w:rsid w:val="00A03322"/>
    <w:rsid w:val="00A03417"/>
    <w:rsid w:val="00A03B47"/>
    <w:rsid w:val="00A03BE5"/>
    <w:rsid w:val="00A03CBE"/>
    <w:rsid w:val="00A03D8C"/>
    <w:rsid w:val="00A03E36"/>
    <w:rsid w:val="00A040A0"/>
    <w:rsid w:val="00A045AD"/>
    <w:rsid w:val="00A05693"/>
    <w:rsid w:val="00A05B13"/>
    <w:rsid w:val="00A05B56"/>
    <w:rsid w:val="00A05F98"/>
    <w:rsid w:val="00A05FCF"/>
    <w:rsid w:val="00A064F3"/>
    <w:rsid w:val="00A065E6"/>
    <w:rsid w:val="00A0665A"/>
    <w:rsid w:val="00A06B65"/>
    <w:rsid w:val="00A06F01"/>
    <w:rsid w:val="00A071B2"/>
    <w:rsid w:val="00A07477"/>
    <w:rsid w:val="00A07B33"/>
    <w:rsid w:val="00A10190"/>
    <w:rsid w:val="00A102F7"/>
    <w:rsid w:val="00A10635"/>
    <w:rsid w:val="00A10644"/>
    <w:rsid w:val="00A1066C"/>
    <w:rsid w:val="00A10BFE"/>
    <w:rsid w:val="00A10F11"/>
    <w:rsid w:val="00A112DF"/>
    <w:rsid w:val="00A11BD2"/>
    <w:rsid w:val="00A12257"/>
    <w:rsid w:val="00A1226D"/>
    <w:rsid w:val="00A12645"/>
    <w:rsid w:val="00A12955"/>
    <w:rsid w:val="00A13045"/>
    <w:rsid w:val="00A13360"/>
    <w:rsid w:val="00A13847"/>
    <w:rsid w:val="00A13C4A"/>
    <w:rsid w:val="00A13D00"/>
    <w:rsid w:val="00A13FAD"/>
    <w:rsid w:val="00A1488C"/>
    <w:rsid w:val="00A14909"/>
    <w:rsid w:val="00A149F0"/>
    <w:rsid w:val="00A151A1"/>
    <w:rsid w:val="00A15416"/>
    <w:rsid w:val="00A15455"/>
    <w:rsid w:val="00A158CA"/>
    <w:rsid w:val="00A15B4D"/>
    <w:rsid w:val="00A15CEB"/>
    <w:rsid w:val="00A15D9E"/>
    <w:rsid w:val="00A15E3C"/>
    <w:rsid w:val="00A15EDC"/>
    <w:rsid w:val="00A15F35"/>
    <w:rsid w:val="00A166E1"/>
    <w:rsid w:val="00A16920"/>
    <w:rsid w:val="00A16D40"/>
    <w:rsid w:val="00A16D54"/>
    <w:rsid w:val="00A16E0B"/>
    <w:rsid w:val="00A1715E"/>
    <w:rsid w:val="00A1750D"/>
    <w:rsid w:val="00A17B31"/>
    <w:rsid w:val="00A20378"/>
    <w:rsid w:val="00A203A2"/>
    <w:rsid w:val="00A20A44"/>
    <w:rsid w:val="00A20C7A"/>
    <w:rsid w:val="00A20D9A"/>
    <w:rsid w:val="00A2121D"/>
    <w:rsid w:val="00A21384"/>
    <w:rsid w:val="00A216A1"/>
    <w:rsid w:val="00A21785"/>
    <w:rsid w:val="00A21A7B"/>
    <w:rsid w:val="00A21ABA"/>
    <w:rsid w:val="00A2275D"/>
    <w:rsid w:val="00A22AF5"/>
    <w:rsid w:val="00A231B2"/>
    <w:rsid w:val="00A232BB"/>
    <w:rsid w:val="00A2370B"/>
    <w:rsid w:val="00A23753"/>
    <w:rsid w:val="00A23CD4"/>
    <w:rsid w:val="00A23D50"/>
    <w:rsid w:val="00A24DDC"/>
    <w:rsid w:val="00A24E43"/>
    <w:rsid w:val="00A2533A"/>
    <w:rsid w:val="00A254B9"/>
    <w:rsid w:val="00A25FDA"/>
    <w:rsid w:val="00A2624D"/>
    <w:rsid w:val="00A263DD"/>
    <w:rsid w:val="00A26567"/>
    <w:rsid w:val="00A2661A"/>
    <w:rsid w:val="00A26AB4"/>
    <w:rsid w:val="00A26B6A"/>
    <w:rsid w:val="00A26D09"/>
    <w:rsid w:val="00A2730D"/>
    <w:rsid w:val="00A27FF5"/>
    <w:rsid w:val="00A30937"/>
    <w:rsid w:val="00A30993"/>
    <w:rsid w:val="00A30AD8"/>
    <w:rsid w:val="00A31A6E"/>
    <w:rsid w:val="00A31E44"/>
    <w:rsid w:val="00A3206A"/>
    <w:rsid w:val="00A32177"/>
    <w:rsid w:val="00A32187"/>
    <w:rsid w:val="00A321B7"/>
    <w:rsid w:val="00A32635"/>
    <w:rsid w:val="00A32720"/>
    <w:rsid w:val="00A32A82"/>
    <w:rsid w:val="00A32C9E"/>
    <w:rsid w:val="00A336DF"/>
    <w:rsid w:val="00A33A0E"/>
    <w:rsid w:val="00A33AB8"/>
    <w:rsid w:val="00A33E59"/>
    <w:rsid w:val="00A33F6A"/>
    <w:rsid w:val="00A34203"/>
    <w:rsid w:val="00A3432B"/>
    <w:rsid w:val="00A343E7"/>
    <w:rsid w:val="00A3487E"/>
    <w:rsid w:val="00A34E67"/>
    <w:rsid w:val="00A35136"/>
    <w:rsid w:val="00A352C6"/>
    <w:rsid w:val="00A3567E"/>
    <w:rsid w:val="00A357A2"/>
    <w:rsid w:val="00A35910"/>
    <w:rsid w:val="00A35B9E"/>
    <w:rsid w:val="00A363C0"/>
    <w:rsid w:val="00A36AF5"/>
    <w:rsid w:val="00A36E95"/>
    <w:rsid w:val="00A37299"/>
    <w:rsid w:val="00A379BC"/>
    <w:rsid w:val="00A37D4E"/>
    <w:rsid w:val="00A37DA6"/>
    <w:rsid w:val="00A37DD8"/>
    <w:rsid w:val="00A37FCC"/>
    <w:rsid w:val="00A40139"/>
    <w:rsid w:val="00A4042C"/>
    <w:rsid w:val="00A40431"/>
    <w:rsid w:val="00A40528"/>
    <w:rsid w:val="00A40A1C"/>
    <w:rsid w:val="00A40B86"/>
    <w:rsid w:val="00A40C79"/>
    <w:rsid w:val="00A40CF4"/>
    <w:rsid w:val="00A40F93"/>
    <w:rsid w:val="00A4113B"/>
    <w:rsid w:val="00A413CB"/>
    <w:rsid w:val="00A4178C"/>
    <w:rsid w:val="00A4183C"/>
    <w:rsid w:val="00A418E2"/>
    <w:rsid w:val="00A41CF4"/>
    <w:rsid w:val="00A41DFF"/>
    <w:rsid w:val="00A41FC2"/>
    <w:rsid w:val="00A42028"/>
    <w:rsid w:val="00A428A6"/>
    <w:rsid w:val="00A429A4"/>
    <w:rsid w:val="00A42A2E"/>
    <w:rsid w:val="00A42CD1"/>
    <w:rsid w:val="00A42FFA"/>
    <w:rsid w:val="00A43028"/>
    <w:rsid w:val="00A4325E"/>
    <w:rsid w:val="00A4341C"/>
    <w:rsid w:val="00A43A8A"/>
    <w:rsid w:val="00A44012"/>
    <w:rsid w:val="00A4481E"/>
    <w:rsid w:val="00A44CAD"/>
    <w:rsid w:val="00A44F57"/>
    <w:rsid w:val="00A44FC8"/>
    <w:rsid w:val="00A45216"/>
    <w:rsid w:val="00A4568F"/>
    <w:rsid w:val="00A4587F"/>
    <w:rsid w:val="00A45918"/>
    <w:rsid w:val="00A45B3F"/>
    <w:rsid w:val="00A45B6C"/>
    <w:rsid w:val="00A461DA"/>
    <w:rsid w:val="00A46466"/>
    <w:rsid w:val="00A46606"/>
    <w:rsid w:val="00A46CDD"/>
    <w:rsid w:val="00A46DC3"/>
    <w:rsid w:val="00A4756D"/>
    <w:rsid w:val="00A47DC9"/>
    <w:rsid w:val="00A505FA"/>
    <w:rsid w:val="00A50689"/>
    <w:rsid w:val="00A5074C"/>
    <w:rsid w:val="00A50833"/>
    <w:rsid w:val="00A509E6"/>
    <w:rsid w:val="00A50C8D"/>
    <w:rsid w:val="00A50EAF"/>
    <w:rsid w:val="00A5113D"/>
    <w:rsid w:val="00A5168F"/>
    <w:rsid w:val="00A51822"/>
    <w:rsid w:val="00A5205D"/>
    <w:rsid w:val="00A521D3"/>
    <w:rsid w:val="00A52D41"/>
    <w:rsid w:val="00A53024"/>
    <w:rsid w:val="00A53485"/>
    <w:rsid w:val="00A535D8"/>
    <w:rsid w:val="00A53A98"/>
    <w:rsid w:val="00A53CEF"/>
    <w:rsid w:val="00A53D55"/>
    <w:rsid w:val="00A54547"/>
    <w:rsid w:val="00A54FBF"/>
    <w:rsid w:val="00A55355"/>
    <w:rsid w:val="00A553A8"/>
    <w:rsid w:val="00A5574C"/>
    <w:rsid w:val="00A561B0"/>
    <w:rsid w:val="00A5640E"/>
    <w:rsid w:val="00A56D1C"/>
    <w:rsid w:val="00A56DF7"/>
    <w:rsid w:val="00A573E8"/>
    <w:rsid w:val="00A5747F"/>
    <w:rsid w:val="00A576F6"/>
    <w:rsid w:val="00A57F7A"/>
    <w:rsid w:val="00A6023F"/>
    <w:rsid w:val="00A60569"/>
    <w:rsid w:val="00A60860"/>
    <w:rsid w:val="00A60943"/>
    <w:rsid w:val="00A60CCB"/>
    <w:rsid w:val="00A60D00"/>
    <w:rsid w:val="00A60FB9"/>
    <w:rsid w:val="00A610A8"/>
    <w:rsid w:val="00A617AF"/>
    <w:rsid w:val="00A61833"/>
    <w:rsid w:val="00A61CD5"/>
    <w:rsid w:val="00A61DFD"/>
    <w:rsid w:val="00A62006"/>
    <w:rsid w:val="00A62050"/>
    <w:rsid w:val="00A621EB"/>
    <w:rsid w:val="00A62515"/>
    <w:rsid w:val="00A6296C"/>
    <w:rsid w:val="00A63782"/>
    <w:rsid w:val="00A6384A"/>
    <w:rsid w:val="00A63BA4"/>
    <w:rsid w:val="00A63D16"/>
    <w:rsid w:val="00A63D46"/>
    <w:rsid w:val="00A63FE3"/>
    <w:rsid w:val="00A6409B"/>
    <w:rsid w:val="00A6463E"/>
    <w:rsid w:val="00A64AF4"/>
    <w:rsid w:val="00A64C93"/>
    <w:rsid w:val="00A64E14"/>
    <w:rsid w:val="00A64E6E"/>
    <w:rsid w:val="00A65076"/>
    <w:rsid w:val="00A65175"/>
    <w:rsid w:val="00A651A1"/>
    <w:rsid w:val="00A654E2"/>
    <w:rsid w:val="00A65730"/>
    <w:rsid w:val="00A65C63"/>
    <w:rsid w:val="00A65CAB"/>
    <w:rsid w:val="00A660FA"/>
    <w:rsid w:val="00A66443"/>
    <w:rsid w:val="00A665BE"/>
    <w:rsid w:val="00A66A3E"/>
    <w:rsid w:val="00A66AA4"/>
    <w:rsid w:val="00A66B67"/>
    <w:rsid w:val="00A66BE1"/>
    <w:rsid w:val="00A66BE8"/>
    <w:rsid w:val="00A66F3F"/>
    <w:rsid w:val="00A671CF"/>
    <w:rsid w:val="00A678FC"/>
    <w:rsid w:val="00A7021C"/>
    <w:rsid w:val="00A702A7"/>
    <w:rsid w:val="00A70367"/>
    <w:rsid w:val="00A7104D"/>
    <w:rsid w:val="00A7161C"/>
    <w:rsid w:val="00A719ED"/>
    <w:rsid w:val="00A71B8D"/>
    <w:rsid w:val="00A71CB1"/>
    <w:rsid w:val="00A71DAB"/>
    <w:rsid w:val="00A72648"/>
    <w:rsid w:val="00A72BEE"/>
    <w:rsid w:val="00A72BFA"/>
    <w:rsid w:val="00A73262"/>
    <w:rsid w:val="00A738C9"/>
    <w:rsid w:val="00A73A05"/>
    <w:rsid w:val="00A73B5D"/>
    <w:rsid w:val="00A73C23"/>
    <w:rsid w:val="00A73C83"/>
    <w:rsid w:val="00A73EE8"/>
    <w:rsid w:val="00A74058"/>
    <w:rsid w:val="00A7443E"/>
    <w:rsid w:val="00A7494F"/>
    <w:rsid w:val="00A74FD0"/>
    <w:rsid w:val="00A75071"/>
    <w:rsid w:val="00A751E9"/>
    <w:rsid w:val="00A7560E"/>
    <w:rsid w:val="00A75C77"/>
    <w:rsid w:val="00A75D05"/>
    <w:rsid w:val="00A75EDE"/>
    <w:rsid w:val="00A764EC"/>
    <w:rsid w:val="00A766D3"/>
    <w:rsid w:val="00A76A53"/>
    <w:rsid w:val="00A76C3E"/>
    <w:rsid w:val="00A77100"/>
    <w:rsid w:val="00A775B4"/>
    <w:rsid w:val="00A775E6"/>
    <w:rsid w:val="00A80744"/>
    <w:rsid w:val="00A8099C"/>
    <w:rsid w:val="00A80C4A"/>
    <w:rsid w:val="00A80E8E"/>
    <w:rsid w:val="00A81129"/>
    <w:rsid w:val="00A815E3"/>
    <w:rsid w:val="00A81865"/>
    <w:rsid w:val="00A81B4E"/>
    <w:rsid w:val="00A82355"/>
    <w:rsid w:val="00A82ACA"/>
    <w:rsid w:val="00A82DC7"/>
    <w:rsid w:val="00A82E1F"/>
    <w:rsid w:val="00A82F8D"/>
    <w:rsid w:val="00A8304E"/>
    <w:rsid w:val="00A83496"/>
    <w:rsid w:val="00A83707"/>
    <w:rsid w:val="00A839FE"/>
    <w:rsid w:val="00A83C42"/>
    <w:rsid w:val="00A83DE0"/>
    <w:rsid w:val="00A83EA0"/>
    <w:rsid w:val="00A83F80"/>
    <w:rsid w:val="00A8436F"/>
    <w:rsid w:val="00A847D8"/>
    <w:rsid w:val="00A84C1F"/>
    <w:rsid w:val="00A84C3B"/>
    <w:rsid w:val="00A84F69"/>
    <w:rsid w:val="00A8525D"/>
    <w:rsid w:val="00A85717"/>
    <w:rsid w:val="00A85977"/>
    <w:rsid w:val="00A859D6"/>
    <w:rsid w:val="00A85BFA"/>
    <w:rsid w:val="00A860DE"/>
    <w:rsid w:val="00A86987"/>
    <w:rsid w:val="00A86C21"/>
    <w:rsid w:val="00A86F00"/>
    <w:rsid w:val="00A873CF"/>
    <w:rsid w:val="00A8776E"/>
    <w:rsid w:val="00A879D8"/>
    <w:rsid w:val="00A87AD1"/>
    <w:rsid w:val="00A87F9B"/>
    <w:rsid w:val="00A90104"/>
    <w:rsid w:val="00A90174"/>
    <w:rsid w:val="00A90236"/>
    <w:rsid w:val="00A90325"/>
    <w:rsid w:val="00A9047C"/>
    <w:rsid w:val="00A90787"/>
    <w:rsid w:val="00A90A87"/>
    <w:rsid w:val="00A90EB2"/>
    <w:rsid w:val="00A91049"/>
    <w:rsid w:val="00A913B4"/>
    <w:rsid w:val="00A91908"/>
    <w:rsid w:val="00A9198F"/>
    <w:rsid w:val="00A91A1B"/>
    <w:rsid w:val="00A91A64"/>
    <w:rsid w:val="00A91A6E"/>
    <w:rsid w:val="00A91C59"/>
    <w:rsid w:val="00A91FD4"/>
    <w:rsid w:val="00A927F3"/>
    <w:rsid w:val="00A9283B"/>
    <w:rsid w:val="00A929D9"/>
    <w:rsid w:val="00A92B1F"/>
    <w:rsid w:val="00A92D20"/>
    <w:rsid w:val="00A9379D"/>
    <w:rsid w:val="00A93C50"/>
    <w:rsid w:val="00A93D31"/>
    <w:rsid w:val="00A94332"/>
    <w:rsid w:val="00A943B2"/>
    <w:rsid w:val="00A944D8"/>
    <w:rsid w:val="00A94B7B"/>
    <w:rsid w:val="00A95647"/>
    <w:rsid w:val="00A95D51"/>
    <w:rsid w:val="00A95FA0"/>
    <w:rsid w:val="00A963BA"/>
    <w:rsid w:val="00A96556"/>
    <w:rsid w:val="00A969C3"/>
    <w:rsid w:val="00A96E35"/>
    <w:rsid w:val="00A96EB0"/>
    <w:rsid w:val="00A96F55"/>
    <w:rsid w:val="00A96FC2"/>
    <w:rsid w:val="00A973F2"/>
    <w:rsid w:val="00A97535"/>
    <w:rsid w:val="00A979B5"/>
    <w:rsid w:val="00A97BFC"/>
    <w:rsid w:val="00A97EB8"/>
    <w:rsid w:val="00AA03B7"/>
    <w:rsid w:val="00AA07C4"/>
    <w:rsid w:val="00AA0CA0"/>
    <w:rsid w:val="00AA0F28"/>
    <w:rsid w:val="00AA14FA"/>
    <w:rsid w:val="00AA1CAB"/>
    <w:rsid w:val="00AA2186"/>
    <w:rsid w:val="00AA21E0"/>
    <w:rsid w:val="00AA21FD"/>
    <w:rsid w:val="00AA2C34"/>
    <w:rsid w:val="00AA2D2C"/>
    <w:rsid w:val="00AA2FE1"/>
    <w:rsid w:val="00AA3063"/>
    <w:rsid w:val="00AA32D6"/>
    <w:rsid w:val="00AA33B3"/>
    <w:rsid w:val="00AA360E"/>
    <w:rsid w:val="00AA3B73"/>
    <w:rsid w:val="00AA3C28"/>
    <w:rsid w:val="00AA3CB5"/>
    <w:rsid w:val="00AA46DA"/>
    <w:rsid w:val="00AA4794"/>
    <w:rsid w:val="00AA4BA0"/>
    <w:rsid w:val="00AA4F79"/>
    <w:rsid w:val="00AA51AE"/>
    <w:rsid w:val="00AA5204"/>
    <w:rsid w:val="00AA5A26"/>
    <w:rsid w:val="00AA5A9E"/>
    <w:rsid w:val="00AA6B3D"/>
    <w:rsid w:val="00AA782E"/>
    <w:rsid w:val="00AA7887"/>
    <w:rsid w:val="00AA7D1C"/>
    <w:rsid w:val="00AB057D"/>
    <w:rsid w:val="00AB090B"/>
    <w:rsid w:val="00AB0A61"/>
    <w:rsid w:val="00AB0CA3"/>
    <w:rsid w:val="00AB0E6F"/>
    <w:rsid w:val="00AB0EA3"/>
    <w:rsid w:val="00AB11B3"/>
    <w:rsid w:val="00AB1203"/>
    <w:rsid w:val="00AB16C8"/>
    <w:rsid w:val="00AB171F"/>
    <w:rsid w:val="00AB17F0"/>
    <w:rsid w:val="00AB1CAC"/>
    <w:rsid w:val="00AB1E86"/>
    <w:rsid w:val="00AB20A4"/>
    <w:rsid w:val="00AB26F6"/>
    <w:rsid w:val="00AB28DD"/>
    <w:rsid w:val="00AB2E04"/>
    <w:rsid w:val="00AB3FA5"/>
    <w:rsid w:val="00AB41E7"/>
    <w:rsid w:val="00AB45B7"/>
    <w:rsid w:val="00AB4A94"/>
    <w:rsid w:val="00AB4C8D"/>
    <w:rsid w:val="00AB4D4F"/>
    <w:rsid w:val="00AB4F11"/>
    <w:rsid w:val="00AB4F34"/>
    <w:rsid w:val="00AB4FB8"/>
    <w:rsid w:val="00AB5017"/>
    <w:rsid w:val="00AB516E"/>
    <w:rsid w:val="00AB57A9"/>
    <w:rsid w:val="00AB5AA9"/>
    <w:rsid w:val="00AB6122"/>
    <w:rsid w:val="00AB6249"/>
    <w:rsid w:val="00AB6252"/>
    <w:rsid w:val="00AB6283"/>
    <w:rsid w:val="00AB6304"/>
    <w:rsid w:val="00AB69A8"/>
    <w:rsid w:val="00AB6AB4"/>
    <w:rsid w:val="00AB701E"/>
    <w:rsid w:val="00AB71EF"/>
    <w:rsid w:val="00AB7665"/>
    <w:rsid w:val="00AB7AAE"/>
    <w:rsid w:val="00AB7F0B"/>
    <w:rsid w:val="00AB7F57"/>
    <w:rsid w:val="00AC09D7"/>
    <w:rsid w:val="00AC0AD1"/>
    <w:rsid w:val="00AC0C68"/>
    <w:rsid w:val="00AC10AB"/>
    <w:rsid w:val="00AC1359"/>
    <w:rsid w:val="00AC1708"/>
    <w:rsid w:val="00AC1A4B"/>
    <w:rsid w:val="00AC1B63"/>
    <w:rsid w:val="00AC1BE7"/>
    <w:rsid w:val="00AC1CF8"/>
    <w:rsid w:val="00AC1E0E"/>
    <w:rsid w:val="00AC2011"/>
    <w:rsid w:val="00AC20D1"/>
    <w:rsid w:val="00AC22EA"/>
    <w:rsid w:val="00AC24D3"/>
    <w:rsid w:val="00AC254D"/>
    <w:rsid w:val="00AC2C03"/>
    <w:rsid w:val="00AC2F83"/>
    <w:rsid w:val="00AC3299"/>
    <w:rsid w:val="00AC3EFF"/>
    <w:rsid w:val="00AC3F8E"/>
    <w:rsid w:val="00AC4251"/>
    <w:rsid w:val="00AC43C5"/>
    <w:rsid w:val="00AC45BC"/>
    <w:rsid w:val="00AC48DC"/>
    <w:rsid w:val="00AC4B69"/>
    <w:rsid w:val="00AC4E19"/>
    <w:rsid w:val="00AC4FFC"/>
    <w:rsid w:val="00AC58F4"/>
    <w:rsid w:val="00AC5A18"/>
    <w:rsid w:val="00AC5ABE"/>
    <w:rsid w:val="00AC5B54"/>
    <w:rsid w:val="00AC5B91"/>
    <w:rsid w:val="00AC63D5"/>
    <w:rsid w:val="00AC64C3"/>
    <w:rsid w:val="00AC657F"/>
    <w:rsid w:val="00AC6583"/>
    <w:rsid w:val="00AC6603"/>
    <w:rsid w:val="00AC68D3"/>
    <w:rsid w:val="00AC6CAC"/>
    <w:rsid w:val="00AC6CFA"/>
    <w:rsid w:val="00AC6E43"/>
    <w:rsid w:val="00AC6E70"/>
    <w:rsid w:val="00AC7048"/>
    <w:rsid w:val="00AC7078"/>
    <w:rsid w:val="00AC75E3"/>
    <w:rsid w:val="00AC76E9"/>
    <w:rsid w:val="00AC7874"/>
    <w:rsid w:val="00AC7F0B"/>
    <w:rsid w:val="00AC7FCD"/>
    <w:rsid w:val="00AD0CC5"/>
    <w:rsid w:val="00AD0FBC"/>
    <w:rsid w:val="00AD0FD4"/>
    <w:rsid w:val="00AD1490"/>
    <w:rsid w:val="00AD18D6"/>
    <w:rsid w:val="00AD1B58"/>
    <w:rsid w:val="00AD1CA5"/>
    <w:rsid w:val="00AD1E3C"/>
    <w:rsid w:val="00AD218C"/>
    <w:rsid w:val="00AD22CF"/>
    <w:rsid w:val="00AD250B"/>
    <w:rsid w:val="00AD2A85"/>
    <w:rsid w:val="00AD30FD"/>
    <w:rsid w:val="00AD31DB"/>
    <w:rsid w:val="00AD34EB"/>
    <w:rsid w:val="00AD352F"/>
    <w:rsid w:val="00AD3547"/>
    <w:rsid w:val="00AD4196"/>
    <w:rsid w:val="00AD43FF"/>
    <w:rsid w:val="00AD44CB"/>
    <w:rsid w:val="00AD4609"/>
    <w:rsid w:val="00AD4822"/>
    <w:rsid w:val="00AD4B28"/>
    <w:rsid w:val="00AD4C00"/>
    <w:rsid w:val="00AD51B7"/>
    <w:rsid w:val="00AD521F"/>
    <w:rsid w:val="00AD57D2"/>
    <w:rsid w:val="00AD5AA1"/>
    <w:rsid w:val="00AD5B3F"/>
    <w:rsid w:val="00AD5FDD"/>
    <w:rsid w:val="00AD60F1"/>
    <w:rsid w:val="00AD614B"/>
    <w:rsid w:val="00AD62C4"/>
    <w:rsid w:val="00AD6562"/>
    <w:rsid w:val="00AD66CA"/>
    <w:rsid w:val="00AD6740"/>
    <w:rsid w:val="00AD6782"/>
    <w:rsid w:val="00AD6848"/>
    <w:rsid w:val="00AD6951"/>
    <w:rsid w:val="00AD6A6C"/>
    <w:rsid w:val="00AD6DEC"/>
    <w:rsid w:val="00AD6F70"/>
    <w:rsid w:val="00AD731C"/>
    <w:rsid w:val="00AD768E"/>
    <w:rsid w:val="00AD7772"/>
    <w:rsid w:val="00AD7915"/>
    <w:rsid w:val="00AD7B38"/>
    <w:rsid w:val="00AD7B53"/>
    <w:rsid w:val="00AD7BFB"/>
    <w:rsid w:val="00AD7C9E"/>
    <w:rsid w:val="00AD7D17"/>
    <w:rsid w:val="00AE0550"/>
    <w:rsid w:val="00AE08A5"/>
    <w:rsid w:val="00AE09AF"/>
    <w:rsid w:val="00AE0A54"/>
    <w:rsid w:val="00AE0C07"/>
    <w:rsid w:val="00AE0C2D"/>
    <w:rsid w:val="00AE0CEE"/>
    <w:rsid w:val="00AE17D6"/>
    <w:rsid w:val="00AE1DF1"/>
    <w:rsid w:val="00AE22D4"/>
    <w:rsid w:val="00AE24B2"/>
    <w:rsid w:val="00AE2781"/>
    <w:rsid w:val="00AE2B08"/>
    <w:rsid w:val="00AE2DFB"/>
    <w:rsid w:val="00AE32B8"/>
    <w:rsid w:val="00AE32F2"/>
    <w:rsid w:val="00AE34DA"/>
    <w:rsid w:val="00AE3584"/>
    <w:rsid w:val="00AE3DE3"/>
    <w:rsid w:val="00AE48D1"/>
    <w:rsid w:val="00AE48D4"/>
    <w:rsid w:val="00AE4D9B"/>
    <w:rsid w:val="00AE4F2F"/>
    <w:rsid w:val="00AE556D"/>
    <w:rsid w:val="00AE595F"/>
    <w:rsid w:val="00AE631C"/>
    <w:rsid w:val="00AE6A3D"/>
    <w:rsid w:val="00AE6A8F"/>
    <w:rsid w:val="00AE6AF1"/>
    <w:rsid w:val="00AE6EBD"/>
    <w:rsid w:val="00AE6F58"/>
    <w:rsid w:val="00AE6F79"/>
    <w:rsid w:val="00AE707C"/>
    <w:rsid w:val="00AF0065"/>
    <w:rsid w:val="00AF057B"/>
    <w:rsid w:val="00AF08CD"/>
    <w:rsid w:val="00AF0B7A"/>
    <w:rsid w:val="00AF0C08"/>
    <w:rsid w:val="00AF0C67"/>
    <w:rsid w:val="00AF0D49"/>
    <w:rsid w:val="00AF0DC5"/>
    <w:rsid w:val="00AF1124"/>
    <w:rsid w:val="00AF1290"/>
    <w:rsid w:val="00AF19BA"/>
    <w:rsid w:val="00AF1BB9"/>
    <w:rsid w:val="00AF1D63"/>
    <w:rsid w:val="00AF1F36"/>
    <w:rsid w:val="00AF23F4"/>
    <w:rsid w:val="00AF23F8"/>
    <w:rsid w:val="00AF2641"/>
    <w:rsid w:val="00AF275A"/>
    <w:rsid w:val="00AF2861"/>
    <w:rsid w:val="00AF2A33"/>
    <w:rsid w:val="00AF2BB2"/>
    <w:rsid w:val="00AF334A"/>
    <w:rsid w:val="00AF3687"/>
    <w:rsid w:val="00AF373E"/>
    <w:rsid w:val="00AF3812"/>
    <w:rsid w:val="00AF398C"/>
    <w:rsid w:val="00AF3CBE"/>
    <w:rsid w:val="00AF3E36"/>
    <w:rsid w:val="00AF3E4D"/>
    <w:rsid w:val="00AF3E96"/>
    <w:rsid w:val="00AF4288"/>
    <w:rsid w:val="00AF46FF"/>
    <w:rsid w:val="00AF4836"/>
    <w:rsid w:val="00AF4D41"/>
    <w:rsid w:val="00AF5C95"/>
    <w:rsid w:val="00AF61CC"/>
    <w:rsid w:val="00AF63D1"/>
    <w:rsid w:val="00AF6429"/>
    <w:rsid w:val="00AF6538"/>
    <w:rsid w:val="00AF6604"/>
    <w:rsid w:val="00AF6763"/>
    <w:rsid w:val="00AF67BD"/>
    <w:rsid w:val="00AF6D3A"/>
    <w:rsid w:val="00AF6DC8"/>
    <w:rsid w:val="00AF74D2"/>
    <w:rsid w:val="00AF763F"/>
    <w:rsid w:val="00AF766A"/>
    <w:rsid w:val="00AF7A53"/>
    <w:rsid w:val="00AF7BBB"/>
    <w:rsid w:val="00B00016"/>
    <w:rsid w:val="00B00176"/>
    <w:rsid w:val="00B00434"/>
    <w:rsid w:val="00B005F1"/>
    <w:rsid w:val="00B00759"/>
    <w:rsid w:val="00B00BB6"/>
    <w:rsid w:val="00B00D29"/>
    <w:rsid w:val="00B00E29"/>
    <w:rsid w:val="00B00ED7"/>
    <w:rsid w:val="00B011E8"/>
    <w:rsid w:val="00B011FC"/>
    <w:rsid w:val="00B01314"/>
    <w:rsid w:val="00B01A08"/>
    <w:rsid w:val="00B0211D"/>
    <w:rsid w:val="00B02411"/>
    <w:rsid w:val="00B02B09"/>
    <w:rsid w:val="00B02B8B"/>
    <w:rsid w:val="00B02F68"/>
    <w:rsid w:val="00B031C0"/>
    <w:rsid w:val="00B032F7"/>
    <w:rsid w:val="00B033A0"/>
    <w:rsid w:val="00B0390A"/>
    <w:rsid w:val="00B03A2D"/>
    <w:rsid w:val="00B03EC2"/>
    <w:rsid w:val="00B0454D"/>
    <w:rsid w:val="00B049F4"/>
    <w:rsid w:val="00B04ED2"/>
    <w:rsid w:val="00B0503E"/>
    <w:rsid w:val="00B0520B"/>
    <w:rsid w:val="00B0557B"/>
    <w:rsid w:val="00B05840"/>
    <w:rsid w:val="00B058A0"/>
    <w:rsid w:val="00B058A7"/>
    <w:rsid w:val="00B05DCA"/>
    <w:rsid w:val="00B06373"/>
    <w:rsid w:val="00B0665A"/>
    <w:rsid w:val="00B06813"/>
    <w:rsid w:val="00B06869"/>
    <w:rsid w:val="00B06B8D"/>
    <w:rsid w:val="00B06BB7"/>
    <w:rsid w:val="00B06C70"/>
    <w:rsid w:val="00B06E7D"/>
    <w:rsid w:val="00B071E8"/>
    <w:rsid w:val="00B0757B"/>
    <w:rsid w:val="00B07666"/>
    <w:rsid w:val="00B077BA"/>
    <w:rsid w:val="00B07F35"/>
    <w:rsid w:val="00B1040A"/>
    <w:rsid w:val="00B10868"/>
    <w:rsid w:val="00B10979"/>
    <w:rsid w:val="00B10C07"/>
    <w:rsid w:val="00B10F50"/>
    <w:rsid w:val="00B10F6A"/>
    <w:rsid w:val="00B113A9"/>
    <w:rsid w:val="00B116AE"/>
    <w:rsid w:val="00B128A8"/>
    <w:rsid w:val="00B128B7"/>
    <w:rsid w:val="00B129AE"/>
    <w:rsid w:val="00B13038"/>
    <w:rsid w:val="00B1382F"/>
    <w:rsid w:val="00B139ED"/>
    <w:rsid w:val="00B13CE0"/>
    <w:rsid w:val="00B1425F"/>
    <w:rsid w:val="00B14337"/>
    <w:rsid w:val="00B14466"/>
    <w:rsid w:val="00B146DB"/>
    <w:rsid w:val="00B148B1"/>
    <w:rsid w:val="00B14E4D"/>
    <w:rsid w:val="00B151C5"/>
    <w:rsid w:val="00B155D7"/>
    <w:rsid w:val="00B15D19"/>
    <w:rsid w:val="00B15EA8"/>
    <w:rsid w:val="00B1602C"/>
    <w:rsid w:val="00B16090"/>
    <w:rsid w:val="00B1664C"/>
    <w:rsid w:val="00B16709"/>
    <w:rsid w:val="00B16ED8"/>
    <w:rsid w:val="00B17054"/>
    <w:rsid w:val="00B170A5"/>
    <w:rsid w:val="00B172E4"/>
    <w:rsid w:val="00B17350"/>
    <w:rsid w:val="00B17376"/>
    <w:rsid w:val="00B1773B"/>
    <w:rsid w:val="00B1780E"/>
    <w:rsid w:val="00B179C7"/>
    <w:rsid w:val="00B17B3C"/>
    <w:rsid w:val="00B17EE9"/>
    <w:rsid w:val="00B200DA"/>
    <w:rsid w:val="00B20552"/>
    <w:rsid w:val="00B20CD1"/>
    <w:rsid w:val="00B20EEF"/>
    <w:rsid w:val="00B211C2"/>
    <w:rsid w:val="00B214FE"/>
    <w:rsid w:val="00B21557"/>
    <w:rsid w:val="00B21996"/>
    <w:rsid w:val="00B21B9B"/>
    <w:rsid w:val="00B22148"/>
    <w:rsid w:val="00B22455"/>
    <w:rsid w:val="00B226FF"/>
    <w:rsid w:val="00B2272B"/>
    <w:rsid w:val="00B22B95"/>
    <w:rsid w:val="00B22E68"/>
    <w:rsid w:val="00B22F6A"/>
    <w:rsid w:val="00B22FD6"/>
    <w:rsid w:val="00B2300F"/>
    <w:rsid w:val="00B2312D"/>
    <w:rsid w:val="00B23552"/>
    <w:rsid w:val="00B23909"/>
    <w:rsid w:val="00B23A46"/>
    <w:rsid w:val="00B23A7C"/>
    <w:rsid w:val="00B23E1C"/>
    <w:rsid w:val="00B24468"/>
    <w:rsid w:val="00B245F5"/>
    <w:rsid w:val="00B24932"/>
    <w:rsid w:val="00B24AA1"/>
    <w:rsid w:val="00B24DC4"/>
    <w:rsid w:val="00B25092"/>
    <w:rsid w:val="00B25BD4"/>
    <w:rsid w:val="00B25CC6"/>
    <w:rsid w:val="00B25F5D"/>
    <w:rsid w:val="00B25F60"/>
    <w:rsid w:val="00B26596"/>
    <w:rsid w:val="00B266BE"/>
    <w:rsid w:val="00B26876"/>
    <w:rsid w:val="00B269FF"/>
    <w:rsid w:val="00B26A1C"/>
    <w:rsid w:val="00B26C35"/>
    <w:rsid w:val="00B26DA9"/>
    <w:rsid w:val="00B26F3F"/>
    <w:rsid w:val="00B2701E"/>
    <w:rsid w:val="00B27316"/>
    <w:rsid w:val="00B27499"/>
    <w:rsid w:val="00B27587"/>
    <w:rsid w:val="00B275B8"/>
    <w:rsid w:val="00B27C19"/>
    <w:rsid w:val="00B304B3"/>
    <w:rsid w:val="00B3065B"/>
    <w:rsid w:val="00B309F4"/>
    <w:rsid w:val="00B30A32"/>
    <w:rsid w:val="00B30A88"/>
    <w:rsid w:val="00B312F2"/>
    <w:rsid w:val="00B317CC"/>
    <w:rsid w:val="00B3184A"/>
    <w:rsid w:val="00B31E56"/>
    <w:rsid w:val="00B31F3D"/>
    <w:rsid w:val="00B32101"/>
    <w:rsid w:val="00B326CE"/>
    <w:rsid w:val="00B32874"/>
    <w:rsid w:val="00B32A38"/>
    <w:rsid w:val="00B32A95"/>
    <w:rsid w:val="00B32E89"/>
    <w:rsid w:val="00B32EE1"/>
    <w:rsid w:val="00B32F40"/>
    <w:rsid w:val="00B332E2"/>
    <w:rsid w:val="00B336C3"/>
    <w:rsid w:val="00B337D6"/>
    <w:rsid w:val="00B33967"/>
    <w:rsid w:val="00B33AAC"/>
    <w:rsid w:val="00B33C6E"/>
    <w:rsid w:val="00B33CEB"/>
    <w:rsid w:val="00B33FCC"/>
    <w:rsid w:val="00B342D6"/>
    <w:rsid w:val="00B34318"/>
    <w:rsid w:val="00B3433F"/>
    <w:rsid w:val="00B34372"/>
    <w:rsid w:val="00B34B41"/>
    <w:rsid w:val="00B34E72"/>
    <w:rsid w:val="00B35163"/>
    <w:rsid w:val="00B3538C"/>
    <w:rsid w:val="00B35B28"/>
    <w:rsid w:val="00B361EE"/>
    <w:rsid w:val="00B36912"/>
    <w:rsid w:val="00B37242"/>
    <w:rsid w:val="00B372EE"/>
    <w:rsid w:val="00B3730F"/>
    <w:rsid w:val="00B376CA"/>
    <w:rsid w:val="00B37788"/>
    <w:rsid w:val="00B377BC"/>
    <w:rsid w:val="00B37B11"/>
    <w:rsid w:val="00B37BD2"/>
    <w:rsid w:val="00B4014E"/>
    <w:rsid w:val="00B40251"/>
    <w:rsid w:val="00B402C7"/>
    <w:rsid w:val="00B40CED"/>
    <w:rsid w:val="00B41261"/>
    <w:rsid w:val="00B418A7"/>
    <w:rsid w:val="00B418B9"/>
    <w:rsid w:val="00B41969"/>
    <w:rsid w:val="00B41BA0"/>
    <w:rsid w:val="00B42199"/>
    <w:rsid w:val="00B42E12"/>
    <w:rsid w:val="00B43812"/>
    <w:rsid w:val="00B43AA4"/>
    <w:rsid w:val="00B43BA4"/>
    <w:rsid w:val="00B44696"/>
    <w:rsid w:val="00B44BD8"/>
    <w:rsid w:val="00B44CAA"/>
    <w:rsid w:val="00B44D9D"/>
    <w:rsid w:val="00B44E62"/>
    <w:rsid w:val="00B451EB"/>
    <w:rsid w:val="00B45471"/>
    <w:rsid w:val="00B45488"/>
    <w:rsid w:val="00B45595"/>
    <w:rsid w:val="00B456B2"/>
    <w:rsid w:val="00B458E1"/>
    <w:rsid w:val="00B4633F"/>
    <w:rsid w:val="00B464C9"/>
    <w:rsid w:val="00B468C1"/>
    <w:rsid w:val="00B46D29"/>
    <w:rsid w:val="00B46E95"/>
    <w:rsid w:val="00B473F4"/>
    <w:rsid w:val="00B47590"/>
    <w:rsid w:val="00B47787"/>
    <w:rsid w:val="00B47867"/>
    <w:rsid w:val="00B47B40"/>
    <w:rsid w:val="00B500AE"/>
    <w:rsid w:val="00B500C5"/>
    <w:rsid w:val="00B501F0"/>
    <w:rsid w:val="00B501F5"/>
    <w:rsid w:val="00B50281"/>
    <w:rsid w:val="00B50335"/>
    <w:rsid w:val="00B50450"/>
    <w:rsid w:val="00B50693"/>
    <w:rsid w:val="00B506FF"/>
    <w:rsid w:val="00B50A29"/>
    <w:rsid w:val="00B50DDD"/>
    <w:rsid w:val="00B50E3F"/>
    <w:rsid w:val="00B50FED"/>
    <w:rsid w:val="00B5117A"/>
    <w:rsid w:val="00B515F4"/>
    <w:rsid w:val="00B517B8"/>
    <w:rsid w:val="00B51A1C"/>
    <w:rsid w:val="00B51D11"/>
    <w:rsid w:val="00B52527"/>
    <w:rsid w:val="00B5261C"/>
    <w:rsid w:val="00B52B09"/>
    <w:rsid w:val="00B52CBF"/>
    <w:rsid w:val="00B531FC"/>
    <w:rsid w:val="00B537B6"/>
    <w:rsid w:val="00B539B6"/>
    <w:rsid w:val="00B53AEE"/>
    <w:rsid w:val="00B53EEB"/>
    <w:rsid w:val="00B54182"/>
    <w:rsid w:val="00B54490"/>
    <w:rsid w:val="00B54637"/>
    <w:rsid w:val="00B5488E"/>
    <w:rsid w:val="00B54AF8"/>
    <w:rsid w:val="00B54F11"/>
    <w:rsid w:val="00B55528"/>
    <w:rsid w:val="00B55797"/>
    <w:rsid w:val="00B55870"/>
    <w:rsid w:val="00B55D94"/>
    <w:rsid w:val="00B56371"/>
    <w:rsid w:val="00B56995"/>
    <w:rsid w:val="00B56DDA"/>
    <w:rsid w:val="00B5736F"/>
    <w:rsid w:val="00B574A4"/>
    <w:rsid w:val="00B6000A"/>
    <w:rsid w:val="00B605C6"/>
    <w:rsid w:val="00B608A9"/>
    <w:rsid w:val="00B60D5D"/>
    <w:rsid w:val="00B60F4C"/>
    <w:rsid w:val="00B619C4"/>
    <w:rsid w:val="00B61B53"/>
    <w:rsid w:val="00B61D44"/>
    <w:rsid w:val="00B62151"/>
    <w:rsid w:val="00B629CE"/>
    <w:rsid w:val="00B62B12"/>
    <w:rsid w:val="00B62CBC"/>
    <w:rsid w:val="00B62D8B"/>
    <w:rsid w:val="00B6310B"/>
    <w:rsid w:val="00B635BB"/>
    <w:rsid w:val="00B6391F"/>
    <w:rsid w:val="00B63D27"/>
    <w:rsid w:val="00B63E82"/>
    <w:rsid w:val="00B6440A"/>
    <w:rsid w:val="00B644D0"/>
    <w:rsid w:val="00B644E3"/>
    <w:rsid w:val="00B64709"/>
    <w:rsid w:val="00B64971"/>
    <w:rsid w:val="00B6499C"/>
    <w:rsid w:val="00B651A1"/>
    <w:rsid w:val="00B65380"/>
    <w:rsid w:val="00B655E5"/>
    <w:rsid w:val="00B65ADE"/>
    <w:rsid w:val="00B65C2A"/>
    <w:rsid w:val="00B65F4D"/>
    <w:rsid w:val="00B660D5"/>
    <w:rsid w:val="00B6615F"/>
    <w:rsid w:val="00B665A4"/>
    <w:rsid w:val="00B66A1F"/>
    <w:rsid w:val="00B66E38"/>
    <w:rsid w:val="00B66EE0"/>
    <w:rsid w:val="00B67108"/>
    <w:rsid w:val="00B67476"/>
    <w:rsid w:val="00B675C3"/>
    <w:rsid w:val="00B67B19"/>
    <w:rsid w:val="00B67B4F"/>
    <w:rsid w:val="00B67D30"/>
    <w:rsid w:val="00B67E0C"/>
    <w:rsid w:val="00B67FB0"/>
    <w:rsid w:val="00B70608"/>
    <w:rsid w:val="00B70E5E"/>
    <w:rsid w:val="00B70FC8"/>
    <w:rsid w:val="00B710A1"/>
    <w:rsid w:val="00B7162D"/>
    <w:rsid w:val="00B716D1"/>
    <w:rsid w:val="00B71852"/>
    <w:rsid w:val="00B71A85"/>
    <w:rsid w:val="00B71AE4"/>
    <w:rsid w:val="00B72008"/>
    <w:rsid w:val="00B7228F"/>
    <w:rsid w:val="00B72EA8"/>
    <w:rsid w:val="00B730CA"/>
    <w:rsid w:val="00B73583"/>
    <w:rsid w:val="00B73D26"/>
    <w:rsid w:val="00B73D9B"/>
    <w:rsid w:val="00B741CF"/>
    <w:rsid w:val="00B7421E"/>
    <w:rsid w:val="00B74349"/>
    <w:rsid w:val="00B74447"/>
    <w:rsid w:val="00B746DA"/>
    <w:rsid w:val="00B74BCB"/>
    <w:rsid w:val="00B74EAF"/>
    <w:rsid w:val="00B74F60"/>
    <w:rsid w:val="00B755C9"/>
    <w:rsid w:val="00B7587F"/>
    <w:rsid w:val="00B758A8"/>
    <w:rsid w:val="00B75AB5"/>
    <w:rsid w:val="00B75B90"/>
    <w:rsid w:val="00B7662E"/>
    <w:rsid w:val="00B76783"/>
    <w:rsid w:val="00B7698D"/>
    <w:rsid w:val="00B773FD"/>
    <w:rsid w:val="00B77699"/>
    <w:rsid w:val="00B77C0C"/>
    <w:rsid w:val="00B77C4B"/>
    <w:rsid w:val="00B77DBF"/>
    <w:rsid w:val="00B77EA4"/>
    <w:rsid w:val="00B80571"/>
    <w:rsid w:val="00B8080C"/>
    <w:rsid w:val="00B80993"/>
    <w:rsid w:val="00B8099E"/>
    <w:rsid w:val="00B80BF7"/>
    <w:rsid w:val="00B80EF0"/>
    <w:rsid w:val="00B81201"/>
    <w:rsid w:val="00B8134D"/>
    <w:rsid w:val="00B813C7"/>
    <w:rsid w:val="00B814D2"/>
    <w:rsid w:val="00B81528"/>
    <w:rsid w:val="00B81711"/>
    <w:rsid w:val="00B81835"/>
    <w:rsid w:val="00B8188C"/>
    <w:rsid w:val="00B81A21"/>
    <w:rsid w:val="00B81F1F"/>
    <w:rsid w:val="00B823CB"/>
    <w:rsid w:val="00B83162"/>
    <w:rsid w:val="00B8319B"/>
    <w:rsid w:val="00B834D2"/>
    <w:rsid w:val="00B83699"/>
    <w:rsid w:val="00B83719"/>
    <w:rsid w:val="00B83838"/>
    <w:rsid w:val="00B83C12"/>
    <w:rsid w:val="00B83DC1"/>
    <w:rsid w:val="00B83FF4"/>
    <w:rsid w:val="00B848BE"/>
    <w:rsid w:val="00B84AD6"/>
    <w:rsid w:val="00B84DBD"/>
    <w:rsid w:val="00B84F0F"/>
    <w:rsid w:val="00B84F51"/>
    <w:rsid w:val="00B8518E"/>
    <w:rsid w:val="00B85452"/>
    <w:rsid w:val="00B85655"/>
    <w:rsid w:val="00B86157"/>
    <w:rsid w:val="00B86170"/>
    <w:rsid w:val="00B868B2"/>
    <w:rsid w:val="00B869C5"/>
    <w:rsid w:val="00B86D58"/>
    <w:rsid w:val="00B87127"/>
    <w:rsid w:val="00B875B0"/>
    <w:rsid w:val="00B876E8"/>
    <w:rsid w:val="00B87953"/>
    <w:rsid w:val="00B87FDC"/>
    <w:rsid w:val="00B9003D"/>
    <w:rsid w:val="00B90049"/>
    <w:rsid w:val="00B902FB"/>
    <w:rsid w:val="00B90B36"/>
    <w:rsid w:val="00B90D41"/>
    <w:rsid w:val="00B915B2"/>
    <w:rsid w:val="00B91668"/>
    <w:rsid w:val="00B919EC"/>
    <w:rsid w:val="00B91A81"/>
    <w:rsid w:val="00B921FD"/>
    <w:rsid w:val="00B923B7"/>
    <w:rsid w:val="00B92595"/>
    <w:rsid w:val="00B9277E"/>
    <w:rsid w:val="00B92BAF"/>
    <w:rsid w:val="00B93814"/>
    <w:rsid w:val="00B93A8C"/>
    <w:rsid w:val="00B93EED"/>
    <w:rsid w:val="00B93EF3"/>
    <w:rsid w:val="00B94108"/>
    <w:rsid w:val="00B9442A"/>
    <w:rsid w:val="00B94775"/>
    <w:rsid w:val="00B95183"/>
    <w:rsid w:val="00B95550"/>
    <w:rsid w:val="00B95F73"/>
    <w:rsid w:val="00B96067"/>
    <w:rsid w:val="00B964F7"/>
    <w:rsid w:val="00B96613"/>
    <w:rsid w:val="00B968F1"/>
    <w:rsid w:val="00B97130"/>
    <w:rsid w:val="00B9717A"/>
    <w:rsid w:val="00B972CC"/>
    <w:rsid w:val="00B9740E"/>
    <w:rsid w:val="00B976C6"/>
    <w:rsid w:val="00B978A3"/>
    <w:rsid w:val="00B97A33"/>
    <w:rsid w:val="00BA0150"/>
    <w:rsid w:val="00BA0319"/>
    <w:rsid w:val="00BA05F3"/>
    <w:rsid w:val="00BA0739"/>
    <w:rsid w:val="00BA09B1"/>
    <w:rsid w:val="00BA0EF1"/>
    <w:rsid w:val="00BA12C9"/>
    <w:rsid w:val="00BA162E"/>
    <w:rsid w:val="00BA17BF"/>
    <w:rsid w:val="00BA17C2"/>
    <w:rsid w:val="00BA1B6A"/>
    <w:rsid w:val="00BA1CF7"/>
    <w:rsid w:val="00BA2077"/>
    <w:rsid w:val="00BA224C"/>
    <w:rsid w:val="00BA2827"/>
    <w:rsid w:val="00BA290E"/>
    <w:rsid w:val="00BA2983"/>
    <w:rsid w:val="00BA2A96"/>
    <w:rsid w:val="00BA3071"/>
    <w:rsid w:val="00BA323D"/>
    <w:rsid w:val="00BA3567"/>
    <w:rsid w:val="00BA36B2"/>
    <w:rsid w:val="00BA3860"/>
    <w:rsid w:val="00BA3DB4"/>
    <w:rsid w:val="00BA3F86"/>
    <w:rsid w:val="00BA41B9"/>
    <w:rsid w:val="00BA44B8"/>
    <w:rsid w:val="00BA4C18"/>
    <w:rsid w:val="00BA4E0F"/>
    <w:rsid w:val="00BA5582"/>
    <w:rsid w:val="00BA5B29"/>
    <w:rsid w:val="00BA5C84"/>
    <w:rsid w:val="00BA5D2F"/>
    <w:rsid w:val="00BA6117"/>
    <w:rsid w:val="00BA616B"/>
    <w:rsid w:val="00BA62C0"/>
    <w:rsid w:val="00BA639C"/>
    <w:rsid w:val="00BA64F2"/>
    <w:rsid w:val="00BA695F"/>
    <w:rsid w:val="00BA73A4"/>
    <w:rsid w:val="00BA7778"/>
    <w:rsid w:val="00BA7815"/>
    <w:rsid w:val="00BA78C3"/>
    <w:rsid w:val="00BA7CA5"/>
    <w:rsid w:val="00BA7CF5"/>
    <w:rsid w:val="00BB0180"/>
    <w:rsid w:val="00BB01A1"/>
    <w:rsid w:val="00BB0878"/>
    <w:rsid w:val="00BB0D7A"/>
    <w:rsid w:val="00BB0F89"/>
    <w:rsid w:val="00BB0FB0"/>
    <w:rsid w:val="00BB137B"/>
    <w:rsid w:val="00BB14A3"/>
    <w:rsid w:val="00BB1CDA"/>
    <w:rsid w:val="00BB3041"/>
    <w:rsid w:val="00BB342B"/>
    <w:rsid w:val="00BB36FF"/>
    <w:rsid w:val="00BB47E1"/>
    <w:rsid w:val="00BB5019"/>
    <w:rsid w:val="00BB5118"/>
    <w:rsid w:val="00BB51BD"/>
    <w:rsid w:val="00BB51FB"/>
    <w:rsid w:val="00BB53A2"/>
    <w:rsid w:val="00BB5704"/>
    <w:rsid w:val="00BB578B"/>
    <w:rsid w:val="00BB57D3"/>
    <w:rsid w:val="00BB59D3"/>
    <w:rsid w:val="00BB5A3C"/>
    <w:rsid w:val="00BB5AAD"/>
    <w:rsid w:val="00BB5C19"/>
    <w:rsid w:val="00BB644E"/>
    <w:rsid w:val="00BB6554"/>
    <w:rsid w:val="00BB6B0E"/>
    <w:rsid w:val="00BB6B9F"/>
    <w:rsid w:val="00BB6DAB"/>
    <w:rsid w:val="00BB6E8F"/>
    <w:rsid w:val="00BB70A5"/>
    <w:rsid w:val="00BB73CF"/>
    <w:rsid w:val="00BB75E7"/>
    <w:rsid w:val="00BB77C4"/>
    <w:rsid w:val="00BB79B3"/>
    <w:rsid w:val="00BB7D88"/>
    <w:rsid w:val="00BB7FE7"/>
    <w:rsid w:val="00BB7FF7"/>
    <w:rsid w:val="00BC0632"/>
    <w:rsid w:val="00BC0B17"/>
    <w:rsid w:val="00BC1276"/>
    <w:rsid w:val="00BC1947"/>
    <w:rsid w:val="00BC195D"/>
    <w:rsid w:val="00BC1B06"/>
    <w:rsid w:val="00BC1B3A"/>
    <w:rsid w:val="00BC221E"/>
    <w:rsid w:val="00BC222D"/>
    <w:rsid w:val="00BC26BB"/>
    <w:rsid w:val="00BC287E"/>
    <w:rsid w:val="00BC2C19"/>
    <w:rsid w:val="00BC36E3"/>
    <w:rsid w:val="00BC387E"/>
    <w:rsid w:val="00BC38E9"/>
    <w:rsid w:val="00BC3C66"/>
    <w:rsid w:val="00BC410E"/>
    <w:rsid w:val="00BC43DF"/>
    <w:rsid w:val="00BC4442"/>
    <w:rsid w:val="00BC466D"/>
    <w:rsid w:val="00BC4784"/>
    <w:rsid w:val="00BC487F"/>
    <w:rsid w:val="00BC4B65"/>
    <w:rsid w:val="00BC4B8E"/>
    <w:rsid w:val="00BC4DCD"/>
    <w:rsid w:val="00BC5052"/>
    <w:rsid w:val="00BC552F"/>
    <w:rsid w:val="00BC57CF"/>
    <w:rsid w:val="00BC6300"/>
    <w:rsid w:val="00BC63CA"/>
    <w:rsid w:val="00BC655C"/>
    <w:rsid w:val="00BC675A"/>
    <w:rsid w:val="00BC6912"/>
    <w:rsid w:val="00BC69DA"/>
    <w:rsid w:val="00BC6B16"/>
    <w:rsid w:val="00BC6B8B"/>
    <w:rsid w:val="00BC6BBC"/>
    <w:rsid w:val="00BC6D1D"/>
    <w:rsid w:val="00BC6F6E"/>
    <w:rsid w:val="00BC7124"/>
    <w:rsid w:val="00BC7136"/>
    <w:rsid w:val="00BC7710"/>
    <w:rsid w:val="00BC7754"/>
    <w:rsid w:val="00BC79A0"/>
    <w:rsid w:val="00BC7E70"/>
    <w:rsid w:val="00BD011A"/>
    <w:rsid w:val="00BD0235"/>
    <w:rsid w:val="00BD05A1"/>
    <w:rsid w:val="00BD08CE"/>
    <w:rsid w:val="00BD0AB0"/>
    <w:rsid w:val="00BD0F64"/>
    <w:rsid w:val="00BD0FF1"/>
    <w:rsid w:val="00BD156D"/>
    <w:rsid w:val="00BD15FE"/>
    <w:rsid w:val="00BD1CAA"/>
    <w:rsid w:val="00BD1D8A"/>
    <w:rsid w:val="00BD254D"/>
    <w:rsid w:val="00BD2869"/>
    <w:rsid w:val="00BD29F8"/>
    <w:rsid w:val="00BD2C41"/>
    <w:rsid w:val="00BD2C9B"/>
    <w:rsid w:val="00BD2F63"/>
    <w:rsid w:val="00BD30F9"/>
    <w:rsid w:val="00BD3344"/>
    <w:rsid w:val="00BD340F"/>
    <w:rsid w:val="00BD355C"/>
    <w:rsid w:val="00BD35A8"/>
    <w:rsid w:val="00BD3982"/>
    <w:rsid w:val="00BD40E1"/>
    <w:rsid w:val="00BD41F7"/>
    <w:rsid w:val="00BD4256"/>
    <w:rsid w:val="00BD499A"/>
    <w:rsid w:val="00BD4D5C"/>
    <w:rsid w:val="00BD4E48"/>
    <w:rsid w:val="00BD4E50"/>
    <w:rsid w:val="00BD5189"/>
    <w:rsid w:val="00BD5318"/>
    <w:rsid w:val="00BD55C9"/>
    <w:rsid w:val="00BD578B"/>
    <w:rsid w:val="00BD5AE9"/>
    <w:rsid w:val="00BD5C31"/>
    <w:rsid w:val="00BD623E"/>
    <w:rsid w:val="00BD65FB"/>
    <w:rsid w:val="00BD665C"/>
    <w:rsid w:val="00BD6A60"/>
    <w:rsid w:val="00BD6C4B"/>
    <w:rsid w:val="00BD700B"/>
    <w:rsid w:val="00BD7052"/>
    <w:rsid w:val="00BD7161"/>
    <w:rsid w:val="00BD73D9"/>
    <w:rsid w:val="00BD7441"/>
    <w:rsid w:val="00BD7774"/>
    <w:rsid w:val="00BD7FD7"/>
    <w:rsid w:val="00BE012F"/>
    <w:rsid w:val="00BE06DB"/>
    <w:rsid w:val="00BE06EB"/>
    <w:rsid w:val="00BE0812"/>
    <w:rsid w:val="00BE0816"/>
    <w:rsid w:val="00BE0863"/>
    <w:rsid w:val="00BE0973"/>
    <w:rsid w:val="00BE0BD6"/>
    <w:rsid w:val="00BE0E4F"/>
    <w:rsid w:val="00BE100C"/>
    <w:rsid w:val="00BE18A2"/>
    <w:rsid w:val="00BE18AC"/>
    <w:rsid w:val="00BE2363"/>
    <w:rsid w:val="00BE242E"/>
    <w:rsid w:val="00BE2467"/>
    <w:rsid w:val="00BE25B9"/>
    <w:rsid w:val="00BE2BFB"/>
    <w:rsid w:val="00BE3491"/>
    <w:rsid w:val="00BE3632"/>
    <w:rsid w:val="00BE387B"/>
    <w:rsid w:val="00BE3B33"/>
    <w:rsid w:val="00BE3C97"/>
    <w:rsid w:val="00BE3CAA"/>
    <w:rsid w:val="00BE3FB3"/>
    <w:rsid w:val="00BE4166"/>
    <w:rsid w:val="00BE42B3"/>
    <w:rsid w:val="00BE43D7"/>
    <w:rsid w:val="00BE46AF"/>
    <w:rsid w:val="00BE480D"/>
    <w:rsid w:val="00BE4894"/>
    <w:rsid w:val="00BE4AA7"/>
    <w:rsid w:val="00BE4B6E"/>
    <w:rsid w:val="00BE5159"/>
    <w:rsid w:val="00BE5224"/>
    <w:rsid w:val="00BE52FB"/>
    <w:rsid w:val="00BE59E3"/>
    <w:rsid w:val="00BE5E9B"/>
    <w:rsid w:val="00BE6A67"/>
    <w:rsid w:val="00BE6C64"/>
    <w:rsid w:val="00BE6FE9"/>
    <w:rsid w:val="00BE72F1"/>
    <w:rsid w:val="00BE744C"/>
    <w:rsid w:val="00BE7807"/>
    <w:rsid w:val="00BE79B9"/>
    <w:rsid w:val="00BE7B23"/>
    <w:rsid w:val="00BE7D60"/>
    <w:rsid w:val="00BE7F10"/>
    <w:rsid w:val="00BF0AD8"/>
    <w:rsid w:val="00BF0B4E"/>
    <w:rsid w:val="00BF0D27"/>
    <w:rsid w:val="00BF120C"/>
    <w:rsid w:val="00BF159B"/>
    <w:rsid w:val="00BF1A85"/>
    <w:rsid w:val="00BF233F"/>
    <w:rsid w:val="00BF267D"/>
    <w:rsid w:val="00BF2809"/>
    <w:rsid w:val="00BF2B2A"/>
    <w:rsid w:val="00BF2BE9"/>
    <w:rsid w:val="00BF2FA5"/>
    <w:rsid w:val="00BF31B6"/>
    <w:rsid w:val="00BF32EF"/>
    <w:rsid w:val="00BF387B"/>
    <w:rsid w:val="00BF42C0"/>
    <w:rsid w:val="00BF4650"/>
    <w:rsid w:val="00BF4B0E"/>
    <w:rsid w:val="00BF4BA5"/>
    <w:rsid w:val="00BF552B"/>
    <w:rsid w:val="00BF5660"/>
    <w:rsid w:val="00BF586C"/>
    <w:rsid w:val="00BF5954"/>
    <w:rsid w:val="00BF5A2E"/>
    <w:rsid w:val="00BF5A6E"/>
    <w:rsid w:val="00BF5C11"/>
    <w:rsid w:val="00BF5C9E"/>
    <w:rsid w:val="00BF6071"/>
    <w:rsid w:val="00BF68B7"/>
    <w:rsid w:val="00BF68C9"/>
    <w:rsid w:val="00BF740B"/>
    <w:rsid w:val="00BF74E0"/>
    <w:rsid w:val="00BF76B4"/>
    <w:rsid w:val="00BF7CED"/>
    <w:rsid w:val="00C00279"/>
    <w:rsid w:val="00C00657"/>
    <w:rsid w:val="00C00741"/>
    <w:rsid w:val="00C00A1F"/>
    <w:rsid w:val="00C00B24"/>
    <w:rsid w:val="00C00F13"/>
    <w:rsid w:val="00C013AB"/>
    <w:rsid w:val="00C014B2"/>
    <w:rsid w:val="00C015FE"/>
    <w:rsid w:val="00C016EA"/>
    <w:rsid w:val="00C01AEC"/>
    <w:rsid w:val="00C01BB9"/>
    <w:rsid w:val="00C02290"/>
    <w:rsid w:val="00C0248F"/>
    <w:rsid w:val="00C027EB"/>
    <w:rsid w:val="00C027F0"/>
    <w:rsid w:val="00C02837"/>
    <w:rsid w:val="00C03732"/>
    <w:rsid w:val="00C0387B"/>
    <w:rsid w:val="00C04081"/>
    <w:rsid w:val="00C04D3C"/>
    <w:rsid w:val="00C04F40"/>
    <w:rsid w:val="00C050DE"/>
    <w:rsid w:val="00C05594"/>
    <w:rsid w:val="00C057A7"/>
    <w:rsid w:val="00C059AE"/>
    <w:rsid w:val="00C05F6F"/>
    <w:rsid w:val="00C06013"/>
    <w:rsid w:val="00C064C8"/>
    <w:rsid w:val="00C066C8"/>
    <w:rsid w:val="00C06C3A"/>
    <w:rsid w:val="00C07331"/>
    <w:rsid w:val="00C076AD"/>
    <w:rsid w:val="00C07CEA"/>
    <w:rsid w:val="00C07F91"/>
    <w:rsid w:val="00C10532"/>
    <w:rsid w:val="00C10639"/>
    <w:rsid w:val="00C109DD"/>
    <w:rsid w:val="00C10A1F"/>
    <w:rsid w:val="00C10A67"/>
    <w:rsid w:val="00C10CEC"/>
    <w:rsid w:val="00C10D24"/>
    <w:rsid w:val="00C110BE"/>
    <w:rsid w:val="00C113DF"/>
    <w:rsid w:val="00C11820"/>
    <w:rsid w:val="00C11C3F"/>
    <w:rsid w:val="00C11F13"/>
    <w:rsid w:val="00C122CF"/>
    <w:rsid w:val="00C12537"/>
    <w:rsid w:val="00C125F9"/>
    <w:rsid w:val="00C12A04"/>
    <w:rsid w:val="00C13883"/>
    <w:rsid w:val="00C13F87"/>
    <w:rsid w:val="00C1419E"/>
    <w:rsid w:val="00C14EF3"/>
    <w:rsid w:val="00C150B4"/>
    <w:rsid w:val="00C15365"/>
    <w:rsid w:val="00C1572F"/>
    <w:rsid w:val="00C15C5F"/>
    <w:rsid w:val="00C15C6A"/>
    <w:rsid w:val="00C15CF3"/>
    <w:rsid w:val="00C16001"/>
    <w:rsid w:val="00C16089"/>
    <w:rsid w:val="00C16102"/>
    <w:rsid w:val="00C1665C"/>
    <w:rsid w:val="00C1687C"/>
    <w:rsid w:val="00C16BC1"/>
    <w:rsid w:val="00C16C85"/>
    <w:rsid w:val="00C16D27"/>
    <w:rsid w:val="00C16D54"/>
    <w:rsid w:val="00C16E07"/>
    <w:rsid w:val="00C17A99"/>
    <w:rsid w:val="00C17ED3"/>
    <w:rsid w:val="00C20567"/>
    <w:rsid w:val="00C20942"/>
    <w:rsid w:val="00C20C52"/>
    <w:rsid w:val="00C20DAA"/>
    <w:rsid w:val="00C21527"/>
    <w:rsid w:val="00C21585"/>
    <w:rsid w:val="00C21BE6"/>
    <w:rsid w:val="00C21C4C"/>
    <w:rsid w:val="00C21F07"/>
    <w:rsid w:val="00C2218F"/>
    <w:rsid w:val="00C22198"/>
    <w:rsid w:val="00C222D3"/>
    <w:rsid w:val="00C223A9"/>
    <w:rsid w:val="00C22511"/>
    <w:rsid w:val="00C22A0B"/>
    <w:rsid w:val="00C22DDF"/>
    <w:rsid w:val="00C23319"/>
    <w:rsid w:val="00C23664"/>
    <w:rsid w:val="00C238FB"/>
    <w:rsid w:val="00C23A7D"/>
    <w:rsid w:val="00C23B9A"/>
    <w:rsid w:val="00C23BC6"/>
    <w:rsid w:val="00C23E24"/>
    <w:rsid w:val="00C23F85"/>
    <w:rsid w:val="00C240E3"/>
    <w:rsid w:val="00C245D7"/>
    <w:rsid w:val="00C248E2"/>
    <w:rsid w:val="00C249AD"/>
    <w:rsid w:val="00C24A68"/>
    <w:rsid w:val="00C24B2F"/>
    <w:rsid w:val="00C24BAD"/>
    <w:rsid w:val="00C24C76"/>
    <w:rsid w:val="00C24CCE"/>
    <w:rsid w:val="00C253F7"/>
    <w:rsid w:val="00C255A4"/>
    <w:rsid w:val="00C25814"/>
    <w:rsid w:val="00C25BB9"/>
    <w:rsid w:val="00C268D5"/>
    <w:rsid w:val="00C26D2F"/>
    <w:rsid w:val="00C26F91"/>
    <w:rsid w:val="00C27112"/>
    <w:rsid w:val="00C27374"/>
    <w:rsid w:val="00C2751E"/>
    <w:rsid w:val="00C27535"/>
    <w:rsid w:val="00C277F4"/>
    <w:rsid w:val="00C27A29"/>
    <w:rsid w:val="00C27ABA"/>
    <w:rsid w:val="00C27AF9"/>
    <w:rsid w:val="00C30546"/>
    <w:rsid w:val="00C306F9"/>
    <w:rsid w:val="00C30C92"/>
    <w:rsid w:val="00C30EAC"/>
    <w:rsid w:val="00C31360"/>
    <w:rsid w:val="00C31928"/>
    <w:rsid w:val="00C31B9D"/>
    <w:rsid w:val="00C320DE"/>
    <w:rsid w:val="00C32AA2"/>
    <w:rsid w:val="00C32B8C"/>
    <w:rsid w:val="00C330DC"/>
    <w:rsid w:val="00C33C0A"/>
    <w:rsid w:val="00C3449A"/>
    <w:rsid w:val="00C34538"/>
    <w:rsid w:val="00C34906"/>
    <w:rsid w:val="00C34975"/>
    <w:rsid w:val="00C349F2"/>
    <w:rsid w:val="00C34AF3"/>
    <w:rsid w:val="00C34D5E"/>
    <w:rsid w:val="00C357C0"/>
    <w:rsid w:val="00C35DAB"/>
    <w:rsid w:val="00C35E87"/>
    <w:rsid w:val="00C3630A"/>
    <w:rsid w:val="00C363A2"/>
    <w:rsid w:val="00C366AD"/>
    <w:rsid w:val="00C367D7"/>
    <w:rsid w:val="00C36DAE"/>
    <w:rsid w:val="00C3704B"/>
    <w:rsid w:val="00C37148"/>
    <w:rsid w:val="00C375A1"/>
    <w:rsid w:val="00C3788D"/>
    <w:rsid w:val="00C378BD"/>
    <w:rsid w:val="00C37AF5"/>
    <w:rsid w:val="00C37F21"/>
    <w:rsid w:val="00C400C2"/>
    <w:rsid w:val="00C4081A"/>
    <w:rsid w:val="00C40940"/>
    <w:rsid w:val="00C40CE7"/>
    <w:rsid w:val="00C40D17"/>
    <w:rsid w:val="00C40E92"/>
    <w:rsid w:val="00C40E99"/>
    <w:rsid w:val="00C40FC5"/>
    <w:rsid w:val="00C41141"/>
    <w:rsid w:val="00C41179"/>
    <w:rsid w:val="00C41243"/>
    <w:rsid w:val="00C41393"/>
    <w:rsid w:val="00C4154E"/>
    <w:rsid w:val="00C418B0"/>
    <w:rsid w:val="00C41EAB"/>
    <w:rsid w:val="00C42D62"/>
    <w:rsid w:val="00C433FD"/>
    <w:rsid w:val="00C43FEB"/>
    <w:rsid w:val="00C4427C"/>
    <w:rsid w:val="00C44346"/>
    <w:rsid w:val="00C44375"/>
    <w:rsid w:val="00C447B8"/>
    <w:rsid w:val="00C447F9"/>
    <w:rsid w:val="00C448B6"/>
    <w:rsid w:val="00C44F52"/>
    <w:rsid w:val="00C4515A"/>
    <w:rsid w:val="00C456F5"/>
    <w:rsid w:val="00C458E7"/>
    <w:rsid w:val="00C4594C"/>
    <w:rsid w:val="00C45B5F"/>
    <w:rsid w:val="00C45E75"/>
    <w:rsid w:val="00C46244"/>
    <w:rsid w:val="00C46495"/>
    <w:rsid w:val="00C46B99"/>
    <w:rsid w:val="00C46C98"/>
    <w:rsid w:val="00C46F13"/>
    <w:rsid w:val="00C47359"/>
    <w:rsid w:val="00C47406"/>
    <w:rsid w:val="00C4772C"/>
    <w:rsid w:val="00C47781"/>
    <w:rsid w:val="00C4791C"/>
    <w:rsid w:val="00C50A8D"/>
    <w:rsid w:val="00C50B36"/>
    <w:rsid w:val="00C50B6D"/>
    <w:rsid w:val="00C50C05"/>
    <w:rsid w:val="00C50C92"/>
    <w:rsid w:val="00C50DDE"/>
    <w:rsid w:val="00C50F97"/>
    <w:rsid w:val="00C50FA5"/>
    <w:rsid w:val="00C51128"/>
    <w:rsid w:val="00C5149E"/>
    <w:rsid w:val="00C51620"/>
    <w:rsid w:val="00C51C1A"/>
    <w:rsid w:val="00C51C97"/>
    <w:rsid w:val="00C5226C"/>
    <w:rsid w:val="00C523DD"/>
    <w:rsid w:val="00C52666"/>
    <w:rsid w:val="00C52C3D"/>
    <w:rsid w:val="00C52C94"/>
    <w:rsid w:val="00C52E2A"/>
    <w:rsid w:val="00C5364E"/>
    <w:rsid w:val="00C5369B"/>
    <w:rsid w:val="00C538A0"/>
    <w:rsid w:val="00C53A6F"/>
    <w:rsid w:val="00C53B99"/>
    <w:rsid w:val="00C53D25"/>
    <w:rsid w:val="00C53F5A"/>
    <w:rsid w:val="00C54739"/>
    <w:rsid w:val="00C54A85"/>
    <w:rsid w:val="00C54D07"/>
    <w:rsid w:val="00C5536F"/>
    <w:rsid w:val="00C55665"/>
    <w:rsid w:val="00C55BD3"/>
    <w:rsid w:val="00C55E3C"/>
    <w:rsid w:val="00C55E6F"/>
    <w:rsid w:val="00C5600E"/>
    <w:rsid w:val="00C56165"/>
    <w:rsid w:val="00C563D5"/>
    <w:rsid w:val="00C565B8"/>
    <w:rsid w:val="00C566B9"/>
    <w:rsid w:val="00C56717"/>
    <w:rsid w:val="00C56EF4"/>
    <w:rsid w:val="00C57320"/>
    <w:rsid w:val="00C57639"/>
    <w:rsid w:val="00C57943"/>
    <w:rsid w:val="00C57A2B"/>
    <w:rsid w:val="00C57BBE"/>
    <w:rsid w:val="00C603E8"/>
    <w:rsid w:val="00C606FC"/>
    <w:rsid w:val="00C60956"/>
    <w:rsid w:val="00C609CF"/>
    <w:rsid w:val="00C60A82"/>
    <w:rsid w:val="00C61067"/>
    <w:rsid w:val="00C61444"/>
    <w:rsid w:val="00C614DC"/>
    <w:rsid w:val="00C618C5"/>
    <w:rsid w:val="00C619A3"/>
    <w:rsid w:val="00C622BC"/>
    <w:rsid w:val="00C62819"/>
    <w:rsid w:val="00C63438"/>
    <w:rsid w:val="00C637DE"/>
    <w:rsid w:val="00C63A38"/>
    <w:rsid w:val="00C63CE5"/>
    <w:rsid w:val="00C63EDE"/>
    <w:rsid w:val="00C641FA"/>
    <w:rsid w:val="00C64667"/>
    <w:rsid w:val="00C65A84"/>
    <w:rsid w:val="00C66339"/>
    <w:rsid w:val="00C663D0"/>
    <w:rsid w:val="00C66445"/>
    <w:rsid w:val="00C66671"/>
    <w:rsid w:val="00C667AE"/>
    <w:rsid w:val="00C66A49"/>
    <w:rsid w:val="00C66C8F"/>
    <w:rsid w:val="00C66F64"/>
    <w:rsid w:val="00C67678"/>
    <w:rsid w:val="00C67915"/>
    <w:rsid w:val="00C67A9A"/>
    <w:rsid w:val="00C67DFC"/>
    <w:rsid w:val="00C70704"/>
    <w:rsid w:val="00C70AF4"/>
    <w:rsid w:val="00C70CC5"/>
    <w:rsid w:val="00C70F83"/>
    <w:rsid w:val="00C71004"/>
    <w:rsid w:val="00C71312"/>
    <w:rsid w:val="00C7145C"/>
    <w:rsid w:val="00C71832"/>
    <w:rsid w:val="00C7187B"/>
    <w:rsid w:val="00C71E13"/>
    <w:rsid w:val="00C71F80"/>
    <w:rsid w:val="00C726C5"/>
    <w:rsid w:val="00C728BB"/>
    <w:rsid w:val="00C72AFD"/>
    <w:rsid w:val="00C72DF0"/>
    <w:rsid w:val="00C73765"/>
    <w:rsid w:val="00C73FB5"/>
    <w:rsid w:val="00C744C5"/>
    <w:rsid w:val="00C7450E"/>
    <w:rsid w:val="00C7493E"/>
    <w:rsid w:val="00C74D90"/>
    <w:rsid w:val="00C7554A"/>
    <w:rsid w:val="00C75CA5"/>
    <w:rsid w:val="00C7663D"/>
    <w:rsid w:val="00C76CB2"/>
    <w:rsid w:val="00C76CBE"/>
    <w:rsid w:val="00C77335"/>
    <w:rsid w:val="00C774B8"/>
    <w:rsid w:val="00C77648"/>
    <w:rsid w:val="00C77889"/>
    <w:rsid w:val="00C77F37"/>
    <w:rsid w:val="00C80284"/>
    <w:rsid w:val="00C80292"/>
    <w:rsid w:val="00C80639"/>
    <w:rsid w:val="00C80656"/>
    <w:rsid w:val="00C80799"/>
    <w:rsid w:val="00C809C6"/>
    <w:rsid w:val="00C8114C"/>
    <w:rsid w:val="00C81152"/>
    <w:rsid w:val="00C811D5"/>
    <w:rsid w:val="00C81533"/>
    <w:rsid w:val="00C81547"/>
    <w:rsid w:val="00C81638"/>
    <w:rsid w:val="00C81A8C"/>
    <w:rsid w:val="00C81CB0"/>
    <w:rsid w:val="00C820C3"/>
    <w:rsid w:val="00C8240C"/>
    <w:rsid w:val="00C832C4"/>
    <w:rsid w:val="00C833FF"/>
    <w:rsid w:val="00C83D9F"/>
    <w:rsid w:val="00C84800"/>
    <w:rsid w:val="00C84853"/>
    <w:rsid w:val="00C84A7E"/>
    <w:rsid w:val="00C85341"/>
    <w:rsid w:val="00C856D0"/>
    <w:rsid w:val="00C85B23"/>
    <w:rsid w:val="00C85D13"/>
    <w:rsid w:val="00C86281"/>
    <w:rsid w:val="00C86309"/>
    <w:rsid w:val="00C866C5"/>
    <w:rsid w:val="00C869EF"/>
    <w:rsid w:val="00C86A56"/>
    <w:rsid w:val="00C86A5F"/>
    <w:rsid w:val="00C87361"/>
    <w:rsid w:val="00C873B9"/>
    <w:rsid w:val="00C8748E"/>
    <w:rsid w:val="00C8752C"/>
    <w:rsid w:val="00C875A4"/>
    <w:rsid w:val="00C87925"/>
    <w:rsid w:val="00C87995"/>
    <w:rsid w:val="00C87BB3"/>
    <w:rsid w:val="00C902F6"/>
    <w:rsid w:val="00C90570"/>
    <w:rsid w:val="00C90645"/>
    <w:rsid w:val="00C909F2"/>
    <w:rsid w:val="00C90D4F"/>
    <w:rsid w:val="00C90DAC"/>
    <w:rsid w:val="00C90E81"/>
    <w:rsid w:val="00C90EAB"/>
    <w:rsid w:val="00C90F58"/>
    <w:rsid w:val="00C91481"/>
    <w:rsid w:val="00C914B4"/>
    <w:rsid w:val="00C915B0"/>
    <w:rsid w:val="00C9166D"/>
    <w:rsid w:val="00C9181B"/>
    <w:rsid w:val="00C91A5A"/>
    <w:rsid w:val="00C91CFA"/>
    <w:rsid w:val="00C92260"/>
    <w:rsid w:val="00C92328"/>
    <w:rsid w:val="00C92409"/>
    <w:rsid w:val="00C9266F"/>
    <w:rsid w:val="00C92D30"/>
    <w:rsid w:val="00C92FA2"/>
    <w:rsid w:val="00C931B6"/>
    <w:rsid w:val="00C93CDA"/>
    <w:rsid w:val="00C94083"/>
    <w:rsid w:val="00C942B6"/>
    <w:rsid w:val="00C94468"/>
    <w:rsid w:val="00C94879"/>
    <w:rsid w:val="00C94EBA"/>
    <w:rsid w:val="00C95312"/>
    <w:rsid w:val="00C95978"/>
    <w:rsid w:val="00C959FE"/>
    <w:rsid w:val="00C95A77"/>
    <w:rsid w:val="00C95D6E"/>
    <w:rsid w:val="00C96671"/>
    <w:rsid w:val="00C9724C"/>
    <w:rsid w:val="00C979AB"/>
    <w:rsid w:val="00C97C3E"/>
    <w:rsid w:val="00C97E58"/>
    <w:rsid w:val="00CA017F"/>
    <w:rsid w:val="00CA023C"/>
    <w:rsid w:val="00CA0383"/>
    <w:rsid w:val="00CA048A"/>
    <w:rsid w:val="00CA08FB"/>
    <w:rsid w:val="00CA0905"/>
    <w:rsid w:val="00CA0C81"/>
    <w:rsid w:val="00CA0EF8"/>
    <w:rsid w:val="00CA1370"/>
    <w:rsid w:val="00CA18FD"/>
    <w:rsid w:val="00CA1A7F"/>
    <w:rsid w:val="00CA1E3B"/>
    <w:rsid w:val="00CA1FBB"/>
    <w:rsid w:val="00CA2235"/>
    <w:rsid w:val="00CA2320"/>
    <w:rsid w:val="00CA239A"/>
    <w:rsid w:val="00CA289E"/>
    <w:rsid w:val="00CA2A6D"/>
    <w:rsid w:val="00CA2A72"/>
    <w:rsid w:val="00CA2ACA"/>
    <w:rsid w:val="00CA2F89"/>
    <w:rsid w:val="00CA314F"/>
    <w:rsid w:val="00CA350B"/>
    <w:rsid w:val="00CA372E"/>
    <w:rsid w:val="00CA3AA5"/>
    <w:rsid w:val="00CA4791"/>
    <w:rsid w:val="00CA4839"/>
    <w:rsid w:val="00CA4DAD"/>
    <w:rsid w:val="00CA518D"/>
    <w:rsid w:val="00CA535E"/>
    <w:rsid w:val="00CA53C3"/>
    <w:rsid w:val="00CA568A"/>
    <w:rsid w:val="00CA5928"/>
    <w:rsid w:val="00CA5B4B"/>
    <w:rsid w:val="00CA5B8A"/>
    <w:rsid w:val="00CA6247"/>
    <w:rsid w:val="00CA62AB"/>
    <w:rsid w:val="00CA686C"/>
    <w:rsid w:val="00CA71AE"/>
    <w:rsid w:val="00CA7256"/>
    <w:rsid w:val="00CA7308"/>
    <w:rsid w:val="00CA73FF"/>
    <w:rsid w:val="00CA7B63"/>
    <w:rsid w:val="00CA7DAA"/>
    <w:rsid w:val="00CA7F80"/>
    <w:rsid w:val="00CB070A"/>
    <w:rsid w:val="00CB0B1D"/>
    <w:rsid w:val="00CB0F5D"/>
    <w:rsid w:val="00CB1371"/>
    <w:rsid w:val="00CB18AC"/>
    <w:rsid w:val="00CB19A9"/>
    <w:rsid w:val="00CB1C2F"/>
    <w:rsid w:val="00CB1CE4"/>
    <w:rsid w:val="00CB1F2F"/>
    <w:rsid w:val="00CB2466"/>
    <w:rsid w:val="00CB255E"/>
    <w:rsid w:val="00CB27A4"/>
    <w:rsid w:val="00CB2A88"/>
    <w:rsid w:val="00CB2B12"/>
    <w:rsid w:val="00CB2E09"/>
    <w:rsid w:val="00CB355A"/>
    <w:rsid w:val="00CB38EC"/>
    <w:rsid w:val="00CB3937"/>
    <w:rsid w:val="00CB3BFE"/>
    <w:rsid w:val="00CB3ECD"/>
    <w:rsid w:val="00CB40FB"/>
    <w:rsid w:val="00CB4C3B"/>
    <w:rsid w:val="00CB4C95"/>
    <w:rsid w:val="00CB503D"/>
    <w:rsid w:val="00CB5182"/>
    <w:rsid w:val="00CB54F2"/>
    <w:rsid w:val="00CB577F"/>
    <w:rsid w:val="00CB59ED"/>
    <w:rsid w:val="00CB5C2E"/>
    <w:rsid w:val="00CB5C44"/>
    <w:rsid w:val="00CB5F0C"/>
    <w:rsid w:val="00CB6244"/>
    <w:rsid w:val="00CB64B0"/>
    <w:rsid w:val="00CB654D"/>
    <w:rsid w:val="00CB6D64"/>
    <w:rsid w:val="00CB6F96"/>
    <w:rsid w:val="00CB7032"/>
    <w:rsid w:val="00CB7249"/>
    <w:rsid w:val="00CB73B6"/>
    <w:rsid w:val="00CB7528"/>
    <w:rsid w:val="00CB764D"/>
    <w:rsid w:val="00CB78B4"/>
    <w:rsid w:val="00CB7A53"/>
    <w:rsid w:val="00CB7B01"/>
    <w:rsid w:val="00CB7B05"/>
    <w:rsid w:val="00CB7E32"/>
    <w:rsid w:val="00CB7F56"/>
    <w:rsid w:val="00CC0617"/>
    <w:rsid w:val="00CC0CA2"/>
    <w:rsid w:val="00CC0E15"/>
    <w:rsid w:val="00CC131C"/>
    <w:rsid w:val="00CC13D9"/>
    <w:rsid w:val="00CC1436"/>
    <w:rsid w:val="00CC1847"/>
    <w:rsid w:val="00CC1869"/>
    <w:rsid w:val="00CC195D"/>
    <w:rsid w:val="00CC1AF9"/>
    <w:rsid w:val="00CC1E30"/>
    <w:rsid w:val="00CC261D"/>
    <w:rsid w:val="00CC276C"/>
    <w:rsid w:val="00CC2A4C"/>
    <w:rsid w:val="00CC2BD9"/>
    <w:rsid w:val="00CC2E74"/>
    <w:rsid w:val="00CC32F6"/>
    <w:rsid w:val="00CC335A"/>
    <w:rsid w:val="00CC33CC"/>
    <w:rsid w:val="00CC351C"/>
    <w:rsid w:val="00CC3790"/>
    <w:rsid w:val="00CC3856"/>
    <w:rsid w:val="00CC3B8A"/>
    <w:rsid w:val="00CC467F"/>
    <w:rsid w:val="00CC4939"/>
    <w:rsid w:val="00CC4E48"/>
    <w:rsid w:val="00CC4F9E"/>
    <w:rsid w:val="00CC5097"/>
    <w:rsid w:val="00CC52FE"/>
    <w:rsid w:val="00CC5334"/>
    <w:rsid w:val="00CC58B4"/>
    <w:rsid w:val="00CC5996"/>
    <w:rsid w:val="00CC59EC"/>
    <w:rsid w:val="00CC5C1E"/>
    <w:rsid w:val="00CC5C21"/>
    <w:rsid w:val="00CC63B1"/>
    <w:rsid w:val="00CC643E"/>
    <w:rsid w:val="00CC6663"/>
    <w:rsid w:val="00CC6AAE"/>
    <w:rsid w:val="00CC6B1D"/>
    <w:rsid w:val="00CC6B6D"/>
    <w:rsid w:val="00CC71BD"/>
    <w:rsid w:val="00CC7746"/>
    <w:rsid w:val="00CC7976"/>
    <w:rsid w:val="00CC79EE"/>
    <w:rsid w:val="00CC7A88"/>
    <w:rsid w:val="00CC7EA0"/>
    <w:rsid w:val="00CD0167"/>
    <w:rsid w:val="00CD01D0"/>
    <w:rsid w:val="00CD0487"/>
    <w:rsid w:val="00CD0D15"/>
    <w:rsid w:val="00CD0DF9"/>
    <w:rsid w:val="00CD1207"/>
    <w:rsid w:val="00CD14AB"/>
    <w:rsid w:val="00CD15DB"/>
    <w:rsid w:val="00CD1CE6"/>
    <w:rsid w:val="00CD1ECC"/>
    <w:rsid w:val="00CD20A7"/>
    <w:rsid w:val="00CD2315"/>
    <w:rsid w:val="00CD24E7"/>
    <w:rsid w:val="00CD29AB"/>
    <w:rsid w:val="00CD29C9"/>
    <w:rsid w:val="00CD2DDA"/>
    <w:rsid w:val="00CD2FFC"/>
    <w:rsid w:val="00CD3074"/>
    <w:rsid w:val="00CD321C"/>
    <w:rsid w:val="00CD32A8"/>
    <w:rsid w:val="00CD3880"/>
    <w:rsid w:val="00CD40B5"/>
    <w:rsid w:val="00CD43AB"/>
    <w:rsid w:val="00CD4820"/>
    <w:rsid w:val="00CD4A31"/>
    <w:rsid w:val="00CD4CFB"/>
    <w:rsid w:val="00CD5330"/>
    <w:rsid w:val="00CD5341"/>
    <w:rsid w:val="00CD56E3"/>
    <w:rsid w:val="00CD587E"/>
    <w:rsid w:val="00CD5AD2"/>
    <w:rsid w:val="00CD5CD5"/>
    <w:rsid w:val="00CD637B"/>
    <w:rsid w:val="00CD6464"/>
    <w:rsid w:val="00CD6468"/>
    <w:rsid w:val="00CD65AE"/>
    <w:rsid w:val="00CD65B0"/>
    <w:rsid w:val="00CD678F"/>
    <w:rsid w:val="00CD67EC"/>
    <w:rsid w:val="00CD6970"/>
    <w:rsid w:val="00CD6B98"/>
    <w:rsid w:val="00CD6C6C"/>
    <w:rsid w:val="00CD6EA8"/>
    <w:rsid w:val="00CD702D"/>
    <w:rsid w:val="00CD7300"/>
    <w:rsid w:val="00CE05EE"/>
    <w:rsid w:val="00CE09EF"/>
    <w:rsid w:val="00CE0B87"/>
    <w:rsid w:val="00CE0C14"/>
    <w:rsid w:val="00CE0EC0"/>
    <w:rsid w:val="00CE17BE"/>
    <w:rsid w:val="00CE1924"/>
    <w:rsid w:val="00CE21C4"/>
    <w:rsid w:val="00CE244D"/>
    <w:rsid w:val="00CE2490"/>
    <w:rsid w:val="00CE2619"/>
    <w:rsid w:val="00CE2F3D"/>
    <w:rsid w:val="00CE32F2"/>
    <w:rsid w:val="00CE335C"/>
    <w:rsid w:val="00CE35C0"/>
    <w:rsid w:val="00CE36EB"/>
    <w:rsid w:val="00CE37D8"/>
    <w:rsid w:val="00CE3AE7"/>
    <w:rsid w:val="00CE3F1C"/>
    <w:rsid w:val="00CE44AA"/>
    <w:rsid w:val="00CE47CF"/>
    <w:rsid w:val="00CE4D39"/>
    <w:rsid w:val="00CE532A"/>
    <w:rsid w:val="00CE537F"/>
    <w:rsid w:val="00CE56EC"/>
    <w:rsid w:val="00CE570C"/>
    <w:rsid w:val="00CE5C3D"/>
    <w:rsid w:val="00CE5D47"/>
    <w:rsid w:val="00CE5DDB"/>
    <w:rsid w:val="00CE6097"/>
    <w:rsid w:val="00CE6201"/>
    <w:rsid w:val="00CE65C5"/>
    <w:rsid w:val="00CE6FD8"/>
    <w:rsid w:val="00CE700E"/>
    <w:rsid w:val="00CE716F"/>
    <w:rsid w:val="00CE7892"/>
    <w:rsid w:val="00CE7DE4"/>
    <w:rsid w:val="00CE7EDF"/>
    <w:rsid w:val="00CE7EE3"/>
    <w:rsid w:val="00CE7FA5"/>
    <w:rsid w:val="00CE7FF6"/>
    <w:rsid w:val="00CF01AA"/>
    <w:rsid w:val="00CF067E"/>
    <w:rsid w:val="00CF0EF5"/>
    <w:rsid w:val="00CF153B"/>
    <w:rsid w:val="00CF1C03"/>
    <w:rsid w:val="00CF2491"/>
    <w:rsid w:val="00CF3393"/>
    <w:rsid w:val="00CF3667"/>
    <w:rsid w:val="00CF37FF"/>
    <w:rsid w:val="00CF3853"/>
    <w:rsid w:val="00CF38B6"/>
    <w:rsid w:val="00CF39B5"/>
    <w:rsid w:val="00CF3D26"/>
    <w:rsid w:val="00CF3FF8"/>
    <w:rsid w:val="00CF4018"/>
    <w:rsid w:val="00CF45CE"/>
    <w:rsid w:val="00CF4B03"/>
    <w:rsid w:val="00CF51F3"/>
    <w:rsid w:val="00CF5679"/>
    <w:rsid w:val="00CF5BEA"/>
    <w:rsid w:val="00CF614B"/>
    <w:rsid w:val="00CF629F"/>
    <w:rsid w:val="00CF68CC"/>
    <w:rsid w:val="00CF6AFA"/>
    <w:rsid w:val="00CF6E58"/>
    <w:rsid w:val="00CF7018"/>
    <w:rsid w:val="00CF7BAA"/>
    <w:rsid w:val="00CF7C04"/>
    <w:rsid w:val="00CF7F56"/>
    <w:rsid w:val="00D00D4E"/>
    <w:rsid w:val="00D013C3"/>
    <w:rsid w:val="00D014CE"/>
    <w:rsid w:val="00D01868"/>
    <w:rsid w:val="00D0196B"/>
    <w:rsid w:val="00D01A25"/>
    <w:rsid w:val="00D01C79"/>
    <w:rsid w:val="00D02440"/>
    <w:rsid w:val="00D02441"/>
    <w:rsid w:val="00D0248D"/>
    <w:rsid w:val="00D025A8"/>
    <w:rsid w:val="00D0272D"/>
    <w:rsid w:val="00D02803"/>
    <w:rsid w:val="00D02847"/>
    <w:rsid w:val="00D02AE6"/>
    <w:rsid w:val="00D02C4F"/>
    <w:rsid w:val="00D02DAB"/>
    <w:rsid w:val="00D0308C"/>
    <w:rsid w:val="00D032C8"/>
    <w:rsid w:val="00D039EB"/>
    <w:rsid w:val="00D03A9A"/>
    <w:rsid w:val="00D03AD4"/>
    <w:rsid w:val="00D03D8F"/>
    <w:rsid w:val="00D0448B"/>
    <w:rsid w:val="00D046A9"/>
    <w:rsid w:val="00D04703"/>
    <w:rsid w:val="00D05365"/>
    <w:rsid w:val="00D055C4"/>
    <w:rsid w:val="00D058DB"/>
    <w:rsid w:val="00D06208"/>
    <w:rsid w:val="00D06529"/>
    <w:rsid w:val="00D06644"/>
    <w:rsid w:val="00D06DFA"/>
    <w:rsid w:val="00D0761A"/>
    <w:rsid w:val="00D077AF"/>
    <w:rsid w:val="00D07888"/>
    <w:rsid w:val="00D1034F"/>
    <w:rsid w:val="00D103C7"/>
    <w:rsid w:val="00D1062A"/>
    <w:rsid w:val="00D109CF"/>
    <w:rsid w:val="00D10D2A"/>
    <w:rsid w:val="00D10EAA"/>
    <w:rsid w:val="00D11827"/>
    <w:rsid w:val="00D11F33"/>
    <w:rsid w:val="00D122C6"/>
    <w:rsid w:val="00D12414"/>
    <w:rsid w:val="00D125E7"/>
    <w:rsid w:val="00D12645"/>
    <w:rsid w:val="00D12746"/>
    <w:rsid w:val="00D12C68"/>
    <w:rsid w:val="00D130CD"/>
    <w:rsid w:val="00D131BA"/>
    <w:rsid w:val="00D132D8"/>
    <w:rsid w:val="00D13B1E"/>
    <w:rsid w:val="00D13BFA"/>
    <w:rsid w:val="00D13D7F"/>
    <w:rsid w:val="00D1466C"/>
    <w:rsid w:val="00D148BE"/>
    <w:rsid w:val="00D14CFF"/>
    <w:rsid w:val="00D154F2"/>
    <w:rsid w:val="00D1571E"/>
    <w:rsid w:val="00D158D8"/>
    <w:rsid w:val="00D15E19"/>
    <w:rsid w:val="00D15E7C"/>
    <w:rsid w:val="00D15E96"/>
    <w:rsid w:val="00D16109"/>
    <w:rsid w:val="00D1638A"/>
    <w:rsid w:val="00D16398"/>
    <w:rsid w:val="00D16425"/>
    <w:rsid w:val="00D165D3"/>
    <w:rsid w:val="00D169E4"/>
    <w:rsid w:val="00D16A14"/>
    <w:rsid w:val="00D16FE6"/>
    <w:rsid w:val="00D1748E"/>
    <w:rsid w:val="00D175F3"/>
    <w:rsid w:val="00D1773B"/>
    <w:rsid w:val="00D17B4B"/>
    <w:rsid w:val="00D17C66"/>
    <w:rsid w:val="00D17DA1"/>
    <w:rsid w:val="00D2022F"/>
    <w:rsid w:val="00D20316"/>
    <w:rsid w:val="00D203EB"/>
    <w:rsid w:val="00D20430"/>
    <w:rsid w:val="00D20BE2"/>
    <w:rsid w:val="00D20FB7"/>
    <w:rsid w:val="00D2106B"/>
    <w:rsid w:val="00D21091"/>
    <w:rsid w:val="00D211F0"/>
    <w:rsid w:val="00D214A9"/>
    <w:rsid w:val="00D21D5A"/>
    <w:rsid w:val="00D21DA8"/>
    <w:rsid w:val="00D22259"/>
    <w:rsid w:val="00D225CC"/>
    <w:rsid w:val="00D2279C"/>
    <w:rsid w:val="00D227F7"/>
    <w:rsid w:val="00D229A6"/>
    <w:rsid w:val="00D22AEE"/>
    <w:rsid w:val="00D22B25"/>
    <w:rsid w:val="00D22DF8"/>
    <w:rsid w:val="00D22F13"/>
    <w:rsid w:val="00D22FEA"/>
    <w:rsid w:val="00D231D0"/>
    <w:rsid w:val="00D23428"/>
    <w:rsid w:val="00D2345A"/>
    <w:rsid w:val="00D236B1"/>
    <w:rsid w:val="00D238EE"/>
    <w:rsid w:val="00D23A72"/>
    <w:rsid w:val="00D23DB4"/>
    <w:rsid w:val="00D23F6E"/>
    <w:rsid w:val="00D24248"/>
    <w:rsid w:val="00D245FF"/>
    <w:rsid w:val="00D247A2"/>
    <w:rsid w:val="00D24898"/>
    <w:rsid w:val="00D24B67"/>
    <w:rsid w:val="00D24F4E"/>
    <w:rsid w:val="00D253EC"/>
    <w:rsid w:val="00D25614"/>
    <w:rsid w:val="00D25BE6"/>
    <w:rsid w:val="00D263D9"/>
    <w:rsid w:val="00D267C3"/>
    <w:rsid w:val="00D268B2"/>
    <w:rsid w:val="00D26C3B"/>
    <w:rsid w:val="00D26CE2"/>
    <w:rsid w:val="00D26DAF"/>
    <w:rsid w:val="00D2721B"/>
    <w:rsid w:val="00D279B5"/>
    <w:rsid w:val="00D27A5A"/>
    <w:rsid w:val="00D27A95"/>
    <w:rsid w:val="00D27A9A"/>
    <w:rsid w:val="00D30353"/>
    <w:rsid w:val="00D30557"/>
    <w:rsid w:val="00D30918"/>
    <w:rsid w:val="00D30975"/>
    <w:rsid w:val="00D30B8A"/>
    <w:rsid w:val="00D30D00"/>
    <w:rsid w:val="00D30EB6"/>
    <w:rsid w:val="00D3186E"/>
    <w:rsid w:val="00D31B80"/>
    <w:rsid w:val="00D31C4C"/>
    <w:rsid w:val="00D3209A"/>
    <w:rsid w:val="00D321E6"/>
    <w:rsid w:val="00D3226E"/>
    <w:rsid w:val="00D32482"/>
    <w:rsid w:val="00D32797"/>
    <w:rsid w:val="00D32B44"/>
    <w:rsid w:val="00D3301B"/>
    <w:rsid w:val="00D3318F"/>
    <w:rsid w:val="00D332D5"/>
    <w:rsid w:val="00D3362D"/>
    <w:rsid w:val="00D337B4"/>
    <w:rsid w:val="00D3391A"/>
    <w:rsid w:val="00D33C15"/>
    <w:rsid w:val="00D33C65"/>
    <w:rsid w:val="00D33FC1"/>
    <w:rsid w:val="00D3417E"/>
    <w:rsid w:val="00D34413"/>
    <w:rsid w:val="00D34B21"/>
    <w:rsid w:val="00D34B8B"/>
    <w:rsid w:val="00D35011"/>
    <w:rsid w:val="00D35131"/>
    <w:rsid w:val="00D35176"/>
    <w:rsid w:val="00D354EB"/>
    <w:rsid w:val="00D35571"/>
    <w:rsid w:val="00D355DB"/>
    <w:rsid w:val="00D359E3"/>
    <w:rsid w:val="00D35A23"/>
    <w:rsid w:val="00D35D25"/>
    <w:rsid w:val="00D36336"/>
    <w:rsid w:val="00D36390"/>
    <w:rsid w:val="00D3652C"/>
    <w:rsid w:val="00D36632"/>
    <w:rsid w:val="00D36804"/>
    <w:rsid w:val="00D36AB1"/>
    <w:rsid w:val="00D36BB3"/>
    <w:rsid w:val="00D36DA2"/>
    <w:rsid w:val="00D376C9"/>
    <w:rsid w:val="00D378C3"/>
    <w:rsid w:val="00D37A92"/>
    <w:rsid w:val="00D37CFE"/>
    <w:rsid w:val="00D37E15"/>
    <w:rsid w:val="00D40209"/>
    <w:rsid w:val="00D4022A"/>
    <w:rsid w:val="00D4063E"/>
    <w:rsid w:val="00D40DCE"/>
    <w:rsid w:val="00D41285"/>
    <w:rsid w:val="00D413EB"/>
    <w:rsid w:val="00D41C76"/>
    <w:rsid w:val="00D4229C"/>
    <w:rsid w:val="00D422B6"/>
    <w:rsid w:val="00D4274B"/>
    <w:rsid w:val="00D42F9F"/>
    <w:rsid w:val="00D43670"/>
    <w:rsid w:val="00D43751"/>
    <w:rsid w:val="00D43787"/>
    <w:rsid w:val="00D43AA9"/>
    <w:rsid w:val="00D43BDF"/>
    <w:rsid w:val="00D43C81"/>
    <w:rsid w:val="00D43C9E"/>
    <w:rsid w:val="00D4400C"/>
    <w:rsid w:val="00D44219"/>
    <w:rsid w:val="00D44433"/>
    <w:rsid w:val="00D44795"/>
    <w:rsid w:val="00D447D9"/>
    <w:rsid w:val="00D4498B"/>
    <w:rsid w:val="00D44AFA"/>
    <w:rsid w:val="00D44B92"/>
    <w:rsid w:val="00D44F59"/>
    <w:rsid w:val="00D451F4"/>
    <w:rsid w:val="00D4557E"/>
    <w:rsid w:val="00D45B13"/>
    <w:rsid w:val="00D461EE"/>
    <w:rsid w:val="00D465D9"/>
    <w:rsid w:val="00D46605"/>
    <w:rsid w:val="00D46980"/>
    <w:rsid w:val="00D47006"/>
    <w:rsid w:val="00D47089"/>
    <w:rsid w:val="00D47418"/>
    <w:rsid w:val="00D479DF"/>
    <w:rsid w:val="00D47FB1"/>
    <w:rsid w:val="00D501C9"/>
    <w:rsid w:val="00D502FF"/>
    <w:rsid w:val="00D50786"/>
    <w:rsid w:val="00D50A7C"/>
    <w:rsid w:val="00D50A9A"/>
    <w:rsid w:val="00D50ABE"/>
    <w:rsid w:val="00D50B7A"/>
    <w:rsid w:val="00D50CB5"/>
    <w:rsid w:val="00D50E23"/>
    <w:rsid w:val="00D5119C"/>
    <w:rsid w:val="00D51246"/>
    <w:rsid w:val="00D517E7"/>
    <w:rsid w:val="00D51AE2"/>
    <w:rsid w:val="00D51B72"/>
    <w:rsid w:val="00D51C03"/>
    <w:rsid w:val="00D51EF1"/>
    <w:rsid w:val="00D52056"/>
    <w:rsid w:val="00D523CF"/>
    <w:rsid w:val="00D524BC"/>
    <w:rsid w:val="00D52E27"/>
    <w:rsid w:val="00D52ED7"/>
    <w:rsid w:val="00D53255"/>
    <w:rsid w:val="00D532D2"/>
    <w:rsid w:val="00D53639"/>
    <w:rsid w:val="00D53981"/>
    <w:rsid w:val="00D53A0A"/>
    <w:rsid w:val="00D542C7"/>
    <w:rsid w:val="00D5479D"/>
    <w:rsid w:val="00D547F7"/>
    <w:rsid w:val="00D5516E"/>
    <w:rsid w:val="00D5536F"/>
    <w:rsid w:val="00D553AC"/>
    <w:rsid w:val="00D55489"/>
    <w:rsid w:val="00D557CC"/>
    <w:rsid w:val="00D55B6B"/>
    <w:rsid w:val="00D55D6B"/>
    <w:rsid w:val="00D55E5F"/>
    <w:rsid w:val="00D55E73"/>
    <w:rsid w:val="00D5638C"/>
    <w:rsid w:val="00D56600"/>
    <w:rsid w:val="00D56EBC"/>
    <w:rsid w:val="00D570F7"/>
    <w:rsid w:val="00D574E4"/>
    <w:rsid w:val="00D57C88"/>
    <w:rsid w:val="00D57DCB"/>
    <w:rsid w:val="00D60226"/>
    <w:rsid w:val="00D60411"/>
    <w:rsid w:val="00D604B0"/>
    <w:rsid w:val="00D606C7"/>
    <w:rsid w:val="00D60798"/>
    <w:rsid w:val="00D613BB"/>
    <w:rsid w:val="00D61453"/>
    <w:rsid w:val="00D617F7"/>
    <w:rsid w:val="00D6189D"/>
    <w:rsid w:val="00D618EE"/>
    <w:rsid w:val="00D6192A"/>
    <w:rsid w:val="00D61A85"/>
    <w:rsid w:val="00D61E57"/>
    <w:rsid w:val="00D61F7A"/>
    <w:rsid w:val="00D620B2"/>
    <w:rsid w:val="00D62F2D"/>
    <w:rsid w:val="00D6327D"/>
    <w:rsid w:val="00D63518"/>
    <w:rsid w:val="00D63522"/>
    <w:rsid w:val="00D63821"/>
    <w:rsid w:val="00D63BB5"/>
    <w:rsid w:val="00D63C70"/>
    <w:rsid w:val="00D63E88"/>
    <w:rsid w:val="00D6493C"/>
    <w:rsid w:val="00D64E55"/>
    <w:rsid w:val="00D64E9E"/>
    <w:rsid w:val="00D65209"/>
    <w:rsid w:val="00D65EED"/>
    <w:rsid w:val="00D660A7"/>
    <w:rsid w:val="00D667C9"/>
    <w:rsid w:val="00D667CD"/>
    <w:rsid w:val="00D66A9C"/>
    <w:rsid w:val="00D66AFE"/>
    <w:rsid w:val="00D66DDD"/>
    <w:rsid w:val="00D66E7A"/>
    <w:rsid w:val="00D671B5"/>
    <w:rsid w:val="00D67365"/>
    <w:rsid w:val="00D673DB"/>
    <w:rsid w:val="00D67448"/>
    <w:rsid w:val="00D67C0C"/>
    <w:rsid w:val="00D67DD8"/>
    <w:rsid w:val="00D67F45"/>
    <w:rsid w:val="00D70023"/>
    <w:rsid w:val="00D70360"/>
    <w:rsid w:val="00D707CD"/>
    <w:rsid w:val="00D70912"/>
    <w:rsid w:val="00D7121A"/>
    <w:rsid w:val="00D713F6"/>
    <w:rsid w:val="00D71831"/>
    <w:rsid w:val="00D71841"/>
    <w:rsid w:val="00D718C3"/>
    <w:rsid w:val="00D71AA4"/>
    <w:rsid w:val="00D7267F"/>
    <w:rsid w:val="00D726D7"/>
    <w:rsid w:val="00D726EC"/>
    <w:rsid w:val="00D72A16"/>
    <w:rsid w:val="00D72D4C"/>
    <w:rsid w:val="00D7311E"/>
    <w:rsid w:val="00D735E4"/>
    <w:rsid w:val="00D73703"/>
    <w:rsid w:val="00D73B3E"/>
    <w:rsid w:val="00D73EBE"/>
    <w:rsid w:val="00D74406"/>
    <w:rsid w:val="00D749A4"/>
    <w:rsid w:val="00D74C18"/>
    <w:rsid w:val="00D74D61"/>
    <w:rsid w:val="00D74E65"/>
    <w:rsid w:val="00D74F9D"/>
    <w:rsid w:val="00D74FF4"/>
    <w:rsid w:val="00D7504E"/>
    <w:rsid w:val="00D75410"/>
    <w:rsid w:val="00D75815"/>
    <w:rsid w:val="00D75A15"/>
    <w:rsid w:val="00D75D11"/>
    <w:rsid w:val="00D75FD2"/>
    <w:rsid w:val="00D7600E"/>
    <w:rsid w:val="00D7620B"/>
    <w:rsid w:val="00D76495"/>
    <w:rsid w:val="00D768AF"/>
    <w:rsid w:val="00D768C1"/>
    <w:rsid w:val="00D76BF9"/>
    <w:rsid w:val="00D7705A"/>
    <w:rsid w:val="00D7732B"/>
    <w:rsid w:val="00D77407"/>
    <w:rsid w:val="00D77585"/>
    <w:rsid w:val="00D777BA"/>
    <w:rsid w:val="00D77C08"/>
    <w:rsid w:val="00D80252"/>
    <w:rsid w:val="00D8025B"/>
    <w:rsid w:val="00D804C6"/>
    <w:rsid w:val="00D80579"/>
    <w:rsid w:val="00D80721"/>
    <w:rsid w:val="00D80797"/>
    <w:rsid w:val="00D8086D"/>
    <w:rsid w:val="00D80B56"/>
    <w:rsid w:val="00D80CF2"/>
    <w:rsid w:val="00D810FC"/>
    <w:rsid w:val="00D8165F"/>
    <w:rsid w:val="00D81841"/>
    <w:rsid w:val="00D81D53"/>
    <w:rsid w:val="00D827EE"/>
    <w:rsid w:val="00D8294E"/>
    <w:rsid w:val="00D82C1B"/>
    <w:rsid w:val="00D82CAA"/>
    <w:rsid w:val="00D830B2"/>
    <w:rsid w:val="00D8379F"/>
    <w:rsid w:val="00D839BD"/>
    <w:rsid w:val="00D83B81"/>
    <w:rsid w:val="00D83C9B"/>
    <w:rsid w:val="00D8418D"/>
    <w:rsid w:val="00D842BB"/>
    <w:rsid w:val="00D84A75"/>
    <w:rsid w:val="00D84B72"/>
    <w:rsid w:val="00D84CB8"/>
    <w:rsid w:val="00D85119"/>
    <w:rsid w:val="00D85265"/>
    <w:rsid w:val="00D854EB"/>
    <w:rsid w:val="00D85F53"/>
    <w:rsid w:val="00D861A5"/>
    <w:rsid w:val="00D8643E"/>
    <w:rsid w:val="00D86534"/>
    <w:rsid w:val="00D868F5"/>
    <w:rsid w:val="00D86962"/>
    <w:rsid w:val="00D86EE2"/>
    <w:rsid w:val="00D86F2B"/>
    <w:rsid w:val="00D87270"/>
    <w:rsid w:val="00D87315"/>
    <w:rsid w:val="00D8766B"/>
    <w:rsid w:val="00D87674"/>
    <w:rsid w:val="00D87DCC"/>
    <w:rsid w:val="00D87DEC"/>
    <w:rsid w:val="00D90129"/>
    <w:rsid w:val="00D90393"/>
    <w:rsid w:val="00D90497"/>
    <w:rsid w:val="00D904F2"/>
    <w:rsid w:val="00D904FA"/>
    <w:rsid w:val="00D907FE"/>
    <w:rsid w:val="00D90931"/>
    <w:rsid w:val="00D90A9A"/>
    <w:rsid w:val="00D90DD8"/>
    <w:rsid w:val="00D90E6F"/>
    <w:rsid w:val="00D911A8"/>
    <w:rsid w:val="00D9158A"/>
    <w:rsid w:val="00D91674"/>
    <w:rsid w:val="00D916A0"/>
    <w:rsid w:val="00D9170C"/>
    <w:rsid w:val="00D91868"/>
    <w:rsid w:val="00D91E26"/>
    <w:rsid w:val="00D92CB4"/>
    <w:rsid w:val="00D92E83"/>
    <w:rsid w:val="00D92EF5"/>
    <w:rsid w:val="00D93176"/>
    <w:rsid w:val="00D93521"/>
    <w:rsid w:val="00D93793"/>
    <w:rsid w:val="00D937C3"/>
    <w:rsid w:val="00D93A64"/>
    <w:rsid w:val="00D93BC8"/>
    <w:rsid w:val="00D93BF2"/>
    <w:rsid w:val="00D94047"/>
    <w:rsid w:val="00D9453C"/>
    <w:rsid w:val="00D946F5"/>
    <w:rsid w:val="00D94742"/>
    <w:rsid w:val="00D9487B"/>
    <w:rsid w:val="00D94931"/>
    <w:rsid w:val="00D94F47"/>
    <w:rsid w:val="00D950A4"/>
    <w:rsid w:val="00D951A8"/>
    <w:rsid w:val="00D95694"/>
    <w:rsid w:val="00D9602A"/>
    <w:rsid w:val="00D96346"/>
    <w:rsid w:val="00D96766"/>
    <w:rsid w:val="00D96EDC"/>
    <w:rsid w:val="00D9742E"/>
    <w:rsid w:val="00D974A7"/>
    <w:rsid w:val="00D97A3A"/>
    <w:rsid w:val="00D97A63"/>
    <w:rsid w:val="00D97C02"/>
    <w:rsid w:val="00D97DFF"/>
    <w:rsid w:val="00D97FB5"/>
    <w:rsid w:val="00DA0146"/>
    <w:rsid w:val="00DA05EB"/>
    <w:rsid w:val="00DA0797"/>
    <w:rsid w:val="00DA0899"/>
    <w:rsid w:val="00DA08EB"/>
    <w:rsid w:val="00DA0A1B"/>
    <w:rsid w:val="00DA10D0"/>
    <w:rsid w:val="00DA1744"/>
    <w:rsid w:val="00DA1746"/>
    <w:rsid w:val="00DA1FCF"/>
    <w:rsid w:val="00DA20AF"/>
    <w:rsid w:val="00DA2471"/>
    <w:rsid w:val="00DA262A"/>
    <w:rsid w:val="00DA26AF"/>
    <w:rsid w:val="00DA28CD"/>
    <w:rsid w:val="00DA28F9"/>
    <w:rsid w:val="00DA2AAB"/>
    <w:rsid w:val="00DA2C68"/>
    <w:rsid w:val="00DA34A3"/>
    <w:rsid w:val="00DA35AC"/>
    <w:rsid w:val="00DA35AF"/>
    <w:rsid w:val="00DA35D1"/>
    <w:rsid w:val="00DA35EE"/>
    <w:rsid w:val="00DA395B"/>
    <w:rsid w:val="00DA400F"/>
    <w:rsid w:val="00DA4880"/>
    <w:rsid w:val="00DA4A3C"/>
    <w:rsid w:val="00DA4A60"/>
    <w:rsid w:val="00DA4BE5"/>
    <w:rsid w:val="00DA4E1F"/>
    <w:rsid w:val="00DA5183"/>
    <w:rsid w:val="00DA5241"/>
    <w:rsid w:val="00DA53BF"/>
    <w:rsid w:val="00DA59C0"/>
    <w:rsid w:val="00DA5C23"/>
    <w:rsid w:val="00DA5F03"/>
    <w:rsid w:val="00DA612C"/>
    <w:rsid w:val="00DA6167"/>
    <w:rsid w:val="00DA6AAC"/>
    <w:rsid w:val="00DA6BC8"/>
    <w:rsid w:val="00DA704F"/>
    <w:rsid w:val="00DA75A5"/>
    <w:rsid w:val="00DA7904"/>
    <w:rsid w:val="00DA7CAF"/>
    <w:rsid w:val="00DB0181"/>
    <w:rsid w:val="00DB0211"/>
    <w:rsid w:val="00DB07BB"/>
    <w:rsid w:val="00DB09CE"/>
    <w:rsid w:val="00DB0BEE"/>
    <w:rsid w:val="00DB0E80"/>
    <w:rsid w:val="00DB0FF2"/>
    <w:rsid w:val="00DB1001"/>
    <w:rsid w:val="00DB13D5"/>
    <w:rsid w:val="00DB1B83"/>
    <w:rsid w:val="00DB1BC2"/>
    <w:rsid w:val="00DB1CB5"/>
    <w:rsid w:val="00DB2028"/>
    <w:rsid w:val="00DB2076"/>
    <w:rsid w:val="00DB28D1"/>
    <w:rsid w:val="00DB2A88"/>
    <w:rsid w:val="00DB2B08"/>
    <w:rsid w:val="00DB2C53"/>
    <w:rsid w:val="00DB322F"/>
    <w:rsid w:val="00DB38DF"/>
    <w:rsid w:val="00DB429F"/>
    <w:rsid w:val="00DB442F"/>
    <w:rsid w:val="00DB4724"/>
    <w:rsid w:val="00DB48A8"/>
    <w:rsid w:val="00DB4AEF"/>
    <w:rsid w:val="00DB4B57"/>
    <w:rsid w:val="00DB5232"/>
    <w:rsid w:val="00DB531D"/>
    <w:rsid w:val="00DB539A"/>
    <w:rsid w:val="00DB5679"/>
    <w:rsid w:val="00DB5917"/>
    <w:rsid w:val="00DB594C"/>
    <w:rsid w:val="00DB59D0"/>
    <w:rsid w:val="00DB5C45"/>
    <w:rsid w:val="00DB5EC3"/>
    <w:rsid w:val="00DB605B"/>
    <w:rsid w:val="00DB62BD"/>
    <w:rsid w:val="00DB635E"/>
    <w:rsid w:val="00DB63DD"/>
    <w:rsid w:val="00DB6FCE"/>
    <w:rsid w:val="00DB70AC"/>
    <w:rsid w:val="00DB733A"/>
    <w:rsid w:val="00DB7855"/>
    <w:rsid w:val="00DC0222"/>
    <w:rsid w:val="00DC03F5"/>
    <w:rsid w:val="00DC0A76"/>
    <w:rsid w:val="00DC13F3"/>
    <w:rsid w:val="00DC1A51"/>
    <w:rsid w:val="00DC1A6E"/>
    <w:rsid w:val="00DC1AB4"/>
    <w:rsid w:val="00DC1BD5"/>
    <w:rsid w:val="00DC1DE2"/>
    <w:rsid w:val="00DC219B"/>
    <w:rsid w:val="00DC21F9"/>
    <w:rsid w:val="00DC237C"/>
    <w:rsid w:val="00DC268D"/>
    <w:rsid w:val="00DC2EE1"/>
    <w:rsid w:val="00DC366B"/>
    <w:rsid w:val="00DC37BA"/>
    <w:rsid w:val="00DC3841"/>
    <w:rsid w:val="00DC3B98"/>
    <w:rsid w:val="00DC3E22"/>
    <w:rsid w:val="00DC3EFF"/>
    <w:rsid w:val="00DC45A2"/>
    <w:rsid w:val="00DC4DD1"/>
    <w:rsid w:val="00DC4FF7"/>
    <w:rsid w:val="00DC5012"/>
    <w:rsid w:val="00DC51C9"/>
    <w:rsid w:val="00DC52F8"/>
    <w:rsid w:val="00DC5666"/>
    <w:rsid w:val="00DC56C2"/>
    <w:rsid w:val="00DC5745"/>
    <w:rsid w:val="00DC5925"/>
    <w:rsid w:val="00DC5CBF"/>
    <w:rsid w:val="00DC5D30"/>
    <w:rsid w:val="00DC64E5"/>
    <w:rsid w:val="00DC67A4"/>
    <w:rsid w:val="00DC6907"/>
    <w:rsid w:val="00DC6AB1"/>
    <w:rsid w:val="00DC6B76"/>
    <w:rsid w:val="00DC72C6"/>
    <w:rsid w:val="00DC72EB"/>
    <w:rsid w:val="00DC79E0"/>
    <w:rsid w:val="00DC7B02"/>
    <w:rsid w:val="00DC7D95"/>
    <w:rsid w:val="00DD0002"/>
    <w:rsid w:val="00DD0424"/>
    <w:rsid w:val="00DD06DD"/>
    <w:rsid w:val="00DD16AF"/>
    <w:rsid w:val="00DD1C20"/>
    <w:rsid w:val="00DD1F7F"/>
    <w:rsid w:val="00DD201B"/>
    <w:rsid w:val="00DD2792"/>
    <w:rsid w:val="00DD288D"/>
    <w:rsid w:val="00DD29BB"/>
    <w:rsid w:val="00DD2AC2"/>
    <w:rsid w:val="00DD376B"/>
    <w:rsid w:val="00DD399A"/>
    <w:rsid w:val="00DD3A42"/>
    <w:rsid w:val="00DD3B2A"/>
    <w:rsid w:val="00DD4B90"/>
    <w:rsid w:val="00DD539A"/>
    <w:rsid w:val="00DD55C3"/>
    <w:rsid w:val="00DD5800"/>
    <w:rsid w:val="00DD60AC"/>
    <w:rsid w:val="00DD6DC9"/>
    <w:rsid w:val="00DD6E4D"/>
    <w:rsid w:val="00DD7047"/>
    <w:rsid w:val="00DD759F"/>
    <w:rsid w:val="00DD75E2"/>
    <w:rsid w:val="00DD7FFD"/>
    <w:rsid w:val="00DE0063"/>
    <w:rsid w:val="00DE0B14"/>
    <w:rsid w:val="00DE0B72"/>
    <w:rsid w:val="00DE0E1E"/>
    <w:rsid w:val="00DE0EF0"/>
    <w:rsid w:val="00DE12E1"/>
    <w:rsid w:val="00DE1895"/>
    <w:rsid w:val="00DE1ABB"/>
    <w:rsid w:val="00DE1BA8"/>
    <w:rsid w:val="00DE1D92"/>
    <w:rsid w:val="00DE271C"/>
    <w:rsid w:val="00DE2D03"/>
    <w:rsid w:val="00DE2FDB"/>
    <w:rsid w:val="00DE3494"/>
    <w:rsid w:val="00DE38A0"/>
    <w:rsid w:val="00DE47BA"/>
    <w:rsid w:val="00DE4B6D"/>
    <w:rsid w:val="00DE4BB3"/>
    <w:rsid w:val="00DE4CFF"/>
    <w:rsid w:val="00DE4E1A"/>
    <w:rsid w:val="00DE5078"/>
    <w:rsid w:val="00DE511C"/>
    <w:rsid w:val="00DE5161"/>
    <w:rsid w:val="00DE53A9"/>
    <w:rsid w:val="00DE553F"/>
    <w:rsid w:val="00DE5696"/>
    <w:rsid w:val="00DE5964"/>
    <w:rsid w:val="00DE5AA4"/>
    <w:rsid w:val="00DE6735"/>
    <w:rsid w:val="00DE77CC"/>
    <w:rsid w:val="00DE78E4"/>
    <w:rsid w:val="00DE7903"/>
    <w:rsid w:val="00DE7959"/>
    <w:rsid w:val="00DE7BCB"/>
    <w:rsid w:val="00DE7C11"/>
    <w:rsid w:val="00DE7F50"/>
    <w:rsid w:val="00DF031B"/>
    <w:rsid w:val="00DF04DE"/>
    <w:rsid w:val="00DF0621"/>
    <w:rsid w:val="00DF1317"/>
    <w:rsid w:val="00DF1514"/>
    <w:rsid w:val="00DF1B1A"/>
    <w:rsid w:val="00DF1B5A"/>
    <w:rsid w:val="00DF1DE3"/>
    <w:rsid w:val="00DF1FF3"/>
    <w:rsid w:val="00DF22F7"/>
    <w:rsid w:val="00DF3468"/>
    <w:rsid w:val="00DF3891"/>
    <w:rsid w:val="00DF3BD1"/>
    <w:rsid w:val="00DF3E53"/>
    <w:rsid w:val="00DF3F6A"/>
    <w:rsid w:val="00DF406E"/>
    <w:rsid w:val="00DF4850"/>
    <w:rsid w:val="00DF4AC5"/>
    <w:rsid w:val="00DF4ACB"/>
    <w:rsid w:val="00DF4AE2"/>
    <w:rsid w:val="00DF4CF6"/>
    <w:rsid w:val="00DF4F9C"/>
    <w:rsid w:val="00DF5358"/>
    <w:rsid w:val="00DF53E8"/>
    <w:rsid w:val="00DF56EB"/>
    <w:rsid w:val="00DF58CA"/>
    <w:rsid w:val="00DF598C"/>
    <w:rsid w:val="00DF5C0B"/>
    <w:rsid w:val="00DF62F8"/>
    <w:rsid w:val="00DF65B7"/>
    <w:rsid w:val="00DF69B0"/>
    <w:rsid w:val="00DF6A90"/>
    <w:rsid w:val="00DF6B24"/>
    <w:rsid w:val="00DF6F11"/>
    <w:rsid w:val="00DF71DF"/>
    <w:rsid w:val="00DF732C"/>
    <w:rsid w:val="00DF7499"/>
    <w:rsid w:val="00DF7681"/>
    <w:rsid w:val="00DF777D"/>
    <w:rsid w:val="00DF7E34"/>
    <w:rsid w:val="00E00273"/>
    <w:rsid w:val="00E0031E"/>
    <w:rsid w:val="00E003E7"/>
    <w:rsid w:val="00E005A8"/>
    <w:rsid w:val="00E00751"/>
    <w:rsid w:val="00E00D13"/>
    <w:rsid w:val="00E00DCF"/>
    <w:rsid w:val="00E00EB0"/>
    <w:rsid w:val="00E01439"/>
    <w:rsid w:val="00E0172F"/>
    <w:rsid w:val="00E01761"/>
    <w:rsid w:val="00E01899"/>
    <w:rsid w:val="00E01BEF"/>
    <w:rsid w:val="00E026F9"/>
    <w:rsid w:val="00E02BB7"/>
    <w:rsid w:val="00E030FC"/>
    <w:rsid w:val="00E032AC"/>
    <w:rsid w:val="00E032DB"/>
    <w:rsid w:val="00E0330C"/>
    <w:rsid w:val="00E03373"/>
    <w:rsid w:val="00E033C9"/>
    <w:rsid w:val="00E035FD"/>
    <w:rsid w:val="00E03AE5"/>
    <w:rsid w:val="00E03B8A"/>
    <w:rsid w:val="00E03EF3"/>
    <w:rsid w:val="00E04251"/>
    <w:rsid w:val="00E0458F"/>
    <w:rsid w:val="00E048B1"/>
    <w:rsid w:val="00E04922"/>
    <w:rsid w:val="00E04A5D"/>
    <w:rsid w:val="00E05028"/>
    <w:rsid w:val="00E051DE"/>
    <w:rsid w:val="00E0538B"/>
    <w:rsid w:val="00E05B0E"/>
    <w:rsid w:val="00E05EDE"/>
    <w:rsid w:val="00E05F80"/>
    <w:rsid w:val="00E06102"/>
    <w:rsid w:val="00E0610C"/>
    <w:rsid w:val="00E06166"/>
    <w:rsid w:val="00E06635"/>
    <w:rsid w:val="00E0677F"/>
    <w:rsid w:val="00E07ABB"/>
    <w:rsid w:val="00E07B73"/>
    <w:rsid w:val="00E07D61"/>
    <w:rsid w:val="00E100A9"/>
    <w:rsid w:val="00E10465"/>
    <w:rsid w:val="00E11011"/>
    <w:rsid w:val="00E11421"/>
    <w:rsid w:val="00E1159D"/>
    <w:rsid w:val="00E11A9A"/>
    <w:rsid w:val="00E11B5B"/>
    <w:rsid w:val="00E11DBD"/>
    <w:rsid w:val="00E12103"/>
    <w:rsid w:val="00E12110"/>
    <w:rsid w:val="00E12328"/>
    <w:rsid w:val="00E123B4"/>
    <w:rsid w:val="00E12551"/>
    <w:rsid w:val="00E125E9"/>
    <w:rsid w:val="00E12A9C"/>
    <w:rsid w:val="00E12B4D"/>
    <w:rsid w:val="00E12C78"/>
    <w:rsid w:val="00E12EB7"/>
    <w:rsid w:val="00E13020"/>
    <w:rsid w:val="00E133BC"/>
    <w:rsid w:val="00E1345D"/>
    <w:rsid w:val="00E13717"/>
    <w:rsid w:val="00E13770"/>
    <w:rsid w:val="00E138C1"/>
    <w:rsid w:val="00E139A6"/>
    <w:rsid w:val="00E13A5A"/>
    <w:rsid w:val="00E13C14"/>
    <w:rsid w:val="00E1404B"/>
    <w:rsid w:val="00E14946"/>
    <w:rsid w:val="00E14C70"/>
    <w:rsid w:val="00E14CFD"/>
    <w:rsid w:val="00E14F14"/>
    <w:rsid w:val="00E14FB3"/>
    <w:rsid w:val="00E156B6"/>
    <w:rsid w:val="00E1576A"/>
    <w:rsid w:val="00E15ACF"/>
    <w:rsid w:val="00E15DC3"/>
    <w:rsid w:val="00E16683"/>
    <w:rsid w:val="00E16A10"/>
    <w:rsid w:val="00E16BF1"/>
    <w:rsid w:val="00E16CF5"/>
    <w:rsid w:val="00E16E40"/>
    <w:rsid w:val="00E1720B"/>
    <w:rsid w:val="00E1766D"/>
    <w:rsid w:val="00E17944"/>
    <w:rsid w:val="00E179E6"/>
    <w:rsid w:val="00E17D74"/>
    <w:rsid w:val="00E17FF1"/>
    <w:rsid w:val="00E20939"/>
    <w:rsid w:val="00E20F86"/>
    <w:rsid w:val="00E20FD7"/>
    <w:rsid w:val="00E21188"/>
    <w:rsid w:val="00E2169A"/>
    <w:rsid w:val="00E21A26"/>
    <w:rsid w:val="00E21A47"/>
    <w:rsid w:val="00E21C9F"/>
    <w:rsid w:val="00E220C8"/>
    <w:rsid w:val="00E221CA"/>
    <w:rsid w:val="00E221F0"/>
    <w:rsid w:val="00E22606"/>
    <w:rsid w:val="00E22920"/>
    <w:rsid w:val="00E229A5"/>
    <w:rsid w:val="00E22C00"/>
    <w:rsid w:val="00E22CE1"/>
    <w:rsid w:val="00E22D0B"/>
    <w:rsid w:val="00E22EB3"/>
    <w:rsid w:val="00E2321D"/>
    <w:rsid w:val="00E2343D"/>
    <w:rsid w:val="00E2368E"/>
    <w:rsid w:val="00E2369D"/>
    <w:rsid w:val="00E2398C"/>
    <w:rsid w:val="00E23B2E"/>
    <w:rsid w:val="00E23C39"/>
    <w:rsid w:val="00E24A8F"/>
    <w:rsid w:val="00E24B07"/>
    <w:rsid w:val="00E24DE7"/>
    <w:rsid w:val="00E2501E"/>
    <w:rsid w:val="00E2554B"/>
    <w:rsid w:val="00E25566"/>
    <w:rsid w:val="00E256D9"/>
    <w:rsid w:val="00E25764"/>
    <w:rsid w:val="00E257E9"/>
    <w:rsid w:val="00E25839"/>
    <w:rsid w:val="00E25975"/>
    <w:rsid w:val="00E25F27"/>
    <w:rsid w:val="00E265BA"/>
    <w:rsid w:val="00E265E3"/>
    <w:rsid w:val="00E266A3"/>
    <w:rsid w:val="00E266DA"/>
    <w:rsid w:val="00E26709"/>
    <w:rsid w:val="00E2687B"/>
    <w:rsid w:val="00E268DD"/>
    <w:rsid w:val="00E26A8B"/>
    <w:rsid w:val="00E271A2"/>
    <w:rsid w:val="00E272CE"/>
    <w:rsid w:val="00E272F6"/>
    <w:rsid w:val="00E276CB"/>
    <w:rsid w:val="00E27A56"/>
    <w:rsid w:val="00E27C2E"/>
    <w:rsid w:val="00E27E15"/>
    <w:rsid w:val="00E30017"/>
    <w:rsid w:val="00E307CA"/>
    <w:rsid w:val="00E30FF2"/>
    <w:rsid w:val="00E31047"/>
    <w:rsid w:val="00E310BB"/>
    <w:rsid w:val="00E31849"/>
    <w:rsid w:val="00E31897"/>
    <w:rsid w:val="00E31AAD"/>
    <w:rsid w:val="00E31D0A"/>
    <w:rsid w:val="00E320AB"/>
    <w:rsid w:val="00E320D7"/>
    <w:rsid w:val="00E321DB"/>
    <w:rsid w:val="00E3238D"/>
    <w:rsid w:val="00E328AF"/>
    <w:rsid w:val="00E32BC6"/>
    <w:rsid w:val="00E32C83"/>
    <w:rsid w:val="00E32E65"/>
    <w:rsid w:val="00E32F94"/>
    <w:rsid w:val="00E3338E"/>
    <w:rsid w:val="00E333A9"/>
    <w:rsid w:val="00E33629"/>
    <w:rsid w:val="00E33AF4"/>
    <w:rsid w:val="00E33B4A"/>
    <w:rsid w:val="00E340D9"/>
    <w:rsid w:val="00E342E7"/>
    <w:rsid w:val="00E34565"/>
    <w:rsid w:val="00E34943"/>
    <w:rsid w:val="00E34D97"/>
    <w:rsid w:val="00E34E06"/>
    <w:rsid w:val="00E351EF"/>
    <w:rsid w:val="00E359CB"/>
    <w:rsid w:val="00E35C63"/>
    <w:rsid w:val="00E362D6"/>
    <w:rsid w:val="00E36979"/>
    <w:rsid w:val="00E36F0B"/>
    <w:rsid w:val="00E37014"/>
    <w:rsid w:val="00E37037"/>
    <w:rsid w:val="00E37351"/>
    <w:rsid w:val="00E37534"/>
    <w:rsid w:val="00E379F8"/>
    <w:rsid w:val="00E37F5A"/>
    <w:rsid w:val="00E37FA7"/>
    <w:rsid w:val="00E4015E"/>
    <w:rsid w:val="00E4054B"/>
    <w:rsid w:val="00E40B7B"/>
    <w:rsid w:val="00E40DEF"/>
    <w:rsid w:val="00E411A2"/>
    <w:rsid w:val="00E41308"/>
    <w:rsid w:val="00E41310"/>
    <w:rsid w:val="00E41ADD"/>
    <w:rsid w:val="00E41D7E"/>
    <w:rsid w:val="00E41DAB"/>
    <w:rsid w:val="00E41E5F"/>
    <w:rsid w:val="00E420AF"/>
    <w:rsid w:val="00E4214A"/>
    <w:rsid w:val="00E421C1"/>
    <w:rsid w:val="00E42E68"/>
    <w:rsid w:val="00E430E2"/>
    <w:rsid w:val="00E43306"/>
    <w:rsid w:val="00E433EF"/>
    <w:rsid w:val="00E4342B"/>
    <w:rsid w:val="00E434CA"/>
    <w:rsid w:val="00E43715"/>
    <w:rsid w:val="00E43DAD"/>
    <w:rsid w:val="00E43E8B"/>
    <w:rsid w:val="00E4416E"/>
    <w:rsid w:val="00E4418A"/>
    <w:rsid w:val="00E44457"/>
    <w:rsid w:val="00E44739"/>
    <w:rsid w:val="00E4476B"/>
    <w:rsid w:val="00E451EB"/>
    <w:rsid w:val="00E45360"/>
    <w:rsid w:val="00E45529"/>
    <w:rsid w:val="00E45932"/>
    <w:rsid w:val="00E4622A"/>
    <w:rsid w:val="00E462F1"/>
    <w:rsid w:val="00E4639F"/>
    <w:rsid w:val="00E4645C"/>
    <w:rsid w:val="00E46885"/>
    <w:rsid w:val="00E4688E"/>
    <w:rsid w:val="00E4697B"/>
    <w:rsid w:val="00E46A5E"/>
    <w:rsid w:val="00E46C1E"/>
    <w:rsid w:val="00E46D35"/>
    <w:rsid w:val="00E46E41"/>
    <w:rsid w:val="00E46FB2"/>
    <w:rsid w:val="00E474FF"/>
    <w:rsid w:val="00E47580"/>
    <w:rsid w:val="00E47A51"/>
    <w:rsid w:val="00E47E70"/>
    <w:rsid w:val="00E500BA"/>
    <w:rsid w:val="00E50114"/>
    <w:rsid w:val="00E50156"/>
    <w:rsid w:val="00E51031"/>
    <w:rsid w:val="00E510E4"/>
    <w:rsid w:val="00E51309"/>
    <w:rsid w:val="00E5130E"/>
    <w:rsid w:val="00E51388"/>
    <w:rsid w:val="00E51544"/>
    <w:rsid w:val="00E51958"/>
    <w:rsid w:val="00E51985"/>
    <w:rsid w:val="00E51A77"/>
    <w:rsid w:val="00E52580"/>
    <w:rsid w:val="00E52A6E"/>
    <w:rsid w:val="00E53637"/>
    <w:rsid w:val="00E539C4"/>
    <w:rsid w:val="00E53C1B"/>
    <w:rsid w:val="00E53E74"/>
    <w:rsid w:val="00E54154"/>
    <w:rsid w:val="00E54174"/>
    <w:rsid w:val="00E54549"/>
    <w:rsid w:val="00E54596"/>
    <w:rsid w:val="00E5507D"/>
    <w:rsid w:val="00E550C2"/>
    <w:rsid w:val="00E5536F"/>
    <w:rsid w:val="00E557AC"/>
    <w:rsid w:val="00E55ED7"/>
    <w:rsid w:val="00E55FD4"/>
    <w:rsid w:val="00E560F8"/>
    <w:rsid w:val="00E567CA"/>
    <w:rsid w:val="00E569D0"/>
    <w:rsid w:val="00E56A53"/>
    <w:rsid w:val="00E56F2B"/>
    <w:rsid w:val="00E57150"/>
    <w:rsid w:val="00E575CC"/>
    <w:rsid w:val="00E5767D"/>
    <w:rsid w:val="00E57745"/>
    <w:rsid w:val="00E579DF"/>
    <w:rsid w:val="00E57A3C"/>
    <w:rsid w:val="00E57A51"/>
    <w:rsid w:val="00E57C72"/>
    <w:rsid w:val="00E57F9F"/>
    <w:rsid w:val="00E601F0"/>
    <w:rsid w:val="00E6066A"/>
    <w:rsid w:val="00E60765"/>
    <w:rsid w:val="00E60835"/>
    <w:rsid w:val="00E60BFA"/>
    <w:rsid w:val="00E60EF5"/>
    <w:rsid w:val="00E6104D"/>
    <w:rsid w:val="00E61265"/>
    <w:rsid w:val="00E613C2"/>
    <w:rsid w:val="00E6170F"/>
    <w:rsid w:val="00E61793"/>
    <w:rsid w:val="00E61EF1"/>
    <w:rsid w:val="00E61F36"/>
    <w:rsid w:val="00E61F82"/>
    <w:rsid w:val="00E62034"/>
    <w:rsid w:val="00E62431"/>
    <w:rsid w:val="00E6255E"/>
    <w:rsid w:val="00E625DD"/>
    <w:rsid w:val="00E62A5A"/>
    <w:rsid w:val="00E62A9B"/>
    <w:rsid w:val="00E62AAC"/>
    <w:rsid w:val="00E62DBB"/>
    <w:rsid w:val="00E62E82"/>
    <w:rsid w:val="00E62EF0"/>
    <w:rsid w:val="00E63050"/>
    <w:rsid w:val="00E633A0"/>
    <w:rsid w:val="00E644EC"/>
    <w:rsid w:val="00E64570"/>
    <w:rsid w:val="00E649B4"/>
    <w:rsid w:val="00E64AE2"/>
    <w:rsid w:val="00E64BC2"/>
    <w:rsid w:val="00E64C9C"/>
    <w:rsid w:val="00E64F68"/>
    <w:rsid w:val="00E653D9"/>
    <w:rsid w:val="00E6553C"/>
    <w:rsid w:val="00E656F3"/>
    <w:rsid w:val="00E66339"/>
    <w:rsid w:val="00E6679E"/>
    <w:rsid w:val="00E6683F"/>
    <w:rsid w:val="00E66D21"/>
    <w:rsid w:val="00E67485"/>
    <w:rsid w:val="00E67F3C"/>
    <w:rsid w:val="00E700CF"/>
    <w:rsid w:val="00E7017F"/>
    <w:rsid w:val="00E701F5"/>
    <w:rsid w:val="00E702D0"/>
    <w:rsid w:val="00E7039A"/>
    <w:rsid w:val="00E703CE"/>
    <w:rsid w:val="00E706A3"/>
    <w:rsid w:val="00E70864"/>
    <w:rsid w:val="00E70A19"/>
    <w:rsid w:val="00E70C03"/>
    <w:rsid w:val="00E70EEA"/>
    <w:rsid w:val="00E71425"/>
    <w:rsid w:val="00E71476"/>
    <w:rsid w:val="00E715C7"/>
    <w:rsid w:val="00E716B9"/>
    <w:rsid w:val="00E7206B"/>
    <w:rsid w:val="00E722BD"/>
    <w:rsid w:val="00E724B5"/>
    <w:rsid w:val="00E72C66"/>
    <w:rsid w:val="00E72EF4"/>
    <w:rsid w:val="00E7353A"/>
    <w:rsid w:val="00E735FF"/>
    <w:rsid w:val="00E73936"/>
    <w:rsid w:val="00E73DD5"/>
    <w:rsid w:val="00E7455C"/>
    <w:rsid w:val="00E74882"/>
    <w:rsid w:val="00E74B7B"/>
    <w:rsid w:val="00E74C2C"/>
    <w:rsid w:val="00E74E64"/>
    <w:rsid w:val="00E74EF5"/>
    <w:rsid w:val="00E759F1"/>
    <w:rsid w:val="00E75F4D"/>
    <w:rsid w:val="00E76AD0"/>
    <w:rsid w:val="00E76B1B"/>
    <w:rsid w:val="00E77084"/>
    <w:rsid w:val="00E77475"/>
    <w:rsid w:val="00E77A82"/>
    <w:rsid w:val="00E77C94"/>
    <w:rsid w:val="00E80365"/>
    <w:rsid w:val="00E80609"/>
    <w:rsid w:val="00E80AC2"/>
    <w:rsid w:val="00E80CB2"/>
    <w:rsid w:val="00E80F02"/>
    <w:rsid w:val="00E810B8"/>
    <w:rsid w:val="00E814EE"/>
    <w:rsid w:val="00E81B25"/>
    <w:rsid w:val="00E81C5C"/>
    <w:rsid w:val="00E82944"/>
    <w:rsid w:val="00E82C28"/>
    <w:rsid w:val="00E82E20"/>
    <w:rsid w:val="00E82E9B"/>
    <w:rsid w:val="00E83965"/>
    <w:rsid w:val="00E83BE8"/>
    <w:rsid w:val="00E8465E"/>
    <w:rsid w:val="00E8470A"/>
    <w:rsid w:val="00E84A4F"/>
    <w:rsid w:val="00E84DFC"/>
    <w:rsid w:val="00E8518A"/>
    <w:rsid w:val="00E8574F"/>
    <w:rsid w:val="00E8575D"/>
    <w:rsid w:val="00E85877"/>
    <w:rsid w:val="00E85E27"/>
    <w:rsid w:val="00E85EBD"/>
    <w:rsid w:val="00E862AA"/>
    <w:rsid w:val="00E863F1"/>
    <w:rsid w:val="00E8665A"/>
    <w:rsid w:val="00E869BA"/>
    <w:rsid w:val="00E86A24"/>
    <w:rsid w:val="00E86CB3"/>
    <w:rsid w:val="00E86F5B"/>
    <w:rsid w:val="00E87229"/>
    <w:rsid w:val="00E878FC"/>
    <w:rsid w:val="00E87A35"/>
    <w:rsid w:val="00E87BC0"/>
    <w:rsid w:val="00E87BD8"/>
    <w:rsid w:val="00E87C16"/>
    <w:rsid w:val="00E9020C"/>
    <w:rsid w:val="00E9071A"/>
    <w:rsid w:val="00E9095C"/>
    <w:rsid w:val="00E90DD4"/>
    <w:rsid w:val="00E90E17"/>
    <w:rsid w:val="00E90E7B"/>
    <w:rsid w:val="00E911AD"/>
    <w:rsid w:val="00E91669"/>
    <w:rsid w:val="00E91755"/>
    <w:rsid w:val="00E92580"/>
    <w:rsid w:val="00E92ABC"/>
    <w:rsid w:val="00E92EE0"/>
    <w:rsid w:val="00E9306E"/>
    <w:rsid w:val="00E93109"/>
    <w:rsid w:val="00E931B6"/>
    <w:rsid w:val="00E932F3"/>
    <w:rsid w:val="00E93848"/>
    <w:rsid w:val="00E939D0"/>
    <w:rsid w:val="00E9408C"/>
    <w:rsid w:val="00E94928"/>
    <w:rsid w:val="00E94A6B"/>
    <w:rsid w:val="00E94A76"/>
    <w:rsid w:val="00E94BC9"/>
    <w:rsid w:val="00E94E63"/>
    <w:rsid w:val="00E94EF5"/>
    <w:rsid w:val="00E9508D"/>
    <w:rsid w:val="00E9517E"/>
    <w:rsid w:val="00E95C0B"/>
    <w:rsid w:val="00E95FA7"/>
    <w:rsid w:val="00E964A0"/>
    <w:rsid w:val="00E966E9"/>
    <w:rsid w:val="00E969D2"/>
    <w:rsid w:val="00E96E00"/>
    <w:rsid w:val="00E96EEA"/>
    <w:rsid w:val="00E97462"/>
    <w:rsid w:val="00E977AA"/>
    <w:rsid w:val="00E979AF"/>
    <w:rsid w:val="00EA0442"/>
    <w:rsid w:val="00EA05CC"/>
    <w:rsid w:val="00EA05F3"/>
    <w:rsid w:val="00EA0E63"/>
    <w:rsid w:val="00EA0F77"/>
    <w:rsid w:val="00EA12B3"/>
    <w:rsid w:val="00EA142C"/>
    <w:rsid w:val="00EA14B4"/>
    <w:rsid w:val="00EA16BD"/>
    <w:rsid w:val="00EA16D5"/>
    <w:rsid w:val="00EA1BCE"/>
    <w:rsid w:val="00EA1EA1"/>
    <w:rsid w:val="00EA2498"/>
    <w:rsid w:val="00EA2734"/>
    <w:rsid w:val="00EA2750"/>
    <w:rsid w:val="00EA28DC"/>
    <w:rsid w:val="00EA29B8"/>
    <w:rsid w:val="00EA2B08"/>
    <w:rsid w:val="00EA2DED"/>
    <w:rsid w:val="00EA2FCB"/>
    <w:rsid w:val="00EA323D"/>
    <w:rsid w:val="00EA3777"/>
    <w:rsid w:val="00EA390E"/>
    <w:rsid w:val="00EA419A"/>
    <w:rsid w:val="00EA4408"/>
    <w:rsid w:val="00EA44ED"/>
    <w:rsid w:val="00EA4D2C"/>
    <w:rsid w:val="00EA5166"/>
    <w:rsid w:val="00EA51EB"/>
    <w:rsid w:val="00EA5909"/>
    <w:rsid w:val="00EA5E75"/>
    <w:rsid w:val="00EA5F8D"/>
    <w:rsid w:val="00EA5FCD"/>
    <w:rsid w:val="00EA6307"/>
    <w:rsid w:val="00EA685C"/>
    <w:rsid w:val="00EA717B"/>
    <w:rsid w:val="00EA7490"/>
    <w:rsid w:val="00EA7637"/>
    <w:rsid w:val="00EA7653"/>
    <w:rsid w:val="00EA7805"/>
    <w:rsid w:val="00EA7AAD"/>
    <w:rsid w:val="00EB06C4"/>
    <w:rsid w:val="00EB06D6"/>
    <w:rsid w:val="00EB08C6"/>
    <w:rsid w:val="00EB1213"/>
    <w:rsid w:val="00EB1C0B"/>
    <w:rsid w:val="00EB2217"/>
    <w:rsid w:val="00EB2493"/>
    <w:rsid w:val="00EB31BB"/>
    <w:rsid w:val="00EB399B"/>
    <w:rsid w:val="00EB4253"/>
    <w:rsid w:val="00EB445D"/>
    <w:rsid w:val="00EB4C05"/>
    <w:rsid w:val="00EB55E2"/>
    <w:rsid w:val="00EB56BF"/>
    <w:rsid w:val="00EB574E"/>
    <w:rsid w:val="00EB5BA0"/>
    <w:rsid w:val="00EB5DC3"/>
    <w:rsid w:val="00EB5F9E"/>
    <w:rsid w:val="00EB5FCB"/>
    <w:rsid w:val="00EB611D"/>
    <w:rsid w:val="00EB629A"/>
    <w:rsid w:val="00EB6543"/>
    <w:rsid w:val="00EB6A4E"/>
    <w:rsid w:val="00EB6BC3"/>
    <w:rsid w:val="00EB6D1F"/>
    <w:rsid w:val="00EB70AE"/>
    <w:rsid w:val="00EB723A"/>
    <w:rsid w:val="00EB73F8"/>
    <w:rsid w:val="00EB753F"/>
    <w:rsid w:val="00EB75F6"/>
    <w:rsid w:val="00EB7689"/>
    <w:rsid w:val="00EB773D"/>
    <w:rsid w:val="00EB7BC7"/>
    <w:rsid w:val="00EB7DC8"/>
    <w:rsid w:val="00EC0373"/>
    <w:rsid w:val="00EC0911"/>
    <w:rsid w:val="00EC0C30"/>
    <w:rsid w:val="00EC0E56"/>
    <w:rsid w:val="00EC0F28"/>
    <w:rsid w:val="00EC0F2E"/>
    <w:rsid w:val="00EC112C"/>
    <w:rsid w:val="00EC137D"/>
    <w:rsid w:val="00EC148F"/>
    <w:rsid w:val="00EC15B2"/>
    <w:rsid w:val="00EC1E3D"/>
    <w:rsid w:val="00EC1E7A"/>
    <w:rsid w:val="00EC1E9A"/>
    <w:rsid w:val="00EC2286"/>
    <w:rsid w:val="00EC2A6B"/>
    <w:rsid w:val="00EC2CB5"/>
    <w:rsid w:val="00EC3138"/>
    <w:rsid w:val="00EC39AB"/>
    <w:rsid w:val="00EC3ABA"/>
    <w:rsid w:val="00EC408F"/>
    <w:rsid w:val="00EC422F"/>
    <w:rsid w:val="00EC42D2"/>
    <w:rsid w:val="00EC469D"/>
    <w:rsid w:val="00EC4EBB"/>
    <w:rsid w:val="00EC5063"/>
    <w:rsid w:val="00EC53E4"/>
    <w:rsid w:val="00EC5892"/>
    <w:rsid w:val="00EC58A2"/>
    <w:rsid w:val="00EC58AC"/>
    <w:rsid w:val="00EC5A91"/>
    <w:rsid w:val="00EC5C5C"/>
    <w:rsid w:val="00EC5C64"/>
    <w:rsid w:val="00EC6032"/>
    <w:rsid w:val="00EC6336"/>
    <w:rsid w:val="00EC6BC5"/>
    <w:rsid w:val="00EC7470"/>
    <w:rsid w:val="00EC74CD"/>
    <w:rsid w:val="00EC76C9"/>
    <w:rsid w:val="00ED0D55"/>
    <w:rsid w:val="00ED0E29"/>
    <w:rsid w:val="00ED11AF"/>
    <w:rsid w:val="00ED1732"/>
    <w:rsid w:val="00ED18AF"/>
    <w:rsid w:val="00ED22B0"/>
    <w:rsid w:val="00ED282F"/>
    <w:rsid w:val="00ED2CA8"/>
    <w:rsid w:val="00ED2ECF"/>
    <w:rsid w:val="00ED2EDA"/>
    <w:rsid w:val="00ED2FA1"/>
    <w:rsid w:val="00ED3173"/>
    <w:rsid w:val="00ED3309"/>
    <w:rsid w:val="00ED3460"/>
    <w:rsid w:val="00ED38D2"/>
    <w:rsid w:val="00ED3B60"/>
    <w:rsid w:val="00ED3DB7"/>
    <w:rsid w:val="00ED4048"/>
    <w:rsid w:val="00ED424C"/>
    <w:rsid w:val="00ED4748"/>
    <w:rsid w:val="00ED47A8"/>
    <w:rsid w:val="00ED496A"/>
    <w:rsid w:val="00ED4970"/>
    <w:rsid w:val="00ED49B9"/>
    <w:rsid w:val="00ED4DF7"/>
    <w:rsid w:val="00ED5162"/>
    <w:rsid w:val="00ED557B"/>
    <w:rsid w:val="00ED5713"/>
    <w:rsid w:val="00ED5A6F"/>
    <w:rsid w:val="00ED5C6F"/>
    <w:rsid w:val="00ED5E07"/>
    <w:rsid w:val="00ED6253"/>
    <w:rsid w:val="00ED6379"/>
    <w:rsid w:val="00ED69AE"/>
    <w:rsid w:val="00ED6DF0"/>
    <w:rsid w:val="00ED6F67"/>
    <w:rsid w:val="00ED70D5"/>
    <w:rsid w:val="00ED7293"/>
    <w:rsid w:val="00ED78B2"/>
    <w:rsid w:val="00ED78B3"/>
    <w:rsid w:val="00ED7A9D"/>
    <w:rsid w:val="00ED7B98"/>
    <w:rsid w:val="00EE0587"/>
    <w:rsid w:val="00EE0EFB"/>
    <w:rsid w:val="00EE15E8"/>
    <w:rsid w:val="00EE1600"/>
    <w:rsid w:val="00EE1949"/>
    <w:rsid w:val="00EE1A98"/>
    <w:rsid w:val="00EE1AAF"/>
    <w:rsid w:val="00EE1D94"/>
    <w:rsid w:val="00EE21A9"/>
    <w:rsid w:val="00EE2371"/>
    <w:rsid w:val="00EE2C19"/>
    <w:rsid w:val="00EE3124"/>
    <w:rsid w:val="00EE324F"/>
    <w:rsid w:val="00EE3575"/>
    <w:rsid w:val="00EE3937"/>
    <w:rsid w:val="00EE3B2D"/>
    <w:rsid w:val="00EE3F35"/>
    <w:rsid w:val="00EE403B"/>
    <w:rsid w:val="00EE4488"/>
    <w:rsid w:val="00EE464A"/>
    <w:rsid w:val="00EE4655"/>
    <w:rsid w:val="00EE46CE"/>
    <w:rsid w:val="00EE46D6"/>
    <w:rsid w:val="00EE4783"/>
    <w:rsid w:val="00EE48FA"/>
    <w:rsid w:val="00EE49D1"/>
    <w:rsid w:val="00EE4D57"/>
    <w:rsid w:val="00EE4DC3"/>
    <w:rsid w:val="00EE4EEB"/>
    <w:rsid w:val="00EE5267"/>
    <w:rsid w:val="00EE5405"/>
    <w:rsid w:val="00EE5C38"/>
    <w:rsid w:val="00EE5D74"/>
    <w:rsid w:val="00EE6107"/>
    <w:rsid w:val="00EE67F4"/>
    <w:rsid w:val="00EE6AE5"/>
    <w:rsid w:val="00EE6EC8"/>
    <w:rsid w:val="00EE74A3"/>
    <w:rsid w:val="00EE7908"/>
    <w:rsid w:val="00EE7CC1"/>
    <w:rsid w:val="00EF043D"/>
    <w:rsid w:val="00EF06A8"/>
    <w:rsid w:val="00EF0786"/>
    <w:rsid w:val="00EF0D92"/>
    <w:rsid w:val="00EF0FCA"/>
    <w:rsid w:val="00EF179A"/>
    <w:rsid w:val="00EF17EE"/>
    <w:rsid w:val="00EF1A04"/>
    <w:rsid w:val="00EF1F2B"/>
    <w:rsid w:val="00EF2112"/>
    <w:rsid w:val="00EF2407"/>
    <w:rsid w:val="00EF2523"/>
    <w:rsid w:val="00EF28CB"/>
    <w:rsid w:val="00EF2E0F"/>
    <w:rsid w:val="00EF2E78"/>
    <w:rsid w:val="00EF32C3"/>
    <w:rsid w:val="00EF33BE"/>
    <w:rsid w:val="00EF3411"/>
    <w:rsid w:val="00EF35C9"/>
    <w:rsid w:val="00EF38F8"/>
    <w:rsid w:val="00EF3CCF"/>
    <w:rsid w:val="00EF41C3"/>
    <w:rsid w:val="00EF42FB"/>
    <w:rsid w:val="00EF4747"/>
    <w:rsid w:val="00EF49E3"/>
    <w:rsid w:val="00EF4AB2"/>
    <w:rsid w:val="00EF4AF0"/>
    <w:rsid w:val="00EF4BAE"/>
    <w:rsid w:val="00EF507B"/>
    <w:rsid w:val="00EF510A"/>
    <w:rsid w:val="00EF5924"/>
    <w:rsid w:val="00EF5B74"/>
    <w:rsid w:val="00EF5D86"/>
    <w:rsid w:val="00EF67A7"/>
    <w:rsid w:val="00EF6A18"/>
    <w:rsid w:val="00EF6B58"/>
    <w:rsid w:val="00EF6C1C"/>
    <w:rsid w:val="00EF6D31"/>
    <w:rsid w:val="00EF6F17"/>
    <w:rsid w:val="00EF6F2C"/>
    <w:rsid w:val="00EF7081"/>
    <w:rsid w:val="00EF755F"/>
    <w:rsid w:val="00EF75D4"/>
    <w:rsid w:val="00F00386"/>
    <w:rsid w:val="00F00407"/>
    <w:rsid w:val="00F006D6"/>
    <w:rsid w:val="00F00B6A"/>
    <w:rsid w:val="00F00B91"/>
    <w:rsid w:val="00F00C5D"/>
    <w:rsid w:val="00F01230"/>
    <w:rsid w:val="00F01281"/>
    <w:rsid w:val="00F013EE"/>
    <w:rsid w:val="00F01A52"/>
    <w:rsid w:val="00F01AAA"/>
    <w:rsid w:val="00F01D4E"/>
    <w:rsid w:val="00F02180"/>
    <w:rsid w:val="00F022F2"/>
    <w:rsid w:val="00F02411"/>
    <w:rsid w:val="00F024D0"/>
    <w:rsid w:val="00F0260D"/>
    <w:rsid w:val="00F02820"/>
    <w:rsid w:val="00F02CB8"/>
    <w:rsid w:val="00F0302D"/>
    <w:rsid w:val="00F0334A"/>
    <w:rsid w:val="00F03397"/>
    <w:rsid w:val="00F03F54"/>
    <w:rsid w:val="00F042B0"/>
    <w:rsid w:val="00F04881"/>
    <w:rsid w:val="00F04B61"/>
    <w:rsid w:val="00F04EEF"/>
    <w:rsid w:val="00F04F1A"/>
    <w:rsid w:val="00F04F4E"/>
    <w:rsid w:val="00F05330"/>
    <w:rsid w:val="00F05520"/>
    <w:rsid w:val="00F056FF"/>
    <w:rsid w:val="00F05A38"/>
    <w:rsid w:val="00F05BF3"/>
    <w:rsid w:val="00F05F70"/>
    <w:rsid w:val="00F0612B"/>
    <w:rsid w:val="00F063E4"/>
    <w:rsid w:val="00F067AA"/>
    <w:rsid w:val="00F069E7"/>
    <w:rsid w:val="00F06C23"/>
    <w:rsid w:val="00F06CB0"/>
    <w:rsid w:val="00F06CF6"/>
    <w:rsid w:val="00F06E92"/>
    <w:rsid w:val="00F06FBB"/>
    <w:rsid w:val="00F071F6"/>
    <w:rsid w:val="00F07471"/>
    <w:rsid w:val="00F0768A"/>
    <w:rsid w:val="00F07BA0"/>
    <w:rsid w:val="00F07E3C"/>
    <w:rsid w:val="00F10597"/>
    <w:rsid w:val="00F10797"/>
    <w:rsid w:val="00F10909"/>
    <w:rsid w:val="00F10977"/>
    <w:rsid w:val="00F10C5D"/>
    <w:rsid w:val="00F11669"/>
    <w:rsid w:val="00F116B1"/>
    <w:rsid w:val="00F11820"/>
    <w:rsid w:val="00F119CC"/>
    <w:rsid w:val="00F11B82"/>
    <w:rsid w:val="00F12149"/>
    <w:rsid w:val="00F12315"/>
    <w:rsid w:val="00F12487"/>
    <w:rsid w:val="00F12CB0"/>
    <w:rsid w:val="00F12D21"/>
    <w:rsid w:val="00F12E6F"/>
    <w:rsid w:val="00F12FC1"/>
    <w:rsid w:val="00F12FCA"/>
    <w:rsid w:val="00F13007"/>
    <w:rsid w:val="00F1341F"/>
    <w:rsid w:val="00F14137"/>
    <w:rsid w:val="00F1413F"/>
    <w:rsid w:val="00F142AF"/>
    <w:rsid w:val="00F1446E"/>
    <w:rsid w:val="00F14997"/>
    <w:rsid w:val="00F14B1A"/>
    <w:rsid w:val="00F14BD2"/>
    <w:rsid w:val="00F14F59"/>
    <w:rsid w:val="00F154B4"/>
    <w:rsid w:val="00F15615"/>
    <w:rsid w:val="00F15794"/>
    <w:rsid w:val="00F15B49"/>
    <w:rsid w:val="00F15BA8"/>
    <w:rsid w:val="00F15E2C"/>
    <w:rsid w:val="00F16066"/>
    <w:rsid w:val="00F16135"/>
    <w:rsid w:val="00F16296"/>
    <w:rsid w:val="00F16D86"/>
    <w:rsid w:val="00F17623"/>
    <w:rsid w:val="00F1765D"/>
    <w:rsid w:val="00F17A62"/>
    <w:rsid w:val="00F17BFB"/>
    <w:rsid w:val="00F200FE"/>
    <w:rsid w:val="00F20413"/>
    <w:rsid w:val="00F209C6"/>
    <w:rsid w:val="00F20AD1"/>
    <w:rsid w:val="00F20AF0"/>
    <w:rsid w:val="00F20DB4"/>
    <w:rsid w:val="00F21591"/>
    <w:rsid w:val="00F216CF"/>
    <w:rsid w:val="00F21741"/>
    <w:rsid w:val="00F217E5"/>
    <w:rsid w:val="00F21847"/>
    <w:rsid w:val="00F21C0F"/>
    <w:rsid w:val="00F2232F"/>
    <w:rsid w:val="00F225A2"/>
    <w:rsid w:val="00F225BB"/>
    <w:rsid w:val="00F22761"/>
    <w:rsid w:val="00F22E16"/>
    <w:rsid w:val="00F2309B"/>
    <w:rsid w:val="00F2374D"/>
    <w:rsid w:val="00F23E97"/>
    <w:rsid w:val="00F2468A"/>
    <w:rsid w:val="00F24A8C"/>
    <w:rsid w:val="00F24B8B"/>
    <w:rsid w:val="00F24C21"/>
    <w:rsid w:val="00F24E37"/>
    <w:rsid w:val="00F253A3"/>
    <w:rsid w:val="00F25EB4"/>
    <w:rsid w:val="00F26090"/>
    <w:rsid w:val="00F2629A"/>
    <w:rsid w:val="00F26A22"/>
    <w:rsid w:val="00F26CDF"/>
    <w:rsid w:val="00F26E06"/>
    <w:rsid w:val="00F276C0"/>
    <w:rsid w:val="00F3042C"/>
    <w:rsid w:val="00F30901"/>
    <w:rsid w:val="00F30903"/>
    <w:rsid w:val="00F30DD2"/>
    <w:rsid w:val="00F3158E"/>
    <w:rsid w:val="00F319C5"/>
    <w:rsid w:val="00F31EAB"/>
    <w:rsid w:val="00F32174"/>
    <w:rsid w:val="00F321C9"/>
    <w:rsid w:val="00F322F0"/>
    <w:rsid w:val="00F325DE"/>
    <w:rsid w:val="00F326A5"/>
    <w:rsid w:val="00F32EE7"/>
    <w:rsid w:val="00F32F95"/>
    <w:rsid w:val="00F32FF3"/>
    <w:rsid w:val="00F332B1"/>
    <w:rsid w:val="00F336F2"/>
    <w:rsid w:val="00F339DA"/>
    <w:rsid w:val="00F341BE"/>
    <w:rsid w:val="00F34379"/>
    <w:rsid w:val="00F34393"/>
    <w:rsid w:val="00F34404"/>
    <w:rsid w:val="00F34632"/>
    <w:rsid w:val="00F346BC"/>
    <w:rsid w:val="00F34F0E"/>
    <w:rsid w:val="00F34FA8"/>
    <w:rsid w:val="00F35068"/>
    <w:rsid w:val="00F354EE"/>
    <w:rsid w:val="00F356D1"/>
    <w:rsid w:val="00F35705"/>
    <w:rsid w:val="00F35815"/>
    <w:rsid w:val="00F35C59"/>
    <w:rsid w:val="00F35E07"/>
    <w:rsid w:val="00F35F2D"/>
    <w:rsid w:val="00F35FD4"/>
    <w:rsid w:val="00F36838"/>
    <w:rsid w:val="00F36BAA"/>
    <w:rsid w:val="00F36CB0"/>
    <w:rsid w:val="00F36E6C"/>
    <w:rsid w:val="00F36F42"/>
    <w:rsid w:val="00F37046"/>
    <w:rsid w:val="00F371B4"/>
    <w:rsid w:val="00F37209"/>
    <w:rsid w:val="00F37BE1"/>
    <w:rsid w:val="00F37D51"/>
    <w:rsid w:val="00F4025F"/>
    <w:rsid w:val="00F40341"/>
    <w:rsid w:val="00F40449"/>
    <w:rsid w:val="00F40573"/>
    <w:rsid w:val="00F40750"/>
    <w:rsid w:val="00F4126A"/>
    <w:rsid w:val="00F415D0"/>
    <w:rsid w:val="00F4168B"/>
    <w:rsid w:val="00F41B7F"/>
    <w:rsid w:val="00F41C0A"/>
    <w:rsid w:val="00F41D50"/>
    <w:rsid w:val="00F41E88"/>
    <w:rsid w:val="00F41FAB"/>
    <w:rsid w:val="00F421DB"/>
    <w:rsid w:val="00F42685"/>
    <w:rsid w:val="00F426FC"/>
    <w:rsid w:val="00F430CE"/>
    <w:rsid w:val="00F436F0"/>
    <w:rsid w:val="00F437AB"/>
    <w:rsid w:val="00F4397D"/>
    <w:rsid w:val="00F439CC"/>
    <w:rsid w:val="00F43D15"/>
    <w:rsid w:val="00F443C9"/>
    <w:rsid w:val="00F44A82"/>
    <w:rsid w:val="00F44A85"/>
    <w:rsid w:val="00F44AD2"/>
    <w:rsid w:val="00F44E09"/>
    <w:rsid w:val="00F44E10"/>
    <w:rsid w:val="00F44FAB"/>
    <w:rsid w:val="00F45443"/>
    <w:rsid w:val="00F45895"/>
    <w:rsid w:val="00F4589C"/>
    <w:rsid w:val="00F45A70"/>
    <w:rsid w:val="00F45AB7"/>
    <w:rsid w:val="00F45AE8"/>
    <w:rsid w:val="00F46080"/>
    <w:rsid w:val="00F46281"/>
    <w:rsid w:val="00F4645F"/>
    <w:rsid w:val="00F4650A"/>
    <w:rsid w:val="00F469E0"/>
    <w:rsid w:val="00F469F9"/>
    <w:rsid w:val="00F46DAD"/>
    <w:rsid w:val="00F477F4"/>
    <w:rsid w:val="00F47855"/>
    <w:rsid w:val="00F479B7"/>
    <w:rsid w:val="00F47A26"/>
    <w:rsid w:val="00F47A49"/>
    <w:rsid w:val="00F47F9D"/>
    <w:rsid w:val="00F50854"/>
    <w:rsid w:val="00F50B87"/>
    <w:rsid w:val="00F50C0D"/>
    <w:rsid w:val="00F511BB"/>
    <w:rsid w:val="00F515FA"/>
    <w:rsid w:val="00F51921"/>
    <w:rsid w:val="00F51B8F"/>
    <w:rsid w:val="00F51D65"/>
    <w:rsid w:val="00F52A75"/>
    <w:rsid w:val="00F52DD8"/>
    <w:rsid w:val="00F52EE3"/>
    <w:rsid w:val="00F53076"/>
    <w:rsid w:val="00F5319E"/>
    <w:rsid w:val="00F53596"/>
    <w:rsid w:val="00F53BB5"/>
    <w:rsid w:val="00F5415E"/>
    <w:rsid w:val="00F5436F"/>
    <w:rsid w:val="00F543D7"/>
    <w:rsid w:val="00F5454B"/>
    <w:rsid w:val="00F54670"/>
    <w:rsid w:val="00F54953"/>
    <w:rsid w:val="00F54BFC"/>
    <w:rsid w:val="00F54C3A"/>
    <w:rsid w:val="00F55339"/>
    <w:rsid w:val="00F56689"/>
    <w:rsid w:val="00F567BD"/>
    <w:rsid w:val="00F56899"/>
    <w:rsid w:val="00F56B95"/>
    <w:rsid w:val="00F56CEE"/>
    <w:rsid w:val="00F5746B"/>
    <w:rsid w:val="00F575AE"/>
    <w:rsid w:val="00F575DC"/>
    <w:rsid w:val="00F5764B"/>
    <w:rsid w:val="00F57B2F"/>
    <w:rsid w:val="00F57EF1"/>
    <w:rsid w:val="00F60084"/>
    <w:rsid w:val="00F60187"/>
    <w:rsid w:val="00F602FF"/>
    <w:rsid w:val="00F60510"/>
    <w:rsid w:val="00F606AA"/>
    <w:rsid w:val="00F60801"/>
    <w:rsid w:val="00F60B61"/>
    <w:rsid w:val="00F60EBA"/>
    <w:rsid w:val="00F61638"/>
    <w:rsid w:val="00F61682"/>
    <w:rsid w:val="00F61EDC"/>
    <w:rsid w:val="00F6201B"/>
    <w:rsid w:val="00F621E2"/>
    <w:rsid w:val="00F626C8"/>
    <w:rsid w:val="00F62DD7"/>
    <w:rsid w:val="00F62F26"/>
    <w:rsid w:val="00F63017"/>
    <w:rsid w:val="00F6301D"/>
    <w:rsid w:val="00F63073"/>
    <w:rsid w:val="00F6331C"/>
    <w:rsid w:val="00F639B4"/>
    <w:rsid w:val="00F63B6D"/>
    <w:rsid w:val="00F63BF9"/>
    <w:rsid w:val="00F63D00"/>
    <w:rsid w:val="00F63D4D"/>
    <w:rsid w:val="00F63D51"/>
    <w:rsid w:val="00F63ED6"/>
    <w:rsid w:val="00F64059"/>
    <w:rsid w:val="00F64240"/>
    <w:rsid w:val="00F64716"/>
    <w:rsid w:val="00F64822"/>
    <w:rsid w:val="00F64952"/>
    <w:rsid w:val="00F64E41"/>
    <w:rsid w:val="00F651AF"/>
    <w:rsid w:val="00F65593"/>
    <w:rsid w:val="00F65BEB"/>
    <w:rsid w:val="00F6612E"/>
    <w:rsid w:val="00F6618D"/>
    <w:rsid w:val="00F66439"/>
    <w:rsid w:val="00F664B5"/>
    <w:rsid w:val="00F664CB"/>
    <w:rsid w:val="00F6658E"/>
    <w:rsid w:val="00F666CB"/>
    <w:rsid w:val="00F669C4"/>
    <w:rsid w:val="00F66C03"/>
    <w:rsid w:val="00F66C8E"/>
    <w:rsid w:val="00F676FE"/>
    <w:rsid w:val="00F70425"/>
    <w:rsid w:val="00F70483"/>
    <w:rsid w:val="00F70551"/>
    <w:rsid w:val="00F70666"/>
    <w:rsid w:val="00F70F48"/>
    <w:rsid w:val="00F710E1"/>
    <w:rsid w:val="00F7146F"/>
    <w:rsid w:val="00F71AB1"/>
    <w:rsid w:val="00F71C4C"/>
    <w:rsid w:val="00F71DD7"/>
    <w:rsid w:val="00F72439"/>
    <w:rsid w:val="00F725AC"/>
    <w:rsid w:val="00F727B6"/>
    <w:rsid w:val="00F72ACA"/>
    <w:rsid w:val="00F73712"/>
    <w:rsid w:val="00F73A81"/>
    <w:rsid w:val="00F73AAB"/>
    <w:rsid w:val="00F73DDE"/>
    <w:rsid w:val="00F73DFF"/>
    <w:rsid w:val="00F7418F"/>
    <w:rsid w:val="00F746E1"/>
    <w:rsid w:val="00F74995"/>
    <w:rsid w:val="00F74A1A"/>
    <w:rsid w:val="00F74E8C"/>
    <w:rsid w:val="00F74ED5"/>
    <w:rsid w:val="00F75001"/>
    <w:rsid w:val="00F75750"/>
    <w:rsid w:val="00F75BD4"/>
    <w:rsid w:val="00F75CFA"/>
    <w:rsid w:val="00F75E66"/>
    <w:rsid w:val="00F75EDE"/>
    <w:rsid w:val="00F75EE1"/>
    <w:rsid w:val="00F762C0"/>
    <w:rsid w:val="00F76833"/>
    <w:rsid w:val="00F76A37"/>
    <w:rsid w:val="00F76C1A"/>
    <w:rsid w:val="00F7715B"/>
    <w:rsid w:val="00F77165"/>
    <w:rsid w:val="00F77350"/>
    <w:rsid w:val="00F77403"/>
    <w:rsid w:val="00F779DA"/>
    <w:rsid w:val="00F77F98"/>
    <w:rsid w:val="00F80703"/>
    <w:rsid w:val="00F807FF"/>
    <w:rsid w:val="00F80C37"/>
    <w:rsid w:val="00F8127A"/>
    <w:rsid w:val="00F8159F"/>
    <w:rsid w:val="00F8185D"/>
    <w:rsid w:val="00F819D5"/>
    <w:rsid w:val="00F8258B"/>
    <w:rsid w:val="00F825BF"/>
    <w:rsid w:val="00F82C22"/>
    <w:rsid w:val="00F82E0A"/>
    <w:rsid w:val="00F83251"/>
    <w:rsid w:val="00F83DC8"/>
    <w:rsid w:val="00F83F0D"/>
    <w:rsid w:val="00F843E2"/>
    <w:rsid w:val="00F844AF"/>
    <w:rsid w:val="00F8450A"/>
    <w:rsid w:val="00F84CC9"/>
    <w:rsid w:val="00F853E0"/>
    <w:rsid w:val="00F85466"/>
    <w:rsid w:val="00F854B1"/>
    <w:rsid w:val="00F857A7"/>
    <w:rsid w:val="00F85841"/>
    <w:rsid w:val="00F858B0"/>
    <w:rsid w:val="00F859A2"/>
    <w:rsid w:val="00F859E5"/>
    <w:rsid w:val="00F86178"/>
    <w:rsid w:val="00F864F0"/>
    <w:rsid w:val="00F86531"/>
    <w:rsid w:val="00F8660E"/>
    <w:rsid w:val="00F86780"/>
    <w:rsid w:val="00F869F0"/>
    <w:rsid w:val="00F86BF8"/>
    <w:rsid w:val="00F86DE8"/>
    <w:rsid w:val="00F86F8C"/>
    <w:rsid w:val="00F87475"/>
    <w:rsid w:val="00F87663"/>
    <w:rsid w:val="00F877BC"/>
    <w:rsid w:val="00F8789D"/>
    <w:rsid w:val="00F87CDB"/>
    <w:rsid w:val="00F87DF1"/>
    <w:rsid w:val="00F90512"/>
    <w:rsid w:val="00F90775"/>
    <w:rsid w:val="00F909B0"/>
    <w:rsid w:val="00F911D7"/>
    <w:rsid w:val="00F91A4E"/>
    <w:rsid w:val="00F9237E"/>
    <w:rsid w:val="00F92545"/>
    <w:rsid w:val="00F92828"/>
    <w:rsid w:val="00F92846"/>
    <w:rsid w:val="00F93D0C"/>
    <w:rsid w:val="00F94075"/>
    <w:rsid w:val="00F94259"/>
    <w:rsid w:val="00F945BB"/>
    <w:rsid w:val="00F94926"/>
    <w:rsid w:val="00F94A77"/>
    <w:rsid w:val="00F94D3A"/>
    <w:rsid w:val="00F94E31"/>
    <w:rsid w:val="00F95322"/>
    <w:rsid w:val="00F95397"/>
    <w:rsid w:val="00F9582E"/>
    <w:rsid w:val="00F95C16"/>
    <w:rsid w:val="00F96624"/>
    <w:rsid w:val="00F96B3E"/>
    <w:rsid w:val="00F96DF0"/>
    <w:rsid w:val="00F96EDD"/>
    <w:rsid w:val="00F96F63"/>
    <w:rsid w:val="00F9727B"/>
    <w:rsid w:val="00F9757A"/>
    <w:rsid w:val="00F975E4"/>
    <w:rsid w:val="00F976C3"/>
    <w:rsid w:val="00F97AAA"/>
    <w:rsid w:val="00F97F0F"/>
    <w:rsid w:val="00FA015A"/>
    <w:rsid w:val="00FA04C7"/>
    <w:rsid w:val="00FA0903"/>
    <w:rsid w:val="00FA0B6E"/>
    <w:rsid w:val="00FA0CBB"/>
    <w:rsid w:val="00FA0F71"/>
    <w:rsid w:val="00FA13BD"/>
    <w:rsid w:val="00FA169A"/>
    <w:rsid w:val="00FA1BF8"/>
    <w:rsid w:val="00FA22C2"/>
    <w:rsid w:val="00FA24FA"/>
    <w:rsid w:val="00FA25C2"/>
    <w:rsid w:val="00FA2A6A"/>
    <w:rsid w:val="00FA2FEA"/>
    <w:rsid w:val="00FA3289"/>
    <w:rsid w:val="00FA3BEF"/>
    <w:rsid w:val="00FA3F10"/>
    <w:rsid w:val="00FA4458"/>
    <w:rsid w:val="00FA4784"/>
    <w:rsid w:val="00FA49F3"/>
    <w:rsid w:val="00FA4AD7"/>
    <w:rsid w:val="00FA4C5A"/>
    <w:rsid w:val="00FA4F7D"/>
    <w:rsid w:val="00FA51CA"/>
    <w:rsid w:val="00FA556B"/>
    <w:rsid w:val="00FA5FF7"/>
    <w:rsid w:val="00FA6180"/>
    <w:rsid w:val="00FA6251"/>
    <w:rsid w:val="00FA64C5"/>
    <w:rsid w:val="00FA66B9"/>
    <w:rsid w:val="00FA67C9"/>
    <w:rsid w:val="00FA6914"/>
    <w:rsid w:val="00FA6C85"/>
    <w:rsid w:val="00FA7439"/>
    <w:rsid w:val="00FA798E"/>
    <w:rsid w:val="00FA7AAE"/>
    <w:rsid w:val="00FA7C2B"/>
    <w:rsid w:val="00FA7E4B"/>
    <w:rsid w:val="00FB005E"/>
    <w:rsid w:val="00FB00E7"/>
    <w:rsid w:val="00FB01F1"/>
    <w:rsid w:val="00FB03D2"/>
    <w:rsid w:val="00FB104C"/>
    <w:rsid w:val="00FB11D5"/>
    <w:rsid w:val="00FB11EC"/>
    <w:rsid w:val="00FB12AF"/>
    <w:rsid w:val="00FB1489"/>
    <w:rsid w:val="00FB1A28"/>
    <w:rsid w:val="00FB1A7D"/>
    <w:rsid w:val="00FB1B64"/>
    <w:rsid w:val="00FB1C1F"/>
    <w:rsid w:val="00FB2445"/>
    <w:rsid w:val="00FB24D7"/>
    <w:rsid w:val="00FB253F"/>
    <w:rsid w:val="00FB2C56"/>
    <w:rsid w:val="00FB2FD0"/>
    <w:rsid w:val="00FB31A6"/>
    <w:rsid w:val="00FB32B0"/>
    <w:rsid w:val="00FB330B"/>
    <w:rsid w:val="00FB34A1"/>
    <w:rsid w:val="00FB34AF"/>
    <w:rsid w:val="00FB3B81"/>
    <w:rsid w:val="00FB3BBC"/>
    <w:rsid w:val="00FB4337"/>
    <w:rsid w:val="00FB476A"/>
    <w:rsid w:val="00FB4D9E"/>
    <w:rsid w:val="00FB4DBA"/>
    <w:rsid w:val="00FB55B2"/>
    <w:rsid w:val="00FB5CA5"/>
    <w:rsid w:val="00FB5CC3"/>
    <w:rsid w:val="00FB5D69"/>
    <w:rsid w:val="00FB63DA"/>
    <w:rsid w:val="00FB6446"/>
    <w:rsid w:val="00FB654B"/>
    <w:rsid w:val="00FB65DD"/>
    <w:rsid w:val="00FB69BF"/>
    <w:rsid w:val="00FB69D7"/>
    <w:rsid w:val="00FB6B8F"/>
    <w:rsid w:val="00FB6D90"/>
    <w:rsid w:val="00FB71D6"/>
    <w:rsid w:val="00FB755B"/>
    <w:rsid w:val="00FB763D"/>
    <w:rsid w:val="00FB774B"/>
    <w:rsid w:val="00FB78DF"/>
    <w:rsid w:val="00FB7E21"/>
    <w:rsid w:val="00FC015A"/>
    <w:rsid w:val="00FC024E"/>
    <w:rsid w:val="00FC038F"/>
    <w:rsid w:val="00FC053B"/>
    <w:rsid w:val="00FC0AF7"/>
    <w:rsid w:val="00FC13A8"/>
    <w:rsid w:val="00FC14B7"/>
    <w:rsid w:val="00FC15AB"/>
    <w:rsid w:val="00FC187C"/>
    <w:rsid w:val="00FC1EE3"/>
    <w:rsid w:val="00FC2011"/>
    <w:rsid w:val="00FC2394"/>
    <w:rsid w:val="00FC273A"/>
    <w:rsid w:val="00FC2D0D"/>
    <w:rsid w:val="00FC3053"/>
    <w:rsid w:val="00FC318C"/>
    <w:rsid w:val="00FC37A0"/>
    <w:rsid w:val="00FC3FFD"/>
    <w:rsid w:val="00FC44D8"/>
    <w:rsid w:val="00FC46FF"/>
    <w:rsid w:val="00FC486F"/>
    <w:rsid w:val="00FC4967"/>
    <w:rsid w:val="00FC4C0F"/>
    <w:rsid w:val="00FC4CBB"/>
    <w:rsid w:val="00FC52FE"/>
    <w:rsid w:val="00FC55A9"/>
    <w:rsid w:val="00FC5780"/>
    <w:rsid w:val="00FC57A9"/>
    <w:rsid w:val="00FC58DB"/>
    <w:rsid w:val="00FC5F98"/>
    <w:rsid w:val="00FC625B"/>
    <w:rsid w:val="00FC6436"/>
    <w:rsid w:val="00FC649C"/>
    <w:rsid w:val="00FC679E"/>
    <w:rsid w:val="00FC6941"/>
    <w:rsid w:val="00FC6E83"/>
    <w:rsid w:val="00FC7078"/>
    <w:rsid w:val="00FC7A1C"/>
    <w:rsid w:val="00FC7C3D"/>
    <w:rsid w:val="00FC7DB2"/>
    <w:rsid w:val="00FD0367"/>
    <w:rsid w:val="00FD0576"/>
    <w:rsid w:val="00FD057E"/>
    <w:rsid w:val="00FD05B4"/>
    <w:rsid w:val="00FD064F"/>
    <w:rsid w:val="00FD09AC"/>
    <w:rsid w:val="00FD0B5D"/>
    <w:rsid w:val="00FD0C58"/>
    <w:rsid w:val="00FD0EBA"/>
    <w:rsid w:val="00FD1446"/>
    <w:rsid w:val="00FD19E6"/>
    <w:rsid w:val="00FD1B5A"/>
    <w:rsid w:val="00FD1CD2"/>
    <w:rsid w:val="00FD2B2C"/>
    <w:rsid w:val="00FD2D9C"/>
    <w:rsid w:val="00FD2E29"/>
    <w:rsid w:val="00FD3991"/>
    <w:rsid w:val="00FD4675"/>
    <w:rsid w:val="00FD474B"/>
    <w:rsid w:val="00FD476E"/>
    <w:rsid w:val="00FD4B04"/>
    <w:rsid w:val="00FD5164"/>
    <w:rsid w:val="00FD53F6"/>
    <w:rsid w:val="00FD55B8"/>
    <w:rsid w:val="00FD5742"/>
    <w:rsid w:val="00FD5810"/>
    <w:rsid w:val="00FD5CF8"/>
    <w:rsid w:val="00FD5D0D"/>
    <w:rsid w:val="00FD615E"/>
    <w:rsid w:val="00FD644D"/>
    <w:rsid w:val="00FD7041"/>
    <w:rsid w:val="00FD79C3"/>
    <w:rsid w:val="00FD79CF"/>
    <w:rsid w:val="00FD7B5D"/>
    <w:rsid w:val="00FD7F58"/>
    <w:rsid w:val="00FE08FF"/>
    <w:rsid w:val="00FE0B15"/>
    <w:rsid w:val="00FE0EEC"/>
    <w:rsid w:val="00FE1309"/>
    <w:rsid w:val="00FE252F"/>
    <w:rsid w:val="00FE2D0A"/>
    <w:rsid w:val="00FE2E58"/>
    <w:rsid w:val="00FE3134"/>
    <w:rsid w:val="00FE3330"/>
    <w:rsid w:val="00FE39CD"/>
    <w:rsid w:val="00FE3CB5"/>
    <w:rsid w:val="00FE3DAF"/>
    <w:rsid w:val="00FE3FDA"/>
    <w:rsid w:val="00FE40C0"/>
    <w:rsid w:val="00FE41AE"/>
    <w:rsid w:val="00FE4958"/>
    <w:rsid w:val="00FE4B42"/>
    <w:rsid w:val="00FE4D84"/>
    <w:rsid w:val="00FE4DB4"/>
    <w:rsid w:val="00FE59CE"/>
    <w:rsid w:val="00FE5BA6"/>
    <w:rsid w:val="00FE5CD9"/>
    <w:rsid w:val="00FE5D40"/>
    <w:rsid w:val="00FE635D"/>
    <w:rsid w:val="00FE6518"/>
    <w:rsid w:val="00FE6614"/>
    <w:rsid w:val="00FE6661"/>
    <w:rsid w:val="00FE6834"/>
    <w:rsid w:val="00FE699A"/>
    <w:rsid w:val="00FE69D3"/>
    <w:rsid w:val="00FE7354"/>
    <w:rsid w:val="00FE7997"/>
    <w:rsid w:val="00FE7B3A"/>
    <w:rsid w:val="00FE7D5A"/>
    <w:rsid w:val="00FE7F36"/>
    <w:rsid w:val="00FF00EA"/>
    <w:rsid w:val="00FF01A7"/>
    <w:rsid w:val="00FF07BE"/>
    <w:rsid w:val="00FF0AA4"/>
    <w:rsid w:val="00FF102F"/>
    <w:rsid w:val="00FF10A8"/>
    <w:rsid w:val="00FF125B"/>
    <w:rsid w:val="00FF1AF0"/>
    <w:rsid w:val="00FF1EDB"/>
    <w:rsid w:val="00FF2285"/>
    <w:rsid w:val="00FF230B"/>
    <w:rsid w:val="00FF26A0"/>
    <w:rsid w:val="00FF2B4B"/>
    <w:rsid w:val="00FF2CFB"/>
    <w:rsid w:val="00FF2E2E"/>
    <w:rsid w:val="00FF3255"/>
    <w:rsid w:val="00FF3534"/>
    <w:rsid w:val="00FF38F5"/>
    <w:rsid w:val="00FF39CD"/>
    <w:rsid w:val="00FF3B11"/>
    <w:rsid w:val="00FF3E66"/>
    <w:rsid w:val="00FF41D2"/>
    <w:rsid w:val="00FF43BD"/>
    <w:rsid w:val="00FF4993"/>
    <w:rsid w:val="00FF4A5E"/>
    <w:rsid w:val="00FF4AE4"/>
    <w:rsid w:val="00FF4B1B"/>
    <w:rsid w:val="00FF4B2D"/>
    <w:rsid w:val="00FF4DA8"/>
    <w:rsid w:val="00FF4DF9"/>
    <w:rsid w:val="00FF50DD"/>
    <w:rsid w:val="00FF53CD"/>
    <w:rsid w:val="00FF5530"/>
    <w:rsid w:val="00FF573F"/>
    <w:rsid w:val="00FF58BD"/>
    <w:rsid w:val="00FF5931"/>
    <w:rsid w:val="00FF6113"/>
    <w:rsid w:val="00FF639F"/>
    <w:rsid w:val="00FF64DD"/>
    <w:rsid w:val="00FF6873"/>
    <w:rsid w:val="00FF68E2"/>
    <w:rsid w:val="00FF69F5"/>
    <w:rsid w:val="00FF6ACA"/>
    <w:rsid w:val="00FF7158"/>
    <w:rsid w:val="00FF7194"/>
    <w:rsid w:val="00FF7613"/>
    <w:rsid w:val="00FF7AAC"/>
    <w:rsid w:val="00FF7B2A"/>
    <w:rsid w:val="00FF7BA9"/>
    <w:rsid w:val="00FF7CD1"/>
    <w:rsid w:val="00FF7D9D"/>
    <w:rsid w:val="00FF7E62"/>
    <w:rsid w:val="00FF7F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7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16D5"/>
    <w:pPr>
      <w:spacing w:before="120" w:after="120" w:line="276" w:lineRule="auto"/>
    </w:pPr>
    <w:rPr>
      <w:rFonts w:asciiTheme="minorHAnsi" w:hAnsiTheme="minorHAnsi"/>
      <w:sz w:val="24"/>
    </w:rPr>
  </w:style>
  <w:style w:type="paragraph" w:styleId="Nagwek1">
    <w:name w:val="heading 1"/>
    <w:basedOn w:val="Normalny"/>
    <w:next w:val="Normalny"/>
    <w:link w:val="Nagwek1Znak"/>
    <w:qFormat/>
    <w:rsid w:val="008E3932"/>
    <w:pPr>
      <w:keepNext/>
      <w:spacing w:after="240"/>
      <w:outlineLvl w:val="0"/>
    </w:pPr>
    <w:rPr>
      <w:b/>
      <w:bCs/>
    </w:rPr>
  </w:style>
  <w:style w:type="paragraph" w:styleId="Nagwek2">
    <w:name w:val="heading 2"/>
    <w:basedOn w:val="Normalny"/>
    <w:next w:val="Normalny"/>
    <w:link w:val="Nagwek2Znak"/>
    <w:qFormat/>
    <w:rsid w:val="008E3932"/>
    <w:pPr>
      <w:keepNext/>
      <w:spacing w:before="360" w:after="360"/>
      <w:outlineLvl w:val="1"/>
    </w:pPr>
    <w:rPr>
      <w:b/>
    </w:rPr>
  </w:style>
  <w:style w:type="paragraph" w:styleId="Nagwek3">
    <w:name w:val="heading 3"/>
    <w:basedOn w:val="Normalny"/>
    <w:next w:val="Normalny"/>
    <w:link w:val="Nagwek3Znak"/>
    <w:qFormat/>
    <w:rsid w:val="00B269FF"/>
    <w:pPr>
      <w:keepNext/>
      <w:spacing w:line="360" w:lineRule="auto"/>
      <w:jc w:val="center"/>
      <w:outlineLvl w:val="2"/>
    </w:pPr>
    <w:rPr>
      <w:rFonts w:ascii="Arial" w:hAnsi="Arial"/>
      <w:b/>
      <w:bCs/>
      <w:sz w:val="20"/>
    </w:rPr>
  </w:style>
  <w:style w:type="paragraph" w:styleId="Nagwek4">
    <w:name w:val="heading 4"/>
    <w:basedOn w:val="Normalny"/>
    <w:next w:val="Normalny"/>
    <w:link w:val="Nagwek4Znak"/>
    <w:qFormat/>
    <w:rsid w:val="00B269FF"/>
    <w:pPr>
      <w:keepNext/>
      <w:jc w:val="center"/>
      <w:outlineLvl w:val="3"/>
    </w:pPr>
    <w:rPr>
      <w:rFonts w:ascii="Arial" w:hAnsi="Arial"/>
      <w:b/>
      <w:color w:val="000000"/>
      <w:sz w:val="20"/>
    </w:rPr>
  </w:style>
  <w:style w:type="paragraph" w:styleId="Nagwek5">
    <w:name w:val="heading 5"/>
    <w:basedOn w:val="Normalny"/>
    <w:next w:val="Normalny"/>
    <w:link w:val="Nagwek5Znak"/>
    <w:qFormat/>
    <w:rsid w:val="00B269FF"/>
    <w:pPr>
      <w:keepNext/>
      <w:outlineLvl w:val="4"/>
    </w:pPr>
    <w:rPr>
      <w:rFonts w:ascii="Arial" w:hAnsi="Arial"/>
      <w:b/>
      <w:snapToGrid w:val="0"/>
      <w:color w:val="000000"/>
      <w:sz w:val="20"/>
    </w:rPr>
  </w:style>
  <w:style w:type="paragraph" w:styleId="Nagwek6">
    <w:name w:val="heading 6"/>
    <w:basedOn w:val="Normalny"/>
    <w:next w:val="Normalny"/>
    <w:link w:val="Nagwek6Znak"/>
    <w:qFormat/>
    <w:rsid w:val="00B269FF"/>
    <w:pPr>
      <w:keepNext/>
      <w:outlineLvl w:val="5"/>
    </w:pPr>
    <w:rPr>
      <w:rFonts w:ascii="Arial" w:hAnsi="Arial"/>
      <w:color w:val="000000"/>
      <w:sz w:val="32"/>
    </w:rPr>
  </w:style>
  <w:style w:type="paragraph" w:styleId="Nagwek7">
    <w:name w:val="heading 7"/>
    <w:basedOn w:val="Normalny"/>
    <w:next w:val="Normalny"/>
    <w:link w:val="Nagwek7Znak"/>
    <w:qFormat/>
    <w:rsid w:val="00B269FF"/>
    <w:pPr>
      <w:keepNext/>
      <w:jc w:val="center"/>
      <w:outlineLvl w:val="6"/>
    </w:pPr>
    <w:rPr>
      <w:rFonts w:ascii="Arial" w:hAnsi="Arial"/>
      <w:sz w:val="28"/>
    </w:rPr>
  </w:style>
  <w:style w:type="paragraph" w:styleId="Nagwek8">
    <w:name w:val="heading 8"/>
    <w:basedOn w:val="Normalny"/>
    <w:next w:val="Normalny"/>
    <w:link w:val="Nagwek8Znak"/>
    <w:qFormat/>
    <w:rsid w:val="00B269FF"/>
    <w:pPr>
      <w:keepNext/>
      <w:outlineLvl w:val="7"/>
    </w:pPr>
    <w:rPr>
      <w:rFonts w:ascii="Arial" w:hAnsi="Arial"/>
      <w:snapToGrid w:val="0"/>
      <w:color w:val="000000"/>
      <w:sz w:val="28"/>
    </w:rPr>
  </w:style>
  <w:style w:type="paragraph" w:styleId="Nagwek9">
    <w:name w:val="heading 9"/>
    <w:basedOn w:val="Normalny"/>
    <w:next w:val="Normalny"/>
    <w:link w:val="Nagwek9Znak"/>
    <w:qFormat/>
    <w:rsid w:val="00B269FF"/>
    <w:pPr>
      <w:keepNext/>
      <w:jc w:val="center"/>
      <w:outlineLvl w:val="8"/>
    </w:pPr>
    <w:rPr>
      <w:rFonts w:ascii="Arial" w:hAnsi="Arial"/>
      <w:b/>
      <w:snapToGrid w:val="0"/>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E3932"/>
    <w:rPr>
      <w:rFonts w:asciiTheme="minorHAnsi" w:hAnsiTheme="minorHAnsi"/>
      <w:b/>
      <w:bCs/>
      <w:sz w:val="24"/>
    </w:rPr>
  </w:style>
  <w:style w:type="character" w:customStyle="1" w:styleId="Nagwek2Znak">
    <w:name w:val="Nagłówek 2 Znak"/>
    <w:basedOn w:val="Domylnaczcionkaakapitu"/>
    <w:link w:val="Nagwek2"/>
    <w:rsid w:val="008E3932"/>
    <w:rPr>
      <w:rFonts w:asciiTheme="minorHAnsi" w:hAnsiTheme="minorHAnsi"/>
      <w:b/>
      <w:sz w:val="24"/>
    </w:rPr>
  </w:style>
  <w:style w:type="character" w:customStyle="1" w:styleId="Nagwek3Znak">
    <w:name w:val="Nagłówek 3 Znak"/>
    <w:basedOn w:val="Domylnaczcionkaakapitu"/>
    <w:link w:val="Nagwek3"/>
    <w:rsid w:val="00AB57A9"/>
    <w:rPr>
      <w:rFonts w:ascii="Arial" w:eastAsia="Times New Roman" w:hAnsi="Arial" w:cs="Times New Roman"/>
      <w:b/>
      <w:bCs/>
    </w:rPr>
  </w:style>
  <w:style w:type="character" w:customStyle="1" w:styleId="Nagwek4Znak">
    <w:name w:val="Nagłówek 4 Znak"/>
    <w:basedOn w:val="Domylnaczcionkaakapitu"/>
    <w:link w:val="Nagwek4"/>
    <w:rsid w:val="00B269FF"/>
    <w:rPr>
      <w:rFonts w:ascii="Arial" w:hAnsi="Arial"/>
      <w:b/>
      <w:color w:val="000000"/>
    </w:rPr>
  </w:style>
  <w:style w:type="character" w:customStyle="1" w:styleId="Nagwek5Znak">
    <w:name w:val="Nagłówek 5 Znak"/>
    <w:basedOn w:val="Domylnaczcionkaakapitu"/>
    <w:link w:val="Nagwek5"/>
    <w:rsid w:val="00B269FF"/>
    <w:rPr>
      <w:rFonts w:ascii="Arial" w:hAnsi="Arial"/>
      <w:b/>
      <w:snapToGrid w:val="0"/>
      <w:color w:val="000000"/>
    </w:rPr>
  </w:style>
  <w:style w:type="character" w:customStyle="1" w:styleId="Nagwek6Znak">
    <w:name w:val="Nagłówek 6 Znak"/>
    <w:basedOn w:val="Domylnaczcionkaakapitu"/>
    <w:link w:val="Nagwek6"/>
    <w:rsid w:val="00B269FF"/>
    <w:rPr>
      <w:rFonts w:ascii="Arial" w:hAnsi="Arial"/>
      <w:color w:val="000000"/>
      <w:sz w:val="32"/>
    </w:rPr>
  </w:style>
  <w:style w:type="character" w:customStyle="1" w:styleId="Nagwek7Znak">
    <w:name w:val="Nagłówek 7 Znak"/>
    <w:basedOn w:val="Domylnaczcionkaakapitu"/>
    <w:link w:val="Nagwek7"/>
    <w:rsid w:val="00B269FF"/>
    <w:rPr>
      <w:rFonts w:ascii="Arial" w:hAnsi="Arial"/>
      <w:sz w:val="28"/>
    </w:rPr>
  </w:style>
  <w:style w:type="character" w:customStyle="1" w:styleId="Nagwek8Znak">
    <w:name w:val="Nagłówek 8 Znak"/>
    <w:basedOn w:val="Domylnaczcionkaakapitu"/>
    <w:link w:val="Nagwek8"/>
    <w:rsid w:val="00B269FF"/>
    <w:rPr>
      <w:rFonts w:ascii="Arial" w:hAnsi="Arial"/>
      <w:snapToGrid w:val="0"/>
      <w:color w:val="000000"/>
      <w:sz w:val="28"/>
    </w:rPr>
  </w:style>
  <w:style w:type="character" w:customStyle="1" w:styleId="Nagwek9Znak">
    <w:name w:val="Nagłówek 9 Znak"/>
    <w:basedOn w:val="Domylnaczcionkaakapitu"/>
    <w:link w:val="Nagwek9"/>
    <w:rsid w:val="00B269FF"/>
    <w:rPr>
      <w:rFonts w:ascii="Arial" w:hAnsi="Arial"/>
      <w:b/>
      <w:snapToGrid w:val="0"/>
      <w:color w:val="000000"/>
      <w:sz w:val="28"/>
    </w:rPr>
  </w:style>
  <w:style w:type="character" w:styleId="Pogrubienie">
    <w:name w:val="Strong"/>
    <w:basedOn w:val="Domylnaczcionkaakapitu"/>
    <w:uiPriority w:val="22"/>
    <w:qFormat/>
    <w:rsid w:val="00196ABB"/>
    <w:rPr>
      <w:rFonts w:ascii="Times New Roman" w:hAnsi="Times New Roman"/>
      <w:b/>
      <w:sz w:val="24"/>
    </w:rPr>
  </w:style>
  <w:style w:type="paragraph" w:styleId="Akapitzlist">
    <w:name w:val="List Paragraph"/>
    <w:basedOn w:val="Normalny"/>
    <w:uiPriority w:val="34"/>
    <w:qFormat/>
    <w:rsid w:val="00931F90"/>
    <w:pPr>
      <w:numPr>
        <w:numId w:val="28"/>
      </w:numPr>
      <w:ind w:left="680" w:hanging="170"/>
      <w:contextualSpacing/>
    </w:pPr>
    <w:rPr>
      <w:rFonts w:eastAsia="Calibri"/>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Legenda Znak"/>
    <w:basedOn w:val="Normalny"/>
    <w:next w:val="Normalny"/>
    <w:rsid w:val="00BD2C9B"/>
    <w:pPr>
      <w:ind w:left="1134" w:hanging="1134"/>
    </w:pPr>
    <w:rPr>
      <w:b/>
      <w:color w:val="000000"/>
    </w:rPr>
  </w:style>
  <w:style w:type="paragraph" w:styleId="Tytu">
    <w:name w:val="Title"/>
    <w:aliases w:val="Tytuł tabeli"/>
    <w:basedOn w:val="Normalny"/>
    <w:next w:val="NormalnyWeb"/>
    <w:link w:val="TytuZnak"/>
    <w:qFormat/>
    <w:rsid w:val="008A6F21"/>
    <w:pPr>
      <w:spacing w:before="240" w:line="240" w:lineRule="auto"/>
    </w:pPr>
  </w:style>
  <w:style w:type="character" w:customStyle="1" w:styleId="TytuZnak">
    <w:name w:val="Tytuł Znak"/>
    <w:aliases w:val="Tytuł tabeli Znak"/>
    <w:basedOn w:val="Domylnaczcionkaakapitu"/>
    <w:link w:val="Tytu"/>
    <w:rsid w:val="008A6F21"/>
    <w:rPr>
      <w:sz w:val="24"/>
    </w:rPr>
  </w:style>
  <w:style w:type="paragraph" w:styleId="Bezodstpw">
    <w:name w:val="No Spacing"/>
    <w:aliases w:val="odstęp,Pod tabelą"/>
    <w:next w:val="Normalny"/>
    <w:uiPriority w:val="1"/>
    <w:qFormat/>
    <w:rsid w:val="00860F9C"/>
    <w:pPr>
      <w:spacing w:line="360" w:lineRule="auto"/>
      <w:ind w:firstLine="113"/>
    </w:pPr>
    <w:rPr>
      <w:sz w:val="16"/>
    </w:rPr>
  </w:style>
  <w:style w:type="paragraph" w:styleId="Tekstpodstawowy">
    <w:name w:val="Body Text"/>
    <w:aliases w:val="anita1,bt,b,Tekst podstawowy Znak Znak Znak Znak Znak Znak Znak Znak,szaro,b1,Tekst podstawowy-bold,block style,Brødtekst Tegn Tegn"/>
    <w:basedOn w:val="Normalny"/>
    <w:link w:val="TekstpodstawowyZnak"/>
    <w:semiHidden/>
    <w:rsid w:val="00F325DE"/>
    <w:pPr>
      <w:jc w:val="center"/>
    </w:pPr>
    <w:rPr>
      <w:b/>
      <w:bCs/>
      <w:sz w:val="52"/>
    </w:rPr>
  </w:style>
  <w:style w:type="character" w:customStyle="1" w:styleId="TekstpodstawowyZnak">
    <w:name w:val="Tekst podstawowy Znak"/>
    <w:aliases w:val="anita1 Znak,bt Znak,b Znak,Tekst podstawowy Znak Znak Znak Znak Znak Znak Znak Znak Znak,szaro Znak,b1 Znak,Tekst podstawowy-bold Znak,block style Znak,Brødtekst Tegn Tegn Znak"/>
    <w:basedOn w:val="Domylnaczcionkaakapitu"/>
    <w:link w:val="Tekstpodstawowy"/>
    <w:semiHidden/>
    <w:rsid w:val="00F325DE"/>
    <w:rPr>
      <w:b/>
      <w:bCs/>
      <w:sz w:val="52"/>
    </w:rPr>
  </w:style>
  <w:style w:type="paragraph" w:styleId="Nagwek">
    <w:name w:val="header"/>
    <w:basedOn w:val="Normalny"/>
    <w:link w:val="NagwekZnak"/>
    <w:uiPriority w:val="99"/>
    <w:rsid w:val="00F325DE"/>
    <w:pPr>
      <w:tabs>
        <w:tab w:val="center" w:pos="4536"/>
        <w:tab w:val="right" w:pos="9072"/>
      </w:tabs>
    </w:pPr>
  </w:style>
  <w:style w:type="character" w:customStyle="1" w:styleId="NagwekZnak">
    <w:name w:val="Nagłówek Znak"/>
    <w:basedOn w:val="Domylnaczcionkaakapitu"/>
    <w:link w:val="Nagwek"/>
    <w:uiPriority w:val="99"/>
    <w:rsid w:val="00F325DE"/>
  </w:style>
  <w:style w:type="paragraph" w:styleId="Tekstpodstawowy2">
    <w:name w:val="Body Text 2"/>
    <w:basedOn w:val="Normalny"/>
    <w:link w:val="Tekstpodstawowy2Znak"/>
    <w:semiHidden/>
    <w:rsid w:val="00F325DE"/>
  </w:style>
  <w:style w:type="character" w:customStyle="1" w:styleId="Tekstpodstawowy2Znak">
    <w:name w:val="Tekst podstawowy 2 Znak"/>
    <w:basedOn w:val="Domylnaczcionkaakapitu"/>
    <w:link w:val="Tekstpodstawowy2"/>
    <w:semiHidden/>
    <w:rsid w:val="00F325DE"/>
  </w:style>
  <w:style w:type="paragraph" w:styleId="Tekstpodstawowy3">
    <w:name w:val="Body Text 3"/>
    <w:aliases w:val=" Znak"/>
    <w:basedOn w:val="Normalny"/>
    <w:link w:val="Tekstpodstawowy3Znak"/>
    <w:rsid w:val="00F325DE"/>
    <w:pPr>
      <w:spacing w:line="360" w:lineRule="auto"/>
    </w:pPr>
    <w:rPr>
      <w:sz w:val="28"/>
    </w:rPr>
  </w:style>
  <w:style w:type="character" w:customStyle="1" w:styleId="Tekstpodstawowy3Znak">
    <w:name w:val="Tekst podstawowy 3 Znak"/>
    <w:aliases w:val=" Znak Znak"/>
    <w:basedOn w:val="Domylnaczcionkaakapitu"/>
    <w:link w:val="Tekstpodstawowy3"/>
    <w:rsid w:val="00F325DE"/>
    <w:rPr>
      <w:sz w:val="28"/>
    </w:rPr>
  </w:style>
  <w:style w:type="paragraph" w:customStyle="1" w:styleId="xl33">
    <w:name w:val="xl33"/>
    <w:basedOn w:val="Normalny"/>
    <w:rsid w:val="00F325DE"/>
    <w:pPr>
      <w:spacing w:before="100" w:beforeAutospacing="1" w:after="100" w:afterAutospacing="1"/>
    </w:pPr>
    <w:rPr>
      <w:sz w:val="28"/>
      <w:szCs w:val="28"/>
    </w:rPr>
  </w:style>
  <w:style w:type="character" w:styleId="Numerstrony">
    <w:name w:val="page number"/>
    <w:basedOn w:val="Domylnaczcionkaakapitu"/>
    <w:semiHidden/>
    <w:rsid w:val="00F325DE"/>
  </w:style>
  <w:style w:type="paragraph" w:styleId="Stopka">
    <w:name w:val="footer"/>
    <w:basedOn w:val="Normalny"/>
    <w:link w:val="StopkaZnak"/>
    <w:uiPriority w:val="99"/>
    <w:rsid w:val="00F325DE"/>
    <w:pPr>
      <w:tabs>
        <w:tab w:val="center" w:pos="4536"/>
        <w:tab w:val="right" w:pos="9072"/>
      </w:tabs>
    </w:pPr>
  </w:style>
  <w:style w:type="character" w:customStyle="1" w:styleId="StopkaZnak">
    <w:name w:val="Stopka Znak"/>
    <w:basedOn w:val="Domylnaczcionkaakapitu"/>
    <w:link w:val="Stopka"/>
    <w:uiPriority w:val="99"/>
    <w:rsid w:val="00F325DE"/>
  </w:style>
  <w:style w:type="paragraph" w:styleId="Tekstpodstawowywcity2">
    <w:name w:val="Body Text Indent 2"/>
    <w:basedOn w:val="Normalny"/>
    <w:link w:val="Tekstpodstawowywcity2Znak"/>
    <w:semiHidden/>
    <w:rsid w:val="00F325DE"/>
    <w:pPr>
      <w:tabs>
        <w:tab w:val="right" w:leader="dot" w:pos="9072"/>
      </w:tabs>
      <w:ind w:left="900"/>
    </w:pPr>
    <w:rPr>
      <w:sz w:val="28"/>
    </w:rPr>
  </w:style>
  <w:style w:type="character" w:customStyle="1" w:styleId="Tekstpodstawowywcity2Znak">
    <w:name w:val="Tekst podstawowy wcięty 2 Znak"/>
    <w:basedOn w:val="Domylnaczcionkaakapitu"/>
    <w:link w:val="Tekstpodstawowywcity2"/>
    <w:semiHidden/>
    <w:rsid w:val="00F325DE"/>
    <w:rPr>
      <w:sz w:val="28"/>
    </w:rPr>
  </w:style>
  <w:style w:type="paragraph" w:styleId="HTML-wstpniesformatowany">
    <w:name w:val="HTML Preformatted"/>
    <w:basedOn w:val="Normalny"/>
    <w:link w:val="HTML-wstpniesformatowanyZnak"/>
    <w:semiHidden/>
    <w:rsid w:val="00F32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wstpniesformatowanyZnak">
    <w:name w:val="HTML - wstępnie sformatowany Znak"/>
    <w:basedOn w:val="Domylnaczcionkaakapitu"/>
    <w:link w:val="HTML-wstpniesformatowany"/>
    <w:semiHidden/>
    <w:rsid w:val="00F325DE"/>
    <w:rPr>
      <w:rFonts w:ascii="Courier New" w:eastAsia="Courier New" w:hAnsi="Courier New" w:cs="Courier New"/>
      <w:sz w:val="20"/>
    </w:rPr>
  </w:style>
  <w:style w:type="paragraph" w:styleId="NormalnyWeb">
    <w:name w:val="Normal (Web)"/>
    <w:basedOn w:val="Normalny"/>
    <w:uiPriority w:val="99"/>
    <w:rsid w:val="00F325DE"/>
    <w:pPr>
      <w:spacing w:before="100" w:after="100"/>
    </w:pPr>
    <w:rPr>
      <w:rFonts w:ascii="Verdana" w:hAnsi="Verdana"/>
      <w:color w:val="808080"/>
    </w:rPr>
  </w:style>
  <w:style w:type="paragraph" w:customStyle="1" w:styleId="NPR-ramka">
    <w:name w:val="NPR-ramka"/>
    <w:basedOn w:val="Tekstpodstawowy3"/>
    <w:rsid w:val="00F325DE"/>
    <w:pPr>
      <w:shd w:val="pct12" w:color="auto" w:fill="FFFFFF"/>
      <w:spacing w:line="240" w:lineRule="auto"/>
      <w:ind w:left="1701"/>
    </w:pPr>
    <w:rPr>
      <w:rFonts w:ascii="Arial" w:hAnsi="Arial" w:cs="Arial"/>
      <w:b/>
      <w:sz w:val="20"/>
    </w:rPr>
  </w:style>
  <w:style w:type="paragraph" w:customStyle="1" w:styleId="NPR-dziaanie">
    <w:name w:val="NPR-działanie"/>
    <w:basedOn w:val="Normalny"/>
    <w:rsid w:val="00F325DE"/>
    <w:pPr>
      <w:keepNext/>
      <w:tabs>
        <w:tab w:val="num" w:pos="720"/>
        <w:tab w:val="num" w:pos="1418"/>
      </w:tabs>
      <w:spacing w:before="240" w:after="60"/>
      <w:ind w:left="1418" w:hanging="360"/>
    </w:pPr>
    <w:rPr>
      <w:rFonts w:ascii="Arial" w:hAnsi="Arial"/>
      <w:b/>
      <w:u w:val="single"/>
    </w:rPr>
  </w:style>
  <w:style w:type="paragraph" w:customStyle="1" w:styleId="NPR-akapit1">
    <w:name w:val="NPR-akapit1"/>
    <w:basedOn w:val="Normalny"/>
    <w:rsid w:val="00F325DE"/>
    <w:pPr>
      <w:spacing w:before="60" w:after="60"/>
      <w:ind w:left="1701"/>
    </w:pPr>
    <w:rPr>
      <w:rFonts w:ascii="Arial" w:hAnsi="Arial"/>
    </w:rPr>
  </w:style>
  <w:style w:type="paragraph" w:customStyle="1" w:styleId="NPR-subakapitwyroznienie">
    <w:name w:val="NPR-subakapit_wyroznienie"/>
    <w:basedOn w:val="Normalny"/>
    <w:rsid w:val="00F325DE"/>
    <w:pPr>
      <w:numPr>
        <w:numId w:val="2"/>
      </w:numPr>
      <w:tabs>
        <w:tab w:val="clear" w:pos="360"/>
        <w:tab w:val="left" w:pos="2268"/>
      </w:tabs>
      <w:spacing w:before="60" w:after="60"/>
      <w:ind w:left="2268" w:hanging="283"/>
    </w:pPr>
    <w:rPr>
      <w:rFonts w:ascii="Arial" w:hAnsi="Arial"/>
    </w:rPr>
  </w:style>
  <w:style w:type="paragraph" w:styleId="Tekstprzypisudolnego">
    <w:name w:val="footnote text"/>
    <w:basedOn w:val="Normalny"/>
    <w:link w:val="TekstprzypisudolnegoZnak"/>
    <w:semiHidden/>
    <w:rsid w:val="00F325DE"/>
    <w:rPr>
      <w:rFonts w:ascii="Arial" w:hAnsi="Arial"/>
      <w:sz w:val="20"/>
    </w:rPr>
  </w:style>
  <w:style w:type="character" w:customStyle="1" w:styleId="TekstprzypisudolnegoZnak">
    <w:name w:val="Tekst przypisu dolnego Znak"/>
    <w:basedOn w:val="Domylnaczcionkaakapitu"/>
    <w:link w:val="Tekstprzypisudolnego"/>
    <w:semiHidden/>
    <w:rsid w:val="00F325DE"/>
    <w:rPr>
      <w:rFonts w:ascii="Arial" w:hAnsi="Arial"/>
      <w:sz w:val="20"/>
    </w:rPr>
  </w:style>
  <w:style w:type="paragraph" w:styleId="Tekstdymka">
    <w:name w:val="Balloon Text"/>
    <w:basedOn w:val="Normalny"/>
    <w:link w:val="TekstdymkaZnak"/>
    <w:semiHidden/>
    <w:rsid w:val="00F325DE"/>
    <w:rPr>
      <w:rFonts w:ascii="Tahoma" w:hAnsi="Tahoma" w:cs="Tahoma"/>
      <w:sz w:val="16"/>
      <w:szCs w:val="16"/>
    </w:rPr>
  </w:style>
  <w:style w:type="character" w:customStyle="1" w:styleId="TekstdymkaZnak">
    <w:name w:val="Tekst dymka Znak"/>
    <w:basedOn w:val="Domylnaczcionkaakapitu"/>
    <w:link w:val="Tekstdymka"/>
    <w:semiHidden/>
    <w:rsid w:val="00F325DE"/>
    <w:rPr>
      <w:rFonts w:ascii="Tahoma" w:hAnsi="Tahoma" w:cs="Tahoma"/>
      <w:sz w:val="16"/>
      <w:szCs w:val="16"/>
    </w:rPr>
  </w:style>
  <w:style w:type="character" w:customStyle="1" w:styleId="mala">
    <w:name w:val="mala"/>
    <w:basedOn w:val="Domylnaczcionkaakapitu"/>
    <w:rsid w:val="00F325DE"/>
  </w:style>
  <w:style w:type="paragraph" w:styleId="Tekstpodstawowywcity3">
    <w:name w:val="Body Text Indent 3"/>
    <w:basedOn w:val="Normalny"/>
    <w:link w:val="Tekstpodstawowywcity3Znak"/>
    <w:semiHidden/>
    <w:rsid w:val="00F325DE"/>
    <w:pPr>
      <w:spacing w:line="360" w:lineRule="auto"/>
      <w:ind w:left="180" w:hanging="180"/>
    </w:pPr>
    <w:rPr>
      <w:snapToGrid w:val="0"/>
    </w:rPr>
  </w:style>
  <w:style w:type="character" w:customStyle="1" w:styleId="Tekstpodstawowywcity3Znak">
    <w:name w:val="Tekst podstawowy wcięty 3 Znak"/>
    <w:basedOn w:val="Domylnaczcionkaakapitu"/>
    <w:link w:val="Tekstpodstawowywcity3"/>
    <w:semiHidden/>
    <w:rsid w:val="00F325DE"/>
    <w:rPr>
      <w:snapToGrid w:val="0"/>
    </w:rPr>
  </w:style>
  <w:style w:type="paragraph" w:styleId="Tekstpodstawowywcity">
    <w:name w:val="Body Text Indent"/>
    <w:basedOn w:val="Normalny"/>
    <w:link w:val="TekstpodstawowywcityZnak"/>
    <w:semiHidden/>
    <w:rsid w:val="00F325DE"/>
    <w:pPr>
      <w:spacing w:line="360" w:lineRule="atLeast"/>
      <w:ind w:firstLine="709"/>
    </w:pPr>
    <w:rPr>
      <w:sz w:val="26"/>
    </w:rPr>
  </w:style>
  <w:style w:type="character" w:customStyle="1" w:styleId="TekstpodstawowywcityZnak">
    <w:name w:val="Tekst podstawowy wcięty Znak"/>
    <w:basedOn w:val="Domylnaczcionkaakapitu"/>
    <w:link w:val="Tekstpodstawowywcity"/>
    <w:semiHidden/>
    <w:rsid w:val="00F325DE"/>
    <w:rPr>
      <w:sz w:val="26"/>
    </w:rPr>
  </w:style>
  <w:style w:type="paragraph" w:styleId="Spisilustracji">
    <w:name w:val="table of figures"/>
    <w:basedOn w:val="Normalny"/>
    <w:next w:val="Normalny"/>
    <w:uiPriority w:val="99"/>
    <w:rsid w:val="00471AE6"/>
    <w:rPr>
      <w:spacing w:val="4"/>
    </w:rPr>
  </w:style>
  <w:style w:type="paragraph" w:customStyle="1" w:styleId="wypunkt">
    <w:name w:val="wypunkt"/>
    <w:basedOn w:val="Normalny"/>
    <w:rsid w:val="00F325DE"/>
    <w:pPr>
      <w:numPr>
        <w:numId w:val="3"/>
      </w:numPr>
      <w:spacing w:line="280" w:lineRule="atLeast"/>
    </w:pPr>
  </w:style>
  <w:style w:type="paragraph" w:styleId="Spistreci1">
    <w:name w:val="toc 1"/>
    <w:basedOn w:val="Normalny"/>
    <w:next w:val="Normalny"/>
    <w:autoRedefine/>
    <w:uiPriority w:val="39"/>
    <w:qFormat/>
    <w:rsid w:val="005B2936"/>
    <w:pPr>
      <w:tabs>
        <w:tab w:val="right" w:leader="dot" w:pos="9060"/>
      </w:tabs>
      <w:jc w:val="left"/>
    </w:pPr>
    <w:rPr>
      <w:b/>
      <w:bCs/>
      <w:caps/>
      <w:noProof/>
      <w:szCs w:val="24"/>
    </w:rPr>
  </w:style>
  <w:style w:type="paragraph" w:customStyle="1" w:styleId="Styl1">
    <w:name w:val="Styl1"/>
    <w:basedOn w:val="Tekstpodstawowy"/>
    <w:next w:val="Tekstpodstawowy"/>
    <w:autoRedefine/>
    <w:rsid w:val="00F325DE"/>
    <w:pPr>
      <w:numPr>
        <w:ilvl w:val="1"/>
        <w:numId w:val="4"/>
      </w:numPr>
      <w:tabs>
        <w:tab w:val="clear" w:pos="1440"/>
        <w:tab w:val="num" w:pos="0"/>
      </w:tabs>
      <w:ind w:left="0" w:firstLine="0"/>
      <w:jc w:val="both"/>
    </w:pPr>
    <w:rPr>
      <w:b w:val="0"/>
      <w:bCs w:val="0"/>
      <w:sz w:val="26"/>
    </w:rPr>
  </w:style>
  <w:style w:type="paragraph" w:customStyle="1" w:styleId="StylTekstpodstawowyInterliniapojedyncze">
    <w:name w:val="Styl Tekst podstawowy + Interlinia:  pojedyncze"/>
    <w:basedOn w:val="Tekstpodstawowy"/>
    <w:rsid w:val="00F325DE"/>
    <w:pPr>
      <w:suppressAutoHyphens/>
      <w:jc w:val="left"/>
    </w:pPr>
    <w:rPr>
      <w:b w:val="0"/>
      <w:bCs w:val="0"/>
      <w:sz w:val="24"/>
    </w:rPr>
  </w:style>
  <w:style w:type="paragraph" w:customStyle="1" w:styleId="Tekstpodstawowy21">
    <w:name w:val="Tekst podstawowy 21"/>
    <w:basedOn w:val="Normalny"/>
    <w:rsid w:val="00F325DE"/>
    <w:pPr>
      <w:spacing w:line="360" w:lineRule="auto"/>
      <w:ind w:firstLine="708"/>
    </w:pPr>
  </w:style>
  <w:style w:type="paragraph" w:customStyle="1" w:styleId="xl30">
    <w:name w:val="xl30"/>
    <w:basedOn w:val="Normalny"/>
    <w:rsid w:val="00F325DE"/>
    <w:pPr>
      <w:pBdr>
        <w:bottom w:val="single" w:sz="4" w:space="0" w:color="auto"/>
        <w:right w:val="single" w:sz="4" w:space="0" w:color="auto"/>
      </w:pBdr>
      <w:spacing w:before="100" w:beforeAutospacing="1" w:after="100" w:afterAutospacing="1"/>
      <w:jc w:val="center"/>
      <w:textAlignment w:val="top"/>
    </w:pPr>
  </w:style>
  <w:style w:type="paragraph" w:customStyle="1" w:styleId="StandardowyStandardowy1">
    <w:name w:val="Standardowy.Standardowy1"/>
    <w:rsid w:val="00F325DE"/>
    <w:pPr>
      <w:ind w:firstLine="113"/>
    </w:pPr>
    <w:rPr>
      <w:lang w:eastAsia="ja-JP"/>
    </w:rPr>
  </w:style>
  <w:style w:type="paragraph" w:customStyle="1" w:styleId="Default">
    <w:name w:val="Default"/>
    <w:rsid w:val="00F325DE"/>
    <w:pPr>
      <w:autoSpaceDE w:val="0"/>
      <w:autoSpaceDN w:val="0"/>
      <w:adjustRightInd w:val="0"/>
      <w:ind w:firstLine="113"/>
    </w:pPr>
    <w:rPr>
      <w:color w:val="000000"/>
      <w:sz w:val="24"/>
      <w:szCs w:val="24"/>
    </w:rPr>
  </w:style>
  <w:style w:type="paragraph" w:customStyle="1" w:styleId="Standardowy1">
    <w:name w:val="Standardowy+1"/>
    <w:basedOn w:val="Default"/>
    <w:next w:val="Default"/>
    <w:rsid w:val="00F325DE"/>
    <w:pPr>
      <w:spacing w:after="120"/>
    </w:pPr>
    <w:rPr>
      <w:color w:val="auto"/>
      <w:sz w:val="20"/>
    </w:rPr>
  </w:style>
  <w:style w:type="paragraph" w:customStyle="1" w:styleId="Ewa">
    <w:name w:val="Ewa"/>
    <w:basedOn w:val="Wcicienormalne"/>
    <w:rsid w:val="00F325DE"/>
    <w:pPr>
      <w:ind w:left="0" w:firstLine="709"/>
    </w:pPr>
  </w:style>
  <w:style w:type="paragraph" w:styleId="Wcicienormalne">
    <w:name w:val="Normal Indent"/>
    <w:basedOn w:val="Normalny"/>
    <w:semiHidden/>
    <w:rsid w:val="00F325DE"/>
    <w:pPr>
      <w:ind w:left="708"/>
    </w:pPr>
  </w:style>
  <w:style w:type="paragraph" w:styleId="Tekstkomentarza">
    <w:name w:val="annotation text"/>
    <w:basedOn w:val="Normalny"/>
    <w:link w:val="TekstkomentarzaZnak"/>
    <w:semiHidden/>
    <w:rsid w:val="00F325DE"/>
    <w:pPr>
      <w:widowControl w:val="0"/>
      <w:snapToGrid w:val="0"/>
    </w:pPr>
    <w:rPr>
      <w:rFonts w:ascii="Arial" w:hAnsi="Arial"/>
      <w:sz w:val="20"/>
    </w:rPr>
  </w:style>
  <w:style w:type="character" w:customStyle="1" w:styleId="TekstkomentarzaZnak">
    <w:name w:val="Tekst komentarza Znak"/>
    <w:basedOn w:val="Domylnaczcionkaakapitu"/>
    <w:link w:val="Tekstkomentarza"/>
    <w:semiHidden/>
    <w:rsid w:val="00F325DE"/>
    <w:rPr>
      <w:rFonts w:ascii="Arial" w:hAnsi="Arial"/>
      <w:sz w:val="20"/>
    </w:rPr>
  </w:style>
  <w:style w:type="paragraph" w:customStyle="1" w:styleId="standard">
    <w:name w:val="standard"/>
    <w:basedOn w:val="Normalny"/>
    <w:rsid w:val="00F325DE"/>
    <w:pPr>
      <w:tabs>
        <w:tab w:val="left" w:pos="851"/>
      </w:tabs>
      <w:spacing w:before="60" w:after="60" w:line="360" w:lineRule="auto"/>
      <w:ind w:firstLine="709"/>
    </w:pPr>
    <w:rPr>
      <w:szCs w:val="22"/>
    </w:rPr>
  </w:style>
  <w:style w:type="character" w:styleId="Odwoanieprzypisudolnego">
    <w:name w:val="footnote reference"/>
    <w:basedOn w:val="Domylnaczcionkaakapitu"/>
    <w:semiHidden/>
    <w:rsid w:val="00F325DE"/>
    <w:rPr>
      <w:vertAlign w:val="superscript"/>
    </w:rPr>
  </w:style>
  <w:style w:type="paragraph" w:customStyle="1" w:styleId="tabelahead">
    <w:name w:val="tabela head"/>
    <w:basedOn w:val="Normalny"/>
    <w:rsid w:val="00F325DE"/>
    <w:pPr>
      <w:spacing w:before="20" w:after="20" w:line="260" w:lineRule="atLeast"/>
      <w:jc w:val="center"/>
    </w:pPr>
    <w:rPr>
      <w:rFonts w:ascii="Ottawa" w:hAnsi="Ottawa"/>
      <w:b/>
      <w:sz w:val="20"/>
    </w:rPr>
  </w:style>
  <w:style w:type="character" w:styleId="UyteHipercze">
    <w:name w:val="FollowedHyperlink"/>
    <w:basedOn w:val="Domylnaczcionkaakapitu"/>
    <w:uiPriority w:val="99"/>
    <w:semiHidden/>
    <w:rsid w:val="00F325DE"/>
    <w:rPr>
      <w:color w:val="800080"/>
      <w:u w:val="single"/>
    </w:rPr>
  </w:style>
  <w:style w:type="character" w:styleId="Hipercze">
    <w:name w:val="Hyperlink"/>
    <w:basedOn w:val="Domylnaczcionkaakapitu"/>
    <w:uiPriority w:val="99"/>
    <w:unhideWhenUsed/>
    <w:rsid w:val="00F325DE"/>
    <w:rPr>
      <w:color w:val="0000FF"/>
      <w:u w:val="single"/>
    </w:rPr>
  </w:style>
  <w:style w:type="paragraph" w:customStyle="1" w:styleId="Numerowanie1">
    <w:name w:val="Numerowanie 1"/>
    <w:basedOn w:val="Normalny"/>
    <w:next w:val="Normalny"/>
    <w:link w:val="Numerowanie1Znak"/>
    <w:qFormat/>
    <w:rsid w:val="00DE38A0"/>
    <w:pPr>
      <w:numPr>
        <w:numId w:val="10"/>
      </w:numPr>
      <w:tabs>
        <w:tab w:val="left" w:pos="113"/>
      </w:tabs>
    </w:pPr>
  </w:style>
  <w:style w:type="character" w:customStyle="1" w:styleId="Numerowanie1Znak">
    <w:name w:val="Numerowanie 1 Znak"/>
    <w:basedOn w:val="Domylnaczcionkaakapitu"/>
    <w:link w:val="Numerowanie1"/>
    <w:rsid w:val="00DE38A0"/>
    <w:rPr>
      <w:rFonts w:asciiTheme="minorHAnsi" w:hAnsiTheme="minorHAnsi"/>
      <w:sz w:val="24"/>
    </w:rPr>
  </w:style>
  <w:style w:type="paragraph" w:customStyle="1" w:styleId="Numerowanie2">
    <w:name w:val="Numerowanie 2"/>
    <w:basedOn w:val="Normalny"/>
    <w:next w:val="Normalny"/>
    <w:qFormat/>
    <w:rsid w:val="00503FB7"/>
    <w:pPr>
      <w:numPr>
        <w:ilvl w:val="1"/>
        <w:numId w:val="1"/>
      </w:numPr>
    </w:pPr>
  </w:style>
  <w:style w:type="paragraph" w:customStyle="1" w:styleId="Punktatory1">
    <w:name w:val="Punktatory 1"/>
    <w:basedOn w:val="Normalny"/>
    <w:next w:val="Normalny"/>
    <w:qFormat/>
    <w:rsid w:val="00F21741"/>
    <w:pPr>
      <w:numPr>
        <w:numId w:val="22"/>
      </w:numPr>
    </w:pPr>
    <w:rPr>
      <w:rFonts w:cstheme="minorHAnsi"/>
      <w:snapToGrid w:val="0"/>
    </w:rPr>
  </w:style>
  <w:style w:type="paragraph" w:customStyle="1" w:styleId="Punktatory2">
    <w:name w:val="Punktatory 2"/>
    <w:basedOn w:val="Normalny"/>
    <w:next w:val="Normalny"/>
    <w:link w:val="Punktatory2Znak"/>
    <w:qFormat/>
    <w:rsid w:val="00345847"/>
    <w:pPr>
      <w:numPr>
        <w:numId w:val="5"/>
      </w:numPr>
    </w:pPr>
  </w:style>
  <w:style w:type="paragraph" w:styleId="Nagwekspisutreci">
    <w:name w:val="TOC Heading"/>
    <w:basedOn w:val="Nagwek1"/>
    <w:next w:val="Normalny"/>
    <w:uiPriority w:val="39"/>
    <w:semiHidden/>
    <w:unhideWhenUsed/>
    <w:qFormat/>
    <w:rsid w:val="00F1341F"/>
    <w:pPr>
      <w:keepLines/>
      <w:spacing w:before="480"/>
      <w:jc w:val="left"/>
      <w:outlineLvl w:val="9"/>
    </w:pPr>
    <w:rPr>
      <w:rFonts w:ascii="Cambria" w:hAnsi="Cambria"/>
      <w:color w:val="365F91"/>
      <w:sz w:val="28"/>
      <w:szCs w:val="28"/>
      <w:lang w:eastAsia="en-US"/>
    </w:rPr>
  </w:style>
  <w:style w:type="paragraph" w:styleId="Spistreci2">
    <w:name w:val="toc 2"/>
    <w:basedOn w:val="Normalny"/>
    <w:next w:val="Normalny"/>
    <w:autoRedefine/>
    <w:uiPriority w:val="39"/>
    <w:unhideWhenUsed/>
    <w:qFormat/>
    <w:rsid w:val="00F1341F"/>
    <w:pPr>
      <w:ind w:left="240"/>
      <w:jc w:val="left"/>
    </w:pPr>
    <w:rPr>
      <w:rFonts w:ascii="Calibri" w:hAnsi="Calibri"/>
      <w:smallCaps/>
      <w:sz w:val="20"/>
    </w:rPr>
  </w:style>
  <w:style w:type="paragraph" w:styleId="Spistreci3">
    <w:name w:val="toc 3"/>
    <w:basedOn w:val="Normalny"/>
    <w:next w:val="Normalny"/>
    <w:autoRedefine/>
    <w:uiPriority w:val="39"/>
    <w:unhideWhenUsed/>
    <w:qFormat/>
    <w:rsid w:val="00F1341F"/>
    <w:pPr>
      <w:ind w:left="480"/>
      <w:jc w:val="left"/>
    </w:pPr>
    <w:rPr>
      <w:rFonts w:ascii="Calibri" w:hAnsi="Calibri"/>
      <w:i/>
      <w:iCs/>
      <w:sz w:val="20"/>
    </w:rPr>
  </w:style>
  <w:style w:type="paragraph" w:styleId="Spistreci4">
    <w:name w:val="toc 4"/>
    <w:basedOn w:val="Normalny"/>
    <w:next w:val="Normalny"/>
    <w:autoRedefine/>
    <w:uiPriority w:val="39"/>
    <w:unhideWhenUsed/>
    <w:rsid w:val="00F1341F"/>
    <w:pPr>
      <w:ind w:left="720"/>
      <w:jc w:val="left"/>
    </w:pPr>
    <w:rPr>
      <w:rFonts w:ascii="Calibri" w:hAnsi="Calibri"/>
      <w:sz w:val="18"/>
      <w:szCs w:val="18"/>
    </w:rPr>
  </w:style>
  <w:style w:type="paragraph" w:styleId="Spistreci5">
    <w:name w:val="toc 5"/>
    <w:basedOn w:val="Normalny"/>
    <w:next w:val="Normalny"/>
    <w:autoRedefine/>
    <w:uiPriority w:val="39"/>
    <w:unhideWhenUsed/>
    <w:rsid w:val="00F1341F"/>
    <w:pPr>
      <w:ind w:left="960"/>
      <w:jc w:val="left"/>
    </w:pPr>
    <w:rPr>
      <w:rFonts w:ascii="Calibri" w:hAnsi="Calibri"/>
      <w:sz w:val="18"/>
      <w:szCs w:val="18"/>
    </w:rPr>
  </w:style>
  <w:style w:type="paragraph" w:styleId="Spistreci6">
    <w:name w:val="toc 6"/>
    <w:basedOn w:val="Normalny"/>
    <w:next w:val="Normalny"/>
    <w:autoRedefine/>
    <w:uiPriority w:val="39"/>
    <w:unhideWhenUsed/>
    <w:rsid w:val="00F1341F"/>
    <w:pPr>
      <w:ind w:left="1200"/>
      <w:jc w:val="left"/>
    </w:pPr>
    <w:rPr>
      <w:rFonts w:ascii="Calibri" w:hAnsi="Calibri"/>
      <w:sz w:val="18"/>
      <w:szCs w:val="18"/>
    </w:rPr>
  </w:style>
  <w:style w:type="paragraph" w:styleId="Spistreci7">
    <w:name w:val="toc 7"/>
    <w:basedOn w:val="Normalny"/>
    <w:next w:val="Normalny"/>
    <w:autoRedefine/>
    <w:uiPriority w:val="39"/>
    <w:unhideWhenUsed/>
    <w:rsid w:val="00F1341F"/>
    <w:pPr>
      <w:ind w:left="1440"/>
      <w:jc w:val="left"/>
    </w:pPr>
    <w:rPr>
      <w:rFonts w:ascii="Calibri" w:hAnsi="Calibri"/>
      <w:sz w:val="18"/>
      <w:szCs w:val="18"/>
    </w:rPr>
  </w:style>
  <w:style w:type="paragraph" w:styleId="Spistreci8">
    <w:name w:val="toc 8"/>
    <w:basedOn w:val="Normalny"/>
    <w:next w:val="Normalny"/>
    <w:autoRedefine/>
    <w:uiPriority w:val="39"/>
    <w:unhideWhenUsed/>
    <w:rsid w:val="00F1341F"/>
    <w:pPr>
      <w:ind w:left="1680"/>
      <w:jc w:val="left"/>
    </w:pPr>
    <w:rPr>
      <w:rFonts w:ascii="Calibri" w:hAnsi="Calibri"/>
      <w:sz w:val="18"/>
      <w:szCs w:val="18"/>
    </w:rPr>
  </w:style>
  <w:style w:type="paragraph" w:styleId="Spistreci9">
    <w:name w:val="toc 9"/>
    <w:basedOn w:val="Normalny"/>
    <w:next w:val="Normalny"/>
    <w:autoRedefine/>
    <w:uiPriority w:val="39"/>
    <w:unhideWhenUsed/>
    <w:rsid w:val="00F1341F"/>
    <w:pPr>
      <w:ind w:left="1920"/>
      <w:jc w:val="left"/>
    </w:pPr>
    <w:rPr>
      <w:rFonts w:ascii="Calibri" w:hAnsi="Calibri"/>
      <w:sz w:val="18"/>
      <w:szCs w:val="18"/>
    </w:rPr>
  </w:style>
  <w:style w:type="paragraph" w:customStyle="1" w:styleId="p3">
    <w:name w:val="p3"/>
    <w:basedOn w:val="Normalny"/>
    <w:rsid w:val="00914029"/>
    <w:pPr>
      <w:spacing w:before="100" w:beforeAutospacing="1" w:after="100" w:afterAutospacing="1" w:line="240" w:lineRule="auto"/>
      <w:jc w:val="left"/>
    </w:pPr>
    <w:rPr>
      <w:szCs w:val="24"/>
    </w:rPr>
  </w:style>
  <w:style w:type="table" w:styleId="Tabela-Siatka">
    <w:name w:val="Table Grid"/>
    <w:basedOn w:val="Standardowy"/>
    <w:uiPriority w:val="59"/>
    <w:rsid w:val="00635B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
    <w:name w:val="1.1.1.1"/>
    <w:basedOn w:val="Normalny"/>
    <w:qFormat/>
    <w:rsid w:val="00CD29AB"/>
    <w:pPr>
      <w:spacing w:line="240" w:lineRule="auto"/>
    </w:pPr>
    <w:rPr>
      <w:sz w:val="28"/>
      <w:szCs w:val="24"/>
    </w:rPr>
  </w:style>
  <w:style w:type="paragraph" w:customStyle="1" w:styleId="Tekstpodstawowy22">
    <w:name w:val="Tekst podstawowy 22"/>
    <w:basedOn w:val="Normalny"/>
    <w:rsid w:val="00EA1EA1"/>
    <w:pPr>
      <w:spacing w:line="360" w:lineRule="auto"/>
      <w:ind w:firstLine="708"/>
    </w:pPr>
  </w:style>
  <w:style w:type="paragraph" w:customStyle="1" w:styleId="111">
    <w:name w:val="1.1.1"/>
    <w:basedOn w:val="Normalny"/>
    <w:qFormat/>
    <w:rsid w:val="00A3432B"/>
    <w:pPr>
      <w:spacing w:line="240" w:lineRule="auto"/>
      <w:jc w:val="left"/>
    </w:pPr>
    <w:rPr>
      <w:b/>
      <w:bCs/>
      <w:sz w:val="28"/>
      <w:szCs w:val="24"/>
    </w:rPr>
  </w:style>
  <w:style w:type="character" w:customStyle="1" w:styleId="tresc">
    <w:name w:val="tresc"/>
    <w:basedOn w:val="Domylnaczcionkaakapitu"/>
    <w:rsid w:val="008D0D61"/>
  </w:style>
  <w:style w:type="character" w:customStyle="1" w:styleId="TematkomentarzaZnak">
    <w:name w:val="Temat komentarza Znak"/>
    <w:basedOn w:val="TekstkomentarzaZnak"/>
    <w:link w:val="Tematkomentarza"/>
    <w:uiPriority w:val="99"/>
    <w:semiHidden/>
    <w:rsid w:val="00551741"/>
    <w:rPr>
      <w:b/>
      <w:bCs/>
    </w:rPr>
  </w:style>
  <w:style w:type="paragraph" w:styleId="Tematkomentarza">
    <w:name w:val="annotation subject"/>
    <w:basedOn w:val="Tekstkomentarza"/>
    <w:next w:val="Tekstkomentarza"/>
    <w:link w:val="TematkomentarzaZnak"/>
    <w:uiPriority w:val="99"/>
    <w:semiHidden/>
    <w:unhideWhenUsed/>
    <w:rsid w:val="00551741"/>
    <w:pPr>
      <w:widowControl/>
      <w:snapToGrid/>
    </w:pPr>
    <w:rPr>
      <w:rFonts w:ascii="Times New Roman" w:hAnsi="Times New Roman"/>
      <w:b/>
      <w:bCs/>
    </w:rPr>
  </w:style>
  <w:style w:type="paragraph" w:customStyle="1" w:styleId="Tomek">
    <w:name w:val="Tomek"/>
    <w:basedOn w:val="Normalny"/>
    <w:rsid w:val="009B27F8"/>
    <w:pPr>
      <w:spacing w:line="360" w:lineRule="auto"/>
    </w:pPr>
  </w:style>
  <w:style w:type="paragraph" w:customStyle="1" w:styleId="Tekstpodstawowy23">
    <w:name w:val="Tekst podstawowy 23"/>
    <w:basedOn w:val="Normalny"/>
    <w:rsid w:val="00184B3E"/>
    <w:pPr>
      <w:spacing w:line="360" w:lineRule="auto"/>
      <w:ind w:firstLine="708"/>
    </w:pPr>
  </w:style>
  <w:style w:type="paragraph" w:styleId="Tekstprzypisukocowego">
    <w:name w:val="endnote text"/>
    <w:basedOn w:val="Normalny"/>
    <w:link w:val="TekstprzypisukocowegoZnak"/>
    <w:uiPriority w:val="99"/>
    <w:semiHidden/>
    <w:unhideWhenUsed/>
    <w:rsid w:val="00456664"/>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456664"/>
  </w:style>
  <w:style w:type="character" w:styleId="Odwoanieprzypisukocowego">
    <w:name w:val="endnote reference"/>
    <w:basedOn w:val="Domylnaczcionkaakapitu"/>
    <w:uiPriority w:val="99"/>
    <w:semiHidden/>
    <w:unhideWhenUsed/>
    <w:rsid w:val="00456664"/>
    <w:rPr>
      <w:vertAlign w:val="superscript"/>
    </w:rPr>
  </w:style>
  <w:style w:type="paragraph" w:customStyle="1" w:styleId="just">
    <w:name w:val="just"/>
    <w:basedOn w:val="Normalny"/>
    <w:rsid w:val="00E229A5"/>
    <w:pPr>
      <w:spacing w:before="100" w:beforeAutospacing="1" w:after="100" w:afterAutospacing="1" w:line="240" w:lineRule="auto"/>
      <w:jc w:val="left"/>
    </w:pPr>
    <w:rPr>
      <w:szCs w:val="24"/>
    </w:rPr>
  </w:style>
  <w:style w:type="paragraph" w:customStyle="1" w:styleId="krasnystaw-tekst">
    <w:name w:val="krasnystaw-tekst"/>
    <w:basedOn w:val="Normalny"/>
    <w:link w:val="krasnystaw-tekstZnak"/>
    <w:rsid w:val="00D47006"/>
    <w:pPr>
      <w:spacing w:line="240" w:lineRule="auto"/>
    </w:pPr>
    <w:rPr>
      <w:rFonts w:ascii="Arial" w:hAnsi="Arial"/>
      <w:sz w:val="22"/>
      <w:szCs w:val="22"/>
      <w:lang w:eastAsia="en-US" w:bidi="en-US"/>
    </w:rPr>
  </w:style>
  <w:style w:type="character" w:customStyle="1" w:styleId="krasnystaw-tekstZnak">
    <w:name w:val="krasnystaw-tekst Znak"/>
    <w:basedOn w:val="Domylnaczcionkaakapitu"/>
    <w:link w:val="krasnystaw-tekst"/>
    <w:rsid w:val="00D47006"/>
    <w:rPr>
      <w:rFonts w:ascii="Arial" w:hAnsi="Arial"/>
      <w:sz w:val="22"/>
      <w:szCs w:val="22"/>
      <w:lang w:eastAsia="en-US" w:bidi="en-US"/>
    </w:rPr>
  </w:style>
  <w:style w:type="paragraph" w:styleId="Zwykytekst">
    <w:name w:val="Plain Text"/>
    <w:basedOn w:val="Normalny"/>
    <w:link w:val="ZwykytekstZnak"/>
    <w:rsid w:val="00564C3A"/>
    <w:pPr>
      <w:spacing w:line="240" w:lineRule="auto"/>
      <w:jc w:val="left"/>
    </w:pPr>
    <w:rPr>
      <w:rFonts w:ascii="Courier New" w:hAnsi="Courier New" w:cs="Courier New"/>
      <w:sz w:val="20"/>
    </w:rPr>
  </w:style>
  <w:style w:type="character" w:customStyle="1" w:styleId="ZwykytekstZnak">
    <w:name w:val="Zwykły tekst Znak"/>
    <w:basedOn w:val="Domylnaczcionkaakapitu"/>
    <w:link w:val="Zwykytekst"/>
    <w:rsid w:val="00564C3A"/>
    <w:rPr>
      <w:rFonts w:ascii="Courier New" w:hAnsi="Courier New" w:cs="Courier New"/>
    </w:rPr>
  </w:style>
  <w:style w:type="paragraph" w:customStyle="1" w:styleId="style102">
    <w:name w:val="style102"/>
    <w:basedOn w:val="Normalny"/>
    <w:rsid w:val="00140C69"/>
    <w:pPr>
      <w:spacing w:line="240" w:lineRule="auto"/>
      <w:jc w:val="left"/>
    </w:pPr>
    <w:rPr>
      <w:szCs w:val="24"/>
    </w:rPr>
  </w:style>
  <w:style w:type="character" w:customStyle="1" w:styleId="ff210">
    <w:name w:val="ff210"/>
    <w:basedOn w:val="Domylnaczcionkaakapitu"/>
    <w:rsid w:val="00C47406"/>
    <w:rPr>
      <w:rFonts w:ascii="ff2" w:hAnsi="ff2" w:hint="default"/>
    </w:rPr>
  </w:style>
  <w:style w:type="character" w:customStyle="1" w:styleId="ff310">
    <w:name w:val="ff310"/>
    <w:basedOn w:val="Domylnaczcionkaakapitu"/>
    <w:rsid w:val="00C47406"/>
    <w:rPr>
      <w:rFonts w:ascii="ff3" w:hAnsi="ff3" w:hint="default"/>
    </w:rPr>
  </w:style>
  <w:style w:type="paragraph" w:styleId="Cytat">
    <w:name w:val="Quote"/>
    <w:basedOn w:val="Normalny"/>
    <w:next w:val="Normalny"/>
    <w:link w:val="CytatZnak"/>
    <w:uiPriority w:val="29"/>
    <w:qFormat/>
    <w:rsid w:val="004C58B3"/>
    <w:rPr>
      <w:i/>
      <w:iCs/>
      <w:color w:val="000000" w:themeColor="text1"/>
    </w:rPr>
  </w:style>
  <w:style w:type="character" w:customStyle="1" w:styleId="CytatZnak">
    <w:name w:val="Cytat Znak"/>
    <w:basedOn w:val="Domylnaczcionkaakapitu"/>
    <w:link w:val="Cytat"/>
    <w:uiPriority w:val="29"/>
    <w:rsid w:val="004C58B3"/>
    <w:rPr>
      <w:i/>
      <w:iCs/>
      <w:color w:val="000000" w:themeColor="text1"/>
      <w:sz w:val="24"/>
    </w:rPr>
  </w:style>
  <w:style w:type="paragraph" w:styleId="Lista">
    <w:name w:val="List"/>
    <w:basedOn w:val="Normalny"/>
    <w:uiPriority w:val="99"/>
    <w:unhideWhenUsed/>
    <w:rsid w:val="008364A4"/>
    <w:pPr>
      <w:ind w:left="283" w:hanging="283"/>
      <w:contextualSpacing/>
    </w:pPr>
  </w:style>
  <w:style w:type="paragraph" w:styleId="Lista2">
    <w:name w:val="List 2"/>
    <w:basedOn w:val="Normalny"/>
    <w:uiPriority w:val="99"/>
    <w:unhideWhenUsed/>
    <w:rsid w:val="008364A4"/>
    <w:pPr>
      <w:ind w:left="566" w:hanging="283"/>
      <w:contextualSpacing/>
    </w:pPr>
  </w:style>
  <w:style w:type="paragraph" w:styleId="Lista3">
    <w:name w:val="List 3"/>
    <w:basedOn w:val="Normalny"/>
    <w:uiPriority w:val="99"/>
    <w:unhideWhenUsed/>
    <w:rsid w:val="008364A4"/>
    <w:pPr>
      <w:ind w:left="849" w:hanging="283"/>
      <w:contextualSpacing/>
    </w:pPr>
  </w:style>
  <w:style w:type="paragraph" w:styleId="Listapunktowana">
    <w:name w:val="List Bullet"/>
    <w:basedOn w:val="Normalny"/>
    <w:uiPriority w:val="99"/>
    <w:unhideWhenUsed/>
    <w:rsid w:val="008364A4"/>
    <w:pPr>
      <w:numPr>
        <w:numId w:val="7"/>
      </w:numPr>
      <w:contextualSpacing/>
    </w:pPr>
  </w:style>
  <w:style w:type="paragraph" w:styleId="Listapunktowana2">
    <w:name w:val="List Bullet 2"/>
    <w:basedOn w:val="Normalny"/>
    <w:uiPriority w:val="99"/>
    <w:unhideWhenUsed/>
    <w:rsid w:val="008364A4"/>
    <w:pPr>
      <w:numPr>
        <w:numId w:val="8"/>
      </w:numPr>
      <w:contextualSpacing/>
    </w:pPr>
  </w:style>
  <w:style w:type="paragraph" w:styleId="Listapunktowana3">
    <w:name w:val="List Bullet 3"/>
    <w:basedOn w:val="Normalny"/>
    <w:uiPriority w:val="99"/>
    <w:unhideWhenUsed/>
    <w:rsid w:val="008364A4"/>
    <w:pPr>
      <w:numPr>
        <w:numId w:val="9"/>
      </w:numPr>
      <w:contextualSpacing/>
    </w:pPr>
  </w:style>
  <w:style w:type="paragraph" w:styleId="Lista-kontynuacja">
    <w:name w:val="List Continue"/>
    <w:basedOn w:val="Normalny"/>
    <w:uiPriority w:val="99"/>
    <w:unhideWhenUsed/>
    <w:rsid w:val="008364A4"/>
    <w:pPr>
      <w:ind w:left="283"/>
      <w:contextualSpacing/>
    </w:pPr>
  </w:style>
  <w:style w:type="paragraph" w:styleId="Lista-kontynuacja2">
    <w:name w:val="List Continue 2"/>
    <w:basedOn w:val="Normalny"/>
    <w:uiPriority w:val="99"/>
    <w:unhideWhenUsed/>
    <w:rsid w:val="008364A4"/>
    <w:pPr>
      <w:ind w:left="566"/>
      <w:contextualSpacing/>
    </w:pPr>
  </w:style>
  <w:style w:type="paragraph" w:customStyle="1" w:styleId="Adresodbiorcy">
    <w:name w:val="Adres odbiorcy"/>
    <w:basedOn w:val="Normalny"/>
    <w:rsid w:val="008364A4"/>
  </w:style>
  <w:style w:type="paragraph" w:styleId="Podtytu">
    <w:name w:val="Subtitle"/>
    <w:basedOn w:val="Normalny"/>
    <w:next w:val="Normalny"/>
    <w:link w:val="PodtytuZnak"/>
    <w:uiPriority w:val="11"/>
    <w:qFormat/>
    <w:rsid w:val="008364A4"/>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8364A4"/>
    <w:rPr>
      <w:rFonts w:asciiTheme="majorHAnsi" w:eastAsiaTheme="majorEastAsia" w:hAnsiTheme="majorHAnsi" w:cstheme="majorBidi"/>
      <w:i/>
      <w:iCs/>
      <w:color w:val="4F81BD" w:themeColor="accent1"/>
      <w:spacing w:val="15"/>
      <w:sz w:val="24"/>
      <w:szCs w:val="24"/>
    </w:rPr>
  </w:style>
  <w:style w:type="paragraph" w:customStyle="1" w:styleId="Wyraenienawizujce">
    <w:name w:val="Wyrażenie nawiązujące"/>
    <w:basedOn w:val="Tekstpodstawowy"/>
    <w:rsid w:val="008364A4"/>
  </w:style>
  <w:style w:type="paragraph" w:styleId="Tekstpodstawowyzwciciem">
    <w:name w:val="Body Text First Indent"/>
    <w:basedOn w:val="Tekstpodstawowy"/>
    <w:link w:val="TekstpodstawowyzwciciemZnak"/>
    <w:uiPriority w:val="99"/>
    <w:unhideWhenUsed/>
    <w:rsid w:val="008364A4"/>
    <w:pPr>
      <w:ind w:firstLine="360"/>
      <w:jc w:val="both"/>
    </w:pPr>
    <w:rPr>
      <w:b w:val="0"/>
      <w:bCs w:val="0"/>
      <w:sz w:val="24"/>
    </w:rPr>
  </w:style>
  <w:style w:type="character" w:customStyle="1" w:styleId="TekstpodstawowyzwciciemZnak">
    <w:name w:val="Tekst podstawowy z wcięciem Znak"/>
    <w:basedOn w:val="TekstpodstawowyZnak"/>
    <w:link w:val="Tekstpodstawowyzwciciem"/>
    <w:uiPriority w:val="99"/>
    <w:rsid w:val="008364A4"/>
    <w:rPr>
      <w:sz w:val="24"/>
    </w:rPr>
  </w:style>
  <w:style w:type="paragraph" w:styleId="Tekstpodstawowyzwciciem2">
    <w:name w:val="Body Text First Indent 2"/>
    <w:basedOn w:val="Tekstpodstawowywcity"/>
    <w:link w:val="Tekstpodstawowyzwciciem2Znak"/>
    <w:uiPriority w:val="99"/>
    <w:unhideWhenUsed/>
    <w:rsid w:val="008364A4"/>
    <w:pPr>
      <w:spacing w:line="320" w:lineRule="exact"/>
      <w:ind w:left="360" w:firstLine="360"/>
    </w:pPr>
    <w:rPr>
      <w:sz w:val="24"/>
    </w:rPr>
  </w:style>
  <w:style w:type="character" w:customStyle="1" w:styleId="Tekstpodstawowyzwciciem2Znak">
    <w:name w:val="Tekst podstawowy z wcięciem 2 Znak"/>
    <w:basedOn w:val="TekstpodstawowywcityZnak"/>
    <w:link w:val="Tekstpodstawowyzwciciem2"/>
    <w:uiPriority w:val="99"/>
    <w:rsid w:val="008364A4"/>
    <w:rPr>
      <w:sz w:val="24"/>
    </w:rPr>
  </w:style>
  <w:style w:type="character" w:customStyle="1" w:styleId="txt">
    <w:name w:val="txt"/>
    <w:basedOn w:val="Domylnaczcionkaakapitu"/>
    <w:rsid w:val="007976D2"/>
  </w:style>
  <w:style w:type="character" w:customStyle="1" w:styleId="ad5539f3585325f75e5b6231f2c8d1d5991">
    <w:name w:val="ad_5539f3585325f75e5b6231f2c8d1d5991"/>
    <w:basedOn w:val="Domylnaczcionkaakapitu"/>
    <w:rsid w:val="00CE21C4"/>
    <w:rPr>
      <w:sz w:val="18"/>
      <w:szCs w:val="18"/>
    </w:rPr>
  </w:style>
  <w:style w:type="character" w:customStyle="1" w:styleId="a1">
    <w:name w:val="a1"/>
    <w:basedOn w:val="Domylnaczcionkaakapitu"/>
    <w:rsid w:val="00B62B12"/>
    <w:rPr>
      <w:bdr w:val="none" w:sz="0" w:space="0" w:color="auto" w:frame="1"/>
    </w:rPr>
  </w:style>
  <w:style w:type="character" w:customStyle="1" w:styleId="l92">
    <w:name w:val="l92"/>
    <w:basedOn w:val="Domylnaczcionkaakapitu"/>
    <w:rsid w:val="00B52B09"/>
    <w:rPr>
      <w:vanish w:val="0"/>
      <w:webHidden w:val="0"/>
      <w:bdr w:val="none" w:sz="0" w:space="0" w:color="auto" w:frame="1"/>
      <w:specVanish w:val="0"/>
    </w:rPr>
  </w:style>
  <w:style w:type="character" w:customStyle="1" w:styleId="l102">
    <w:name w:val="l102"/>
    <w:basedOn w:val="Domylnaczcionkaakapitu"/>
    <w:rsid w:val="00B52B09"/>
    <w:rPr>
      <w:vanish w:val="0"/>
      <w:webHidden w:val="0"/>
      <w:bdr w:val="none" w:sz="0" w:space="0" w:color="auto" w:frame="1"/>
      <w:specVanish w:val="0"/>
    </w:rPr>
  </w:style>
  <w:style w:type="character" w:customStyle="1" w:styleId="l82">
    <w:name w:val="l82"/>
    <w:basedOn w:val="Domylnaczcionkaakapitu"/>
    <w:rsid w:val="00B52B09"/>
    <w:rPr>
      <w:vanish w:val="0"/>
      <w:webHidden w:val="0"/>
      <w:bdr w:val="none" w:sz="0" w:space="0" w:color="auto" w:frame="1"/>
      <w:specVanish w:val="0"/>
    </w:rPr>
  </w:style>
  <w:style w:type="character" w:customStyle="1" w:styleId="l72">
    <w:name w:val="l72"/>
    <w:basedOn w:val="Domylnaczcionkaakapitu"/>
    <w:rsid w:val="00B52B09"/>
    <w:rPr>
      <w:vanish w:val="0"/>
      <w:webHidden w:val="0"/>
      <w:bdr w:val="none" w:sz="0" w:space="0" w:color="auto" w:frame="1"/>
      <w:specVanish w:val="0"/>
    </w:rPr>
  </w:style>
  <w:style w:type="character" w:customStyle="1" w:styleId="l62">
    <w:name w:val="l62"/>
    <w:basedOn w:val="Domylnaczcionkaakapitu"/>
    <w:rsid w:val="00B52B09"/>
    <w:rPr>
      <w:vanish w:val="0"/>
      <w:webHidden w:val="0"/>
      <w:bdr w:val="none" w:sz="0" w:space="0" w:color="auto" w:frame="1"/>
      <w:specVanish w:val="0"/>
    </w:rPr>
  </w:style>
  <w:style w:type="character" w:styleId="Uwydatnienie">
    <w:name w:val="Emphasis"/>
    <w:basedOn w:val="Domylnaczcionkaakapitu"/>
    <w:uiPriority w:val="20"/>
    <w:qFormat/>
    <w:rsid w:val="00B33FCC"/>
    <w:rPr>
      <w:i/>
      <w:iCs/>
    </w:rPr>
  </w:style>
  <w:style w:type="paragraph" w:customStyle="1" w:styleId="Standard0">
    <w:name w:val="Standard"/>
    <w:basedOn w:val="Normalny"/>
    <w:rsid w:val="009A660F"/>
    <w:pPr>
      <w:tabs>
        <w:tab w:val="left" w:pos="567"/>
      </w:tabs>
      <w:spacing w:line="240" w:lineRule="auto"/>
    </w:pPr>
  </w:style>
  <w:style w:type="paragraph" w:customStyle="1" w:styleId="pauza">
    <w:name w:val="pauza"/>
    <w:basedOn w:val="Normalny"/>
    <w:rsid w:val="009E2BFF"/>
    <w:pPr>
      <w:numPr>
        <w:numId w:val="11"/>
      </w:numPr>
      <w:spacing w:line="240" w:lineRule="auto"/>
    </w:pPr>
    <w:rPr>
      <w:rFonts w:ascii="Arial" w:hAnsi="Arial"/>
    </w:rPr>
  </w:style>
  <w:style w:type="paragraph" w:customStyle="1" w:styleId="Style2">
    <w:name w:val="Style2"/>
    <w:basedOn w:val="Normalny"/>
    <w:uiPriority w:val="99"/>
    <w:rsid w:val="009A02C3"/>
    <w:pPr>
      <w:widowControl w:val="0"/>
      <w:autoSpaceDE w:val="0"/>
      <w:autoSpaceDN w:val="0"/>
      <w:adjustRightInd w:val="0"/>
      <w:spacing w:line="418" w:lineRule="exact"/>
      <w:jc w:val="left"/>
    </w:pPr>
    <w:rPr>
      <w:rFonts w:ascii="Arial" w:eastAsiaTheme="minorEastAsia" w:hAnsi="Arial" w:cs="Arial"/>
      <w:szCs w:val="24"/>
    </w:rPr>
  </w:style>
  <w:style w:type="character" w:customStyle="1" w:styleId="FontStyle13">
    <w:name w:val="Font Style13"/>
    <w:basedOn w:val="Domylnaczcionkaakapitu"/>
    <w:uiPriority w:val="99"/>
    <w:rsid w:val="009A02C3"/>
    <w:rPr>
      <w:rFonts w:ascii="Arial" w:hAnsi="Arial" w:cs="Arial"/>
      <w:sz w:val="22"/>
      <w:szCs w:val="22"/>
    </w:rPr>
  </w:style>
  <w:style w:type="character" w:customStyle="1" w:styleId="FontStyle11">
    <w:name w:val="Font Style11"/>
    <w:basedOn w:val="Domylnaczcionkaakapitu"/>
    <w:uiPriority w:val="99"/>
    <w:rsid w:val="007417EC"/>
    <w:rPr>
      <w:rFonts w:ascii="Arial" w:hAnsi="Arial" w:cs="Arial"/>
      <w:sz w:val="24"/>
      <w:szCs w:val="24"/>
    </w:rPr>
  </w:style>
  <w:style w:type="paragraph" w:customStyle="1" w:styleId="Bullet1">
    <w:name w:val="Bullet 1"/>
    <w:rsid w:val="00EA16D5"/>
    <w:pPr>
      <w:numPr>
        <w:ilvl w:val="1"/>
        <w:numId w:val="14"/>
      </w:numPr>
      <w:spacing w:line="300" w:lineRule="exact"/>
    </w:pPr>
    <w:rPr>
      <w:rFonts w:ascii="TimesNewRomanPS" w:hAnsi="TimesNewRomanPS"/>
      <w:color w:val="000000"/>
      <w:sz w:val="24"/>
    </w:rPr>
  </w:style>
  <w:style w:type="paragraph" w:customStyle="1" w:styleId="bullet2">
    <w:name w:val="bullet2"/>
    <w:basedOn w:val="Normalny"/>
    <w:rsid w:val="00EA16D5"/>
    <w:pPr>
      <w:numPr>
        <w:numId w:val="14"/>
      </w:numPr>
      <w:spacing w:line="240" w:lineRule="auto"/>
    </w:pPr>
    <w:rPr>
      <w:rFonts w:ascii="Calibri" w:hAnsi="Calibri"/>
      <w:color w:val="FF0000"/>
      <w:szCs w:val="24"/>
    </w:rPr>
  </w:style>
  <w:style w:type="paragraph" w:customStyle="1" w:styleId="Punktory">
    <w:name w:val="Punktory"/>
    <w:basedOn w:val="Akapitzlist"/>
    <w:link w:val="PunktoryZnak"/>
    <w:qFormat/>
    <w:rsid w:val="00EA16D5"/>
    <w:pPr>
      <w:spacing w:line="360" w:lineRule="auto"/>
      <w:ind w:left="0"/>
    </w:pPr>
    <w:rPr>
      <w:rFonts w:ascii="Calibri" w:eastAsia="Times New Roman" w:hAnsi="Calibri"/>
      <w:szCs w:val="24"/>
      <w:lang w:val="en-US"/>
    </w:rPr>
  </w:style>
  <w:style w:type="character" w:customStyle="1" w:styleId="PunktoryZnak">
    <w:name w:val="Punktory Znak"/>
    <w:basedOn w:val="Domylnaczcionkaakapitu"/>
    <w:link w:val="Punktory"/>
    <w:rsid w:val="00EA16D5"/>
    <w:rPr>
      <w:rFonts w:ascii="Calibri" w:hAnsi="Calibri"/>
      <w:sz w:val="24"/>
      <w:szCs w:val="24"/>
      <w:lang w:val="en-US"/>
    </w:rPr>
  </w:style>
  <w:style w:type="paragraph" w:customStyle="1" w:styleId="AWYPUNKTOWANIE">
    <w:name w:val="A WYPUNKTOWANIE"/>
    <w:basedOn w:val="Normalny"/>
    <w:rsid w:val="006A5470"/>
    <w:pPr>
      <w:keepNext/>
      <w:numPr>
        <w:ilvl w:val="1"/>
        <w:numId w:val="20"/>
      </w:numPr>
      <w:spacing w:line="240" w:lineRule="auto"/>
    </w:pPr>
    <w:rPr>
      <w:rFonts w:ascii="Calibri" w:hAnsi="Calibri"/>
      <w:color w:val="000000"/>
      <w:sz w:val="20"/>
      <w:szCs w:val="17"/>
      <w:lang w:eastAsia="en-US"/>
    </w:rPr>
  </w:style>
  <w:style w:type="paragraph" w:customStyle="1" w:styleId="podtabelk">
    <w:name w:val="pod tabelką"/>
    <w:basedOn w:val="Normalny"/>
    <w:link w:val="podtabelkZnak"/>
    <w:uiPriority w:val="99"/>
    <w:qFormat/>
    <w:rsid w:val="008331F6"/>
    <w:pPr>
      <w:spacing w:before="0" w:after="360" w:line="240" w:lineRule="auto"/>
      <w:jc w:val="left"/>
    </w:pPr>
    <w:rPr>
      <w:rFonts w:ascii="Calibri" w:hAnsi="Calibri"/>
      <w:sz w:val="18"/>
    </w:rPr>
  </w:style>
  <w:style w:type="character" w:customStyle="1" w:styleId="podtabelkZnak">
    <w:name w:val="pod tabelką Znak"/>
    <w:basedOn w:val="Domylnaczcionkaakapitu"/>
    <w:link w:val="podtabelk"/>
    <w:uiPriority w:val="99"/>
    <w:rsid w:val="008331F6"/>
    <w:rPr>
      <w:rFonts w:ascii="Calibri" w:hAnsi="Calibri"/>
      <w:sz w:val="18"/>
    </w:rPr>
  </w:style>
  <w:style w:type="paragraph" w:customStyle="1" w:styleId="AKROPKOWANIE">
    <w:name w:val="A KROPKOWANIE"/>
    <w:basedOn w:val="Normalny"/>
    <w:rsid w:val="006365E1"/>
    <w:pPr>
      <w:keepNext/>
      <w:numPr>
        <w:numId w:val="25"/>
      </w:numPr>
      <w:spacing w:line="240" w:lineRule="auto"/>
    </w:pPr>
    <w:rPr>
      <w:rFonts w:ascii="Calibri" w:hAnsi="Calibri"/>
      <w:bCs/>
      <w:color w:val="000000"/>
      <w:sz w:val="20"/>
      <w:szCs w:val="17"/>
      <w:lang w:eastAsia="en-US"/>
    </w:rPr>
  </w:style>
  <w:style w:type="paragraph" w:customStyle="1" w:styleId="wypunktowanie">
    <w:name w:val="wypunktowanie"/>
    <w:basedOn w:val="Punktatory2"/>
    <w:link w:val="wypunktowanieZnak"/>
    <w:qFormat/>
    <w:rsid w:val="000A308D"/>
    <w:pPr>
      <w:numPr>
        <w:numId w:val="26"/>
      </w:numPr>
    </w:pPr>
    <w:rPr>
      <w:rFonts w:cstheme="minorHAnsi"/>
    </w:rPr>
  </w:style>
  <w:style w:type="character" w:customStyle="1" w:styleId="Punktatory2Znak">
    <w:name w:val="Punktatory 2 Znak"/>
    <w:basedOn w:val="Domylnaczcionkaakapitu"/>
    <w:link w:val="Punktatory2"/>
    <w:rsid w:val="000A308D"/>
    <w:rPr>
      <w:rFonts w:asciiTheme="minorHAnsi" w:hAnsiTheme="minorHAnsi"/>
      <w:sz w:val="24"/>
    </w:rPr>
  </w:style>
  <w:style w:type="character" w:customStyle="1" w:styleId="wypunktowanieZnak">
    <w:name w:val="wypunktowanie Znak"/>
    <w:basedOn w:val="Punktatory2Znak"/>
    <w:link w:val="wypunktowanie"/>
    <w:rsid w:val="000A308D"/>
    <w:rPr>
      <w:rFonts w:cstheme="minorHAnsi"/>
    </w:rPr>
  </w:style>
</w:styles>
</file>

<file path=word/webSettings.xml><?xml version="1.0" encoding="utf-8"?>
<w:webSettings xmlns:r="http://schemas.openxmlformats.org/officeDocument/2006/relationships" xmlns:w="http://schemas.openxmlformats.org/wordprocessingml/2006/main">
  <w:divs>
    <w:div w:id="18285899">
      <w:bodyDiv w:val="1"/>
      <w:marLeft w:val="0"/>
      <w:marRight w:val="0"/>
      <w:marTop w:val="0"/>
      <w:marBottom w:val="0"/>
      <w:divBdr>
        <w:top w:val="none" w:sz="0" w:space="0" w:color="auto"/>
        <w:left w:val="none" w:sz="0" w:space="0" w:color="auto"/>
        <w:bottom w:val="none" w:sz="0" w:space="0" w:color="auto"/>
        <w:right w:val="none" w:sz="0" w:space="0" w:color="auto"/>
      </w:divBdr>
      <w:divsChild>
        <w:div w:id="1664620395">
          <w:marLeft w:val="0"/>
          <w:marRight w:val="0"/>
          <w:marTop w:val="0"/>
          <w:marBottom w:val="0"/>
          <w:divBdr>
            <w:top w:val="none" w:sz="0" w:space="0" w:color="auto"/>
            <w:left w:val="none" w:sz="0" w:space="0" w:color="auto"/>
            <w:bottom w:val="none" w:sz="0" w:space="0" w:color="auto"/>
            <w:right w:val="none" w:sz="0" w:space="0" w:color="auto"/>
          </w:divBdr>
          <w:divsChild>
            <w:div w:id="880441362">
              <w:marLeft w:val="0"/>
              <w:marRight w:val="0"/>
              <w:marTop w:val="0"/>
              <w:marBottom w:val="0"/>
              <w:divBdr>
                <w:top w:val="single" w:sz="6" w:space="0" w:color="FFA500"/>
                <w:left w:val="single" w:sz="6" w:space="7" w:color="777777"/>
                <w:bottom w:val="single" w:sz="2" w:space="0" w:color="777777"/>
                <w:right w:val="single" w:sz="6" w:space="7" w:color="333333"/>
              </w:divBdr>
              <w:divsChild>
                <w:div w:id="423961871">
                  <w:marLeft w:val="0"/>
                  <w:marRight w:val="0"/>
                  <w:marTop w:val="0"/>
                  <w:marBottom w:val="0"/>
                  <w:divBdr>
                    <w:top w:val="none" w:sz="0" w:space="0" w:color="auto"/>
                    <w:left w:val="none" w:sz="0" w:space="0" w:color="auto"/>
                    <w:bottom w:val="none" w:sz="0" w:space="0" w:color="auto"/>
                    <w:right w:val="none" w:sz="0" w:space="0" w:color="auto"/>
                  </w:divBdr>
                  <w:divsChild>
                    <w:div w:id="218715386">
                      <w:marLeft w:val="0"/>
                      <w:marRight w:val="0"/>
                      <w:marTop w:val="0"/>
                      <w:marBottom w:val="0"/>
                      <w:divBdr>
                        <w:top w:val="single" w:sz="6" w:space="0" w:color="55CCCC"/>
                        <w:left w:val="single" w:sz="6" w:space="0" w:color="55CCCC"/>
                        <w:bottom w:val="single" w:sz="6" w:space="0" w:color="005555"/>
                        <w:right w:val="single" w:sz="6" w:space="0" w:color="005555"/>
                      </w:divBdr>
                      <w:divsChild>
                        <w:div w:id="1527792285">
                          <w:marLeft w:val="0"/>
                          <w:marRight w:val="0"/>
                          <w:marTop w:val="0"/>
                          <w:marBottom w:val="0"/>
                          <w:divBdr>
                            <w:top w:val="none" w:sz="0" w:space="0" w:color="auto"/>
                            <w:left w:val="none" w:sz="0" w:space="0" w:color="auto"/>
                            <w:bottom w:val="none" w:sz="0" w:space="0" w:color="auto"/>
                            <w:right w:val="none" w:sz="0" w:space="0" w:color="auto"/>
                          </w:divBdr>
                          <w:divsChild>
                            <w:div w:id="371614372">
                              <w:marLeft w:val="14"/>
                              <w:marRight w:val="14"/>
                              <w:marTop w:val="14"/>
                              <w:marBottom w:val="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71057">
      <w:bodyDiv w:val="1"/>
      <w:marLeft w:val="0"/>
      <w:marRight w:val="0"/>
      <w:marTop w:val="0"/>
      <w:marBottom w:val="0"/>
      <w:divBdr>
        <w:top w:val="none" w:sz="0" w:space="0" w:color="auto"/>
        <w:left w:val="none" w:sz="0" w:space="0" w:color="auto"/>
        <w:bottom w:val="none" w:sz="0" w:space="0" w:color="auto"/>
        <w:right w:val="none" w:sz="0" w:space="0" w:color="auto"/>
      </w:divBdr>
      <w:divsChild>
        <w:div w:id="758405156">
          <w:marLeft w:val="0"/>
          <w:marRight w:val="0"/>
          <w:marTop w:val="0"/>
          <w:marBottom w:val="0"/>
          <w:divBdr>
            <w:top w:val="none" w:sz="0" w:space="0" w:color="auto"/>
            <w:left w:val="none" w:sz="0" w:space="0" w:color="auto"/>
            <w:bottom w:val="none" w:sz="0" w:space="0" w:color="auto"/>
            <w:right w:val="none" w:sz="0" w:space="0" w:color="auto"/>
          </w:divBdr>
          <w:divsChild>
            <w:div w:id="1430735658">
              <w:marLeft w:val="0"/>
              <w:marRight w:val="0"/>
              <w:marTop w:val="0"/>
              <w:marBottom w:val="0"/>
              <w:divBdr>
                <w:top w:val="single" w:sz="6" w:space="0" w:color="FFA500"/>
                <w:left w:val="single" w:sz="6" w:space="7" w:color="777777"/>
                <w:bottom w:val="single" w:sz="2" w:space="0" w:color="777777"/>
                <w:right w:val="single" w:sz="6" w:space="7" w:color="333333"/>
              </w:divBdr>
              <w:divsChild>
                <w:div w:id="247737866">
                  <w:marLeft w:val="0"/>
                  <w:marRight w:val="0"/>
                  <w:marTop w:val="0"/>
                  <w:marBottom w:val="0"/>
                  <w:divBdr>
                    <w:top w:val="none" w:sz="0" w:space="0" w:color="auto"/>
                    <w:left w:val="none" w:sz="0" w:space="0" w:color="auto"/>
                    <w:bottom w:val="none" w:sz="0" w:space="0" w:color="auto"/>
                    <w:right w:val="none" w:sz="0" w:space="0" w:color="auto"/>
                  </w:divBdr>
                  <w:divsChild>
                    <w:div w:id="21638221">
                      <w:marLeft w:val="0"/>
                      <w:marRight w:val="0"/>
                      <w:marTop w:val="0"/>
                      <w:marBottom w:val="0"/>
                      <w:divBdr>
                        <w:top w:val="single" w:sz="6" w:space="0" w:color="55CCCC"/>
                        <w:left w:val="single" w:sz="6" w:space="0" w:color="55CCCC"/>
                        <w:bottom w:val="single" w:sz="6" w:space="0" w:color="005555"/>
                        <w:right w:val="single" w:sz="6" w:space="0" w:color="005555"/>
                      </w:divBdr>
                      <w:divsChild>
                        <w:div w:id="1250845936">
                          <w:marLeft w:val="0"/>
                          <w:marRight w:val="0"/>
                          <w:marTop w:val="0"/>
                          <w:marBottom w:val="0"/>
                          <w:divBdr>
                            <w:top w:val="none" w:sz="0" w:space="0" w:color="auto"/>
                            <w:left w:val="none" w:sz="0" w:space="0" w:color="auto"/>
                            <w:bottom w:val="none" w:sz="0" w:space="0" w:color="auto"/>
                            <w:right w:val="none" w:sz="0" w:space="0" w:color="auto"/>
                          </w:divBdr>
                          <w:divsChild>
                            <w:div w:id="1010182849">
                              <w:marLeft w:val="14"/>
                              <w:marRight w:val="14"/>
                              <w:marTop w:val="14"/>
                              <w:marBottom w:val="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99124">
      <w:bodyDiv w:val="1"/>
      <w:marLeft w:val="0"/>
      <w:marRight w:val="0"/>
      <w:marTop w:val="0"/>
      <w:marBottom w:val="0"/>
      <w:divBdr>
        <w:top w:val="none" w:sz="0" w:space="0" w:color="auto"/>
        <w:left w:val="none" w:sz="0" w:space="0" w:color="auto"/>
        <w:bottom w:val="none" w:sz="0" w:space="0" w:color="auto"/>
        <w:right w:val="none" w:sz="0" w:space="0" w:color="auto"/>
      </w:divBdr>
    </w:div>
    <w:div w:id="224218224">
      <w:bodyDiv w:val="1"/>
      <w:marLeft w:val="0"/>
      <w:marRight w:val="0"/>
      <w:marTop w:val="0"/>
      <w:marBottom w:val="0"/>
      <w:divBdr>
        <w:top w:val="none" w:sz="0" w:space="0" w:color="auto"/>
        <w:left w:val="none" w:sz="0" w:space="0" w:color="auto"/>
        <w:bottom w:val="none" w:sz="0" w:space="0" w:color="auto"/>
        <w:right w:val="none" w:sz="0" w:space="0" w:color="auto"/>
      </w:divBdr>
    </w:div>
    <w:div w:id="251861325">
      <w:bodyDiv w:val="1"/>
      <w:marLeft w:val="0"/>
      <w:marRight w:val="0"/>
      <w:marTop w:val="0"/>
      <w:marBottom w:val="0"/>
      <w:divBdr>
        <w:top w:val="none" w:sz="0" w:space="0" w:color="auto"/>
        <w:left w:val="none" w:sz="0" w:space="0" w:color="auto"/>
        <w:bottom w:val="none" w:sz="0" w:space="0" w:color="auto"/>
        <w:right w:val="none" w:sz="0" w:space="0" w:color="auto"/>
      </w:divBdr>
    </w:div>
    <w:div w:id="269246365">
      <w:bodyDiv w:val="1"/>
      <w:marLeft w:val="0"/>
      <w:marRight w:val="0"/>
      <w:marTop w:val="0"/>
      <w:marBottom w:val="0"/>
      <w:divBdr>
        <w:top w:val="none" w:sz="0" w:space="0" w:color="auto"/>
        <w:left w:val="none" w:sz="0" w:space="0" w:color="auto"/>
        <w:bottom w:val="none" w:sz="0" w:space="0" w:color="auto"/>
        <w:right w:val="none" w:sz="0" w:space="0" w:color="auto"/>
      </w:divBdr>
      <w:divsChild>
        <w:div w:id="1754542778">
          <w:marLeft w:val="0"/>
          <w:marRight w:val="0"/>
          <w:marTop w:val="0"/>
          <w:marBottom w:val="0"/>
          <w:divBdr>
            <w:top w:val="none" w:sz="0" w:space="0" w:color="auto"/>
            <w:left w:val="none" w:sz="0" w:space="0" w:color="auto"/>
            <w:bottom w:val="none" w:sz="0" w:space="0" w:color="auto"/>
            <w:right w:val="none" w:sz="0" w:space="0" w:color="auto"/>
          </w:divBdr>
          <w:divsChild>
            <w:div w:id="1520896217">
              <w:marLeft w:val="0"/>
              <w:marRight w:val="0"/>
              <w:marTop w:val="0"/>
              <w:marBottom w:val="0"/>
              <w:divBdr>
                <w:top w:val="single" w:sz="6" w:space="0" w:color="FFA500"/>
                <w:left w:val="single" w:sz="6" w:space="7" w:color="777777"/>
                <w:bottom w:val="single" w:sz="2" w:space="0" w:color="777777"/>
                <w:right w:val="single" w:sz="6" w:space="7" w:color="333333"/>
              </w:divBdr>
              <w:divsChild>
                <w:div w:id="1783111184">
                  <w:marLeft w:val="0"/>
                  <w:marRight w:val="0"/>
                  <w:marTop w:val="0"/>
                  <w:marBottom w:val="0"/>
                  <w:divBdr>
                    <w:top w:val="none" w:sz="0" w:space="0" w:color="auto"/>
                    <w:left w:val="none" w:sz="0" w:space="0" w:color="auto"/>
                    <w:bottom w:val="none" w:sz="0" w:space="0" w:color="auto"/>
                    <w:right w:val="none" w:sz="0" w:space="0" w:color="auto"/>
                  </w:divBdr>
                  <w:divsChild>
                    <w:div w:id="1974284928">
                      <w:marLeft w:val="0"/>
                      <w:marRight w:val="0"/>
                      <w:marTop w:val="0"/>
                      <w:marBottom w:val="0"/>
                      <w:divBdr>
                        <w:top w:val="single" w:sz="6" w:space="0" w:color="55CCCC"/>
                        <w:left w:val="single" w:sz="6" w:space="0" w:color="55CCCC"/>
                        <w:bottom w:val="single" w:sz="6" w:space="0" w:color="005555"/>
                        <w:right w:val="single" w:sz="6" w:space="0" w:color="005555"/>
                      </w:divBdr>
                      <w:divsChild>
                        <w:div w:id="801922951">
                          <w:marLeft w:val="0"/>
                          <w:marRight w:val="0"/>
                          <w:marTop w:val="0"/>
                          <w:marBottom w:val="0"/>
                          <w:divBdr>
                            <w:top w:val="none" w:sz="0" w:space="0" w:color="auto"/>
                            <w:left w:val="none" w:sz="0" w:space="0" w:color="auto"/>
                            <w:bottom w:val="none" w:sz="0" w:space="0" w:color="auto"/>
                            <w:right w:val="none" w:sz="0" w:space="0" w:color="auto"/>
                          </w:divBdr>
                          <w:divsChild>
                            <w:div w:id="587999763">
                              <w:marLeft w:val="14"/>
                              <w:marRight w:val="14"/>
                              <w:marTop w:val="14"/>
                              <w:marBottom w:val="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087090">
      <w:bodyDiv w:val="1"/>
      <w:marLeft w:val="0"/>
      <w:marRight w:val="0"/>
      <w:marTop w:val="0"/>
      <w:marBottom w:val="0"/>
      <w:divBdr>
        <w:top w:val="none" w:sz="0" w:space="0" w:color="auto"/>
        <w:left w:val="none" w:sz="0" w:space="0" w:color="auto"/>
        <w:bottom w:val="none" w:sz="0" w:space="0" w:color="auto"/>
        <w:right w:val="none" w:sz="0" w:space="0" w:color="auto"/>
      </w:divBdr>
    </w:div>
    <w:div w:id="286399196">
      <w:bodyDiv w:val="1"/>
      <w:marLeft w:val="0"/>
      <w:marRight w:val="0"/>
      <w:marTop w:val="0"/>
      <w:marBottom w:val="0"/>
      <w:divBdr>
        <w:top w:val="none" w:sz="0" w:space="0" w:color="auto"/>
        <w:left w:val="none" w:sz="0" w:space="0" w:color="auto"/>
        <w:bottom w:val="none" w:sz="0" w:space="0" w:color="auto"/>
        <w:right w:val="none" w:sz="0" w:space="0" w:color="auto"/>
      </w:divBdr>
    </w:div>
    <w:div w:id="382676071">
      <w:bodyDiv w:val="1"/>
      <w:marLeft w:val="0"/>
      <w:marRight w:val="0"/>
      <w:marTop w:val="0"/>
      <w:marBottom w:val="0"/>
      <w:divBdr>
        <w:top w:val="none" w:sz="0" w:space="0" w:color="auto"/>
        <w:left w:val="none" w:sz="0" w:space="0" w:color="auto"/>
        <w:bottom w:val="none" w:sz="0" w:space="0" w:color="auto"/>
        <w:right w:val="none" w:sz="0" w:space="0" w:color="auto"/>
      </w:divBdr>
      <w:divsChild>
        <w:div w:id="493568585">
          <w:marLeft w:val="0"/>
          <w:marRight w:val="0"/>
          <w:marTop w:val="0"/>
          <w:marBottom w:val="0"/>
          <w:divBdr>
            <w:top w:val="none" w:sz="0" w:space="0" w:color="auto"/>
            <w:left w:val="none" w:sz="0" w:space="0" w:color="auto"/>
            <w:bottom w:val="none" w:sz="0" w:space="0" w:color="auto"/>
            <w:right w:val="none" w:sz="0" w:space="0" w:color="auto"/>
          </w:divBdr>
          <w:divsChild>
            <w:div w:id="859469930">
              <w:marLeft w:val="0"/>
              <w:marRight w:val="0"/>
              <w:marTop w:val="0"/>
              <w:marBottom w:val="0"/>
              <w:divBdr>
                <w:top w:val="single" w:sz="6" w:space="0" w:color="FFA500"/>
                <w:left w:val="single" w:sz="6" w:space="7" w:color="777777"/>
                <w:bottom w:val="single" w:sz="2" w:space="0" w:color="777777"/>
                <w:right w:val="single" w:sz="6" w:space="7" w:color="333333"/>
              </w:divBdr>
              <w:divsChild>
                <w:div w:id="747192963">
                  <w:marLeft w:val="0"/>
                  <w:marRight w:val="0"/>
                  <w:marTop w:val="0"/>
                  <w:marBottom w:val="0"/>
                  <w:divBdr>
                    <w:top w:val="none" w:sz="0" w:space="0" w:color="auto"/>
                    <w:left w:val="none" w:sz="0" w:space="0" w:color="auto"/>
                    <w:bottom w:val="none" w:sz="0" w:space="0" w:color="auto"/>
                    <w:right w:val="none" w:sz="0" w:space="0" w:color="auto"/>
                  </w:divBdr>
                  <w:divsChild>
                    <w:div w:id="986593775">
                      <w:marLeft w:val="0"/>
                      <w:marRight w:val="0"/>
                      <w:marTop w:val="0"/>
                      <w:marBottom w:val="0"/>
                      <w:divBdr>
                        <w:top w:val="single" w:sz="6" w:space="0" w:color="55CCCC"/>
                        <w:left w:val="single" w:sz="6" w:space="0" w:color="55CCCC"/>
                        <w:bottom w:val="single" w:sz="6" w:space="0" w:color="005555"/>
                        <w:right w:val="single" w:sz="6" w:space="0" w:color="005555"/>
                      </w:divBdr>
                      <w:divsChild>
                        <w:div w:id="2019574673">
                          <w:marLeft w:val="0"/>
                          <w:marRight w:val="0"/>
                          <w:marTop w:val="0"/>
                          <w:marBottom w:val="0"/>
                          <w:divBdr>
                            <w:top w:val="none" w:sz="0" w:space="0" w:color="auto"/>
                            <w:left w:val="none" w:sz="0" w:space="0" w:color="auto"/>
                            <w:bottom w:val="none" w:sz="0" w:space="0" w:color="auto"/>
                            <w:right w:val="none" w:sz="0" w:space="0" w:color="auto"/>
                          </w:divBdr>
                          <w:divsChild>
                            <w:div w:id="921838217">
                              <w:marLeft w:val="14"/>
                              <w:marRight w:val="14"/>
                              <w:marTop w:val="14"/>
                              <w:marBottom w:val="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161601">
      <w:bodyDiv w:val="1"/>
      <w:marLeft w:val="0"/>
      <w:marRight w:val="0"/>
      <w:marTop w:val="0"/>
      <w:marBottom w:val="0"/>
      <w:divBdr>
        <w:top w:val="none" w:sz="0" w:space="0" w:color="auto"/>
        <w:left w:val="none" w:sz="0" w:space="0" w:color="auto"/>
        <w:bottom w:val="none" w:sz="0" w:space="0" w:color="auto"/>
        <w:right w:val="none" w:sz="0" w:space="0" w:color="auto"/>
      </w:divBdr>
      <w:divsChild>
        <w:div w:id="1311714144">
          <w:marLeft w:val="0"/>
          <w:marRight w:val="0"/>
          <w:marTop w:val="0"/>
          <w:marBottom w:val="0"/>
          <w:divBdr>
            <w:top w:val="none" w:sz="0" w:space="0" w:color="auto"/>
            <w:left w:val="none" w:sz="0" w:space="0" w:color="auto"/>
            <w:bottom w:val="none" w:sz="0" w:space="0" w:color="auto"/>
            <w:right w:val="none" w:sz="0" w:space="0" w:color="auto"/>
          </w:divBdr>
          <w:divsChild>
            <w:div w:id="434832730">
              <w:marLeft w:val="0"/>
              <w:marRight w:val="0"/>
              <w:marTop w:val="0"/>
              <w:marBottom w:val="0"/>
              <w:divBdr>
                <w:top w:val="single" w:sz="6" w:space="0" w:color="FFA500"/>
                <w:left w:val="single" w:sz="6" w:space="7" w:color="777777"/>
                <w:bottom w:val="single" w:sz="2" w:space="0" w:color="777777"/>
                <w:right w:val="single" w:sz="6" w:space="7" w:color="333333"/>
              </w:divBdr>
              <w:divsChild>
                <w:div w:id="1593970676">
                  <w:marLeft w:val="0"/>
                  <w:marRight w:val="0"/>
                  <w:marTop w:val="0"/>
                  <w:marBottom w:val="0"/>
                  <w:divBdr>
                    <w:top w:val="none" w:sz="0" w:space="0" w:color="auto"/>
                    <w:left w:val="none" w:sz="0" w:space="0" w:color="auto"/>
                    <w:bottom w:val="none" w:sz="0" w:space="0" w:color="auto"/>
                    <w:right w:val="none" w:sz="0" w:space="0" w:color="auto"/>
                  </w:divBdr>
                  <w:divsChild>
                    <w:div w:id="762333975">
                      <w:marLeft w:val="0"/>
                      <w:marRight w:val="0"/>
                      <w:marTop w:val="0"/>
                      <w:marBottom w:val="0"/>
                      <w:divBdr>
                        <w:top w:val="single" w:sz="6" w:space="0" w:color="55CCCC"/>
                        <w:left w:val="single" w:sz="6" w:space="0" w:color="55CCCC"/>
                        <w:bottom w:val="single" w:sz="6" w:space="0" w:color="005555"/>
                        <w:right w:val="single" w:sz="6" w:space="0" w:color="005555"/>
                      </w:divBdr>
                      <w:divsChild>
                        <w:div w:id="1066613015">
                          <w:marLeft w:val="0"/>
                          <w:marRight w:val="0"/>
                          <w:marTop w:val="0"/>
                          <w:marBottom w:val="0"/>
                          <w:divBdr>
                            <w:top w:val="none" w:sz="0" w:space="0" w:color="auto"/>
                            <w:left w:val="none" w:sz="0" w:space="0" w:color="auto"/>
                            <w:bottom w:val="none" w:sz="0" w:space="0" w:color="auto"/>
                            <w:right w:val="none" w:sz="0" w:space="0" w:color="auto"/>
                          </w:divBdr>
                          <w:divsChild>
                            <w:div w:id="1206406912">
                              <w:marLeft w:val="14"/>
                              <w:marRight w:val="14"/>
                              <w:marTop w:val="14"/>
                              <w:marBottom w:val="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413098">
      <w:bodyDiv w:val="1"/>
      <w:marLeft w:val="0"/>
      <w:marRight w:val="0"/>
      <w:marTop w:val="0"/>
      <w:marBottom w:val="0"/>
      <w:divBdr>
        <w:top w:val="none" w:sz="0" w:space="0" w:color="auto"/>
        <w:left w:val="none" w:sz="0" w:space="0" w:color="auto"/>
        <w:bottom w:val="none" w:sz="0" w:space="0" w:color="auto"/>
        <w:right w:val="none" w:sz="0" w:space="0" w:color="auto"/>
      </w:divBdr>
      <w:divsChild>
        <w:div w:id="1805738155">
          <w:marLeft w:val="0"/>
          <w:marRight w:val="0"/>
          <w:marTop w:val="0"/>
          <w:marBottom w:val="0"/>
          <w:divBdr>
            <w:top w:val="none" w:sz="0" w:space="0" w:color="auto"/>
            <w:left w:val="none" w:sz="0" w:space="0" w:color="auto"/>
            <w:bottom w:val="none" w:sz="0" w:space="0" w:color="auto"/>
            <w:right w:val="none" w:sz="0" w:space="0" w:color="auto"/>
          </w:divBdr>
          <w:divsChild>
            <w:div w:id="2136557676">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 w:id="507447178">
      <w:bodyDiv w:val="1"/>
      <w:marLeft w:val="0"/>
      <w:marRight w:val="0"/>
      <w:marTop w:val="0"/>
      <w:marBottom w:val="0"/>
      <w:divBdr>
        <w:top w:val="none" w:sz="0" w:space="0" w:color="auto"/>
        <w:left w:val="none" w:sz="0" w:space="0" w:color="auto"/>
        <w:bottom w:val="none" w:sz="0" w:space="0" w:color="auto"/>
        <w:right w:val="none" w:sz="0" w:space="0" w:color="auto"/>
      </w:divBdr>
      <w:divsChild>
        <w:div w:id="1787384081">
          <w:marLeft w:val="0"/>
          <w:marRight w:val="0"/>
          <w:marTop w:val="0"/>
          <w:marBottom w:val="0"/>
          <w:divBdr>
            <w:top w:val="none" w:sz="0" w:space="0" w:color="auto"/>
            <w:left w:val="none" w:sz="0" w:space="0" w:color="auto"/>
            <w:bottom w:val="none" w:sz="0" w:space="0" w:color="auto"/>
            <w:right w:val="none" w:sz="0" w:space="0" w:color="auto"/>
          </w:divBdr>
          <w:divsChild>
            <w:div w:id="1473253013">
              <w:marLeft w:val="0"/>
              <w:marRight w:val="0"/>
              <w:marTop w:val="2201"/>
              <w:marBottom w:val="0"/>
              <w:divBdr>
                <w:top w:val="none" w:sz="0" w:space="0" w:color="auto"/>
                <w:left w:val="none" w:sz="0" w:space="0" w:color="auto"/>
                <w:bottom w:val="none" w:sz="0" w:space="0" w:color="auto"/>
                <w:right w:val="none" w:sz="0" w:space="0" w:color="auto"/>
              </w:divBdr>
              <w:divsChild>
                <w:div w:id="851340148">
                  <w:marLeft w:val="0"/>
                  <w:marRight w:val="0"/>
                  <w:marTop w:val="0"/>
                  <w:marBottom w:val="0"/>
                  <w:divBdr>
                    <w:top w:val="none" w:sz="0" w:space="0" w:color="auto"/>
                    <w:left w:val="none" w:sz="0" w:space="0" w:color="auto"/>
                    <w:bottom w:val="none" w:sz="0" w:space="0" w:color="auto"/>
                    <w:right w:val="none" w:sz="0" w:space="0" w:color="auto"/>
                  </w:divBdr>
                  <w:divsChild>
                    <w:div w:id="459424744">
                      <w:marLeft w:val="0"/>
                      <w:marRight w:val="0"/>
                      <w:marTop w:val="0"/>
                      <w:marBottom w:val="0"/>
                      <w:divBdr>
                        <w:top w:val="none" w:sz="0" w:space="0" w:color="auto"/>
                        <w:left w:val="none" w:sz="0" w:space="0" w:color="auto"/>
                        <w:bottom w:val="none" w:sz="0" w:space="0" w:color="auto"/>
                        <w:right w:val="none" w:sz="0" w:space="0" w:color="auto"/>
                      </w:divBdr>
                      <w:divsChild>
                        <w:div w:id="1020623774">
                          <w:marLeft w:val="0"/>
                          <w:marRight w:val="0"/>
                          <w:marTop w:val="0"/>
                          <w:marBottom w:val="0"/>
                          <w:divBdr>
                            <w:top w:val="none" w:sz="0" w:space="0" w:color="auto"/>
                            <w:left w:val="none" w:sz="0" w:space="0" w:color="auto"/>
                            <w:bottom w:val="none" w:sz="0" w:space="0" w:color="auto"/>
                            <w:right w:val="none" w:sz="0" w:space="0" w:color="auto"/>
                          </w:divBdr>
                          <w:divsChild>
                            <w:div w:id="461778121">
                              <w:marLeft w:val="136"/>
                              <w:marRight w:val="136"/>
                              <w:marTop w:val="136"/>
                              <w:marBottom w:val="136"/>
                              <w:divBdr>
                                <w:top w:val="none" w:sz="0" w:space="0" w:color="auto"/>
                                <w:left w:val="none" w:sz="0" w:space="0" w:color="auto"/>
                                <w:bottom w:val="none" w:sz="0" w:space="0" w:color="auto"/>
                                <w:right w:val="none" w:sz="0" w:space="0" w:color="auto"/>
                              </w:divBdr>
                              <w:divsChild>
                                <w:div w:id="1646811827">
                                  <w:marLeft w:val="0"/>
                                  <w:marRight w:val="0"/>
                                  <w:marTop w:val="0"/>
                                  <w:marBottom w:val="0"/>
                                  <w:divBdr>
                                    <w:top w:val="none" w:sz="0" w:space="0" w:color="auto"/>
                                    <w:left w:val="none" w:sz="0" w:space="0" w:color="auto"/>
                                    <w:bottom w:val="none" w:sz="0" w:space="0" w:color="auto"/>
                                    <w:right w:val="none" w:sz="0" w:space="0" w:color="auto"/>
                                  </w:divBdr>
                                  <w:divsChild>
                                    <w:div w:id="926963120">
                                      <w:marLeft w:val="0"/>
                                      <w:marRight w:val="0"/>
                                      <w:marTop w:val="0"/>
                                      <w:marBottom w:val="0"/>
                                      <w:divBdr>
                                        <w:top w:val="none" w:sz="0" w:space="0" w:color="auto"/>
                                        <w:left w:val="none" w:sz="0" w:space="0" w:color="auto"/>
                                        <w:bottom w:val="none" w:sz="0" w:space="0" w:color="auto"/>
                                        <w:right w:val="none" w:sz="0" w:space="0" w:color="auto"/>
                                      </w:divBdr>
                                      <w:divsChild>
                                        <w:div w:id="13818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214892">
      <w:bodyDiv w:val="1"/>
      <w:marLeft w:val="0"/>
      <w:marRight w:val="0"/>
      <w:marTop w:val="0"/>
      <w:marBottom w:val="0"/>
      <w:divBdr>
        <w:top w:val="none" w:sz="0" w:space="0" w:color="auto"/>
        <w:left w:val="none" w:sz="0" w:space="0" w:color="auto"/>
        <w:bottom w:val="none" w:sz="0" w:space="0" w:color="auto"/>
        <w:right w:val="none" w:sz="0" w:space="0" w:color="auto"/>
      </w:divBdr>
      <w:divsChild>
        <w:div w:id="818690873">
          <w:marLeft w:val="0"/>
          <w:marRight w:val="0"/>
          <w:marTop w:val="0"/>
          <w:marBottom w:val="0"/>
          <w:divBdr>
            <w:top w:val="none" w:sz="0" w:space="0" w:color="auto"/>
            <w:left w:val="none" w:sz="0" w:space="0" w:color="auto"/>
            <w:bottom w:val="none" w:sz="0" w:space="0" w:color="auto"/>
            <w:right w:val="none" w:sz="0" w:space="0" w:color="auto"/>
          </w:divBdr>
          <w:divsChild>
            <w:div w:id="531655178">
              <w:marLeft w:val="0"/>
              <w:marRight w:val="0"/>
              <w:marTop w:val="0"/>
              <w:marBottom w:val="0"/>
              <w:divBdr>
                <w:top w:val="single" w:sz="6" w:space="0" w:color="FFA500"/>
                <w:left w:val="single" w:sz="6" w:space="7" w:color="777777"/>
                <w:bottom w:val="single" w:sz="2" w:space="0" w:color="777777"/>
                <w:right w:val="single" w:sz="6" w:space="7" w:color="333333"/>
              </w:divBdr>
              <w:divsChild>
                <w:div w:id="2057049771">
                  <w:marLeft w:val="0"/>
                  <w:marRight w:val="0"/>
                  <w:marTop w:val="0"/>
                  <w:marBottom w:val="0"/>
                  <w:divBdr>
                    <w:top w:val="none" w:sz="0" w:space="0" w:color="auto"/>
                    <w:left w:val="none" w:sz="0" w:space="0" w:color="auto"/>
                    <w:bottom w:val="none" w:sz="0" w:space="0" w:color="auto"/>
                    <w:right w:val="none" w:sz="0" w:space="0" w:color="auto"/>
                  </w:divBdr>
                  <w:divsChild>
                    <w:div w:id="1621496810">
                      <w:marLeft w:val="0"/>
                      <w:marRight w:val="0"/>
                      <w:marTop w:val="0"/>
                      <w:marBottom w:val="0"/>
                      <w:divBdr>
                        <w:top w:val="single" w:sz="6" w:space="0" w:color="55CCCC"/>
                        <w:left w:val="single" w:sz="6" w:space="0" w:color="55CCCC"/>
                        <w:bottom w:val="single" w:sz="6" w:space="0" w:color="005555"/>
                        <w:right w:val="single" w:sz="6" w:space="0" w:color="005555"/>
                      </w:divBdr>
                      <w:divsChild>
                        <w:div w:id="1103572264">
                          <w:marLeft w:val="0"/>
                          <w:marRight w:val="0"/>
                          <w:marTop w:val="0"/>
                          <w:marBottom w:val="0"/>
                          <w:divBdr>
                            <w:top w:val="none" w:sz="0" w:space="0" w:color="auto"/>
                            <w:left w:val="none" w:sz="0" w:space="0" w:color="auto"/>
                            <w:bottom w:val="none" w:sz="0" w:space="0" w:color="auto"/>
                            <w:right w:val="none" w:sz="0" w:space="0" w:color="auto"/>
                          </w:divBdr>
                          <w:divsChild>
                            <w:div w:id="381027477">
                              <w:marLeft w:val="14"/>
                              <w:marRight w:val="14"/>
                              <w:marTop w:val="14"/>
                              <w:marBottom w:val="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146935">
      <w:bodyDiv w:val="1"/>
      <w:marLeft w:val="0"/>
      <w:marRight w:val="0"/>
      <w:marTop w:val="0"/>
      <w:marBottom w:val="0"/>
      <w:divBdr>
        <w:top w:val="none" w:sz="0" w:space="0" w:color="auto"/>
        <w:left w:val="none" w:sz="0" w:space="0" w:color="auto"/>
        <w:bottom w:val="none" w:sz="0" w:space="0" w:color="auto"/>
        <w:right w:val="none" w:sz="0" w:space="0" w:color="auto"/>
      </w:divBdr>
    </w:div>
    <w:div w:id="634799211">
      <w:bodyDiv w:val="1"/>
      <w:marLeft w:val="0"/>
      <w:marRight w:val="0"/>
      <w:marTop w:val="0"/>
      <w:marBottom w:val="0"/>
      <w:divBdr>
        <w:top w:val="none" w:sz="0" w:space="0" w:color="auto"/>
        <w:left w:val="none" w:sz="0" w:space="0" w:color="auto"/>
        <w:bottom w:val="none" w:sz="0" w:space="0" w:color="auto"/>
        <w:right w:val="none" w:sz="0" w:space="0" w:color="auto"/>
      </w:divBdr>
      <w:divsChild>
        <w:div w:id="891845828">
          <w:marLeft w:val="0"/>
          <w:marRight w:val="0"/>
          <w:marTop w:val="0"/>
          <w:marBottom w:val="0"/>
          <w:divBdr>
            <w:top w:val="none" w:sz="0" w:space="0" w:color="auto"/>
            <w:left w:val="none" w:sz="0" w:space="0" w:color="auto"/>
            <w:bottom w:val="none" w:sz="0" w:space="0" w:color="auto"/>
            <w:right w:val="none" w:sz="0" w:space="0" w:color="auto"/>
          </w:divBdr>
          <w:divsChild>
            <w:div w:id="658077659">
              <w:marLeft w:val="0"/>
              <w:marRight w:val="0"/>
              <w:marTop w:val="0"/>
              <w:marBottom w:val="0"/>
              <w:divBdr>
                <w:top w:val="single" w:sz="6" w:space="3" w:color="FFA500"/>
                <w:left w:val="single" w:sz="6" w:space="7" w:color="777777"/>
                <w:bottom w:val="single" w:sz="2" w:space="20" w:color="777777"/>
                <w:right w:val="single" w:sz="6" w:space="7" w:color="333333"/>
              </w:divBdr>
              <w:divsChild>
                <w:div w:id="536283214">
                  <w:marLeft w:val="0"/>
                  <w:marRight w:val="0"/>
                  <w:marTop w:val="0"/>
                  <w:marBottom w:val="0"/>
                  <w:divBdr>
                    <w:top w:val="none" w:sz="0" w:space="0" w:color="auto"/>
                    <w:left w:val="none" w:sz="0" w:space="0" w:color="auto"/>
                    <w:bottom w:val="none" w:sz="0" w:space="0" w:color="auto"/>
                    <w:right w:val="none" w:sz="0" w:space="0" w:color="auto"/>
                  </w:divBdr>
                  <w:divsChild>
                    <w:div w:id="1099105197">
                      <w:marLeft w:val="0"/>
                      <w:marRight w:val="0"/>
                      <w:marTop w:val="0"/>
                      <w:marBottom w:val="0"/>
                      <w:divBdr>
                        <w:top w:val="single" w:sz="6" w:space="0" w:color="55CCCC"/>
                        <w:left w:val="single" w:sz="6" w:space="0" w:color="55CCCC"/>
                        <w:bottom w:val="single" w:sz="6" w:space="0" w:color="005555"/>
                        <w:right w:val="single" w:sz="6" w:space="0" w:color="005555"/>
                      </w:divBdr>
                      <w:divsChild>
                        <w:div w:id="20210013">
                          <w:marLeft w:val="0"/>
                          <w:marRight w:val="0"/>
                          <w:marTop w:val="0"/>
                          <w:marBottom w:val="0"/>
                          <w:divBdr>
                            <w:top w:val="none" w:sz="0" w:space="0" w:color="auto"/>
                            <w:left w:val="none" w:sz="0" w:space="0" w:color="auto"/>
                            <w:bottom w:val="none" w:sz="0" w:space="0" w:color="auto"/>
                            <w:right w:val="none" w:sz="0" w:space="0" w:color="auto"/>
                          </w:divBdr>
                          <w:divsChild>
                            <w:div w:id="970213291">
                              <w:marLeft w:val="14"/>
                              <w:marRight w:val="14"/>
                              <w:marTop w:val="14"/>
                              <w:marBottom w:val="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103324">
      <w:bodyDiv w:val="1"/>
      <w:marLeft w:val="0"/>
      <w:marRight w:val="0"/>
      <w:marTop w:val="0"/>
      <w:marBottom w:val="0"/>
      <w:divBdr>
        <w:top w:val="none" w:sz="0" w:space="0" w:color="auto"/>
        <w:left w:val="none" w:sz="0" w:space="0" w:color="auto"/>
        <w:bottom w:val="none" w:sz="0" w:space="0" w:color="auto"/>
        <w:right w:val="none" w:sz="0" w:space="0" w:color="auto"/>
      </w:divBdr>
      <w:divsChild>
        <w:div w:id="1510146383">
          <w:marLeft w:val="0"/>
          <w:marRight w:val="0"/>
          <w:marTop w:val="0"/>
          <w:marBottom w:val="0"/>
          <w:divBdr>
            <w:top w:val="none" w:sz="0" w:space="0" w:color="auto"/>
            <w:left w:val="none" w:sz="0" w:space="0" w:color="auto"/>
            <w:bottom w:val="none" w:sz="0" w:space="0" w:color="auto"/>
            <w:right w:val="none" w:sz="0" w:space="0" w:color="auto"/>
          </w:divBdr>
          <w:divsChild>
            <w:div w:id="1882665466">
              <w:marLeft w:val="0"/>
              <w:marRight w:val="0"/>
              <w:marTop w:val="0"/>
              <w:marBottom w:val="0"/>
              <w:divBdr>
                <w:top w:val="single" w:sz="6" w:space="0" w:color="FFA500"/>
                <w:left w:val="single" w:sz="6" w:space="7" w:color="777777"/>
                <w:bottom w:val="single" w:sz="2" w:space="0" w:color="777777"/>
                <w:right w:val="single" w:sz="6" w:space="7" w:color="333333"/>
              </w:divBdr>
              <w:divsChild>
                <w:div w:id="1620139488">
                  <w:marLeft w:val="0"/>
                  <w:marRight w:val="0"/>
                  <w:marTop w:val="0"/>
                  <w:marBottom w:val="0"/>
                  <w:divBdr>
                    <w:top w:val="none" w:sz="0" w:space="0" w:color="auto"/>
                    <w:left w:val="none" w:sz="0" w:space="0" w:color="auto"/>
                    <w:bottom w:val="none" w:sz="0" w:space="0" w:color="auto"/>
                    <w:right w:val="none" w:sz="0" w:space="0" w:color="auto"/>
                  </w:divBdr>
                  <w:divsChild>
                    <w:div w:id="2031448721">
                      <w:marLeft w:val="0"/>
                      <w:marRight w:val="0"/>
                      <w:marTop w:val="0"/>
                      <w:marBottom w:val="0"/>
                      <w:divBdr>
                        <w:top w:val="single" w:sz="6" w:space="0" w:color="55CCCC"/>
                        <w:left w:val="single" w:sz="6" w:space="0" w:color="55CCCC"/>
                        <w:bottom w:val="single" w:sz="6" w:space="0" w:color="005555"/>
                        <w:right w:val="single" w:sz="6" w:space="0" w:color="005555"/>
                      </w:divBdr>
                      <w:divsChild>
                        <w:div w:id="225339089">
                          <w:marLeft w:val="0"/>
                          <w:marRight w:val="0"/>
                          <w:marTop w:val="0"/>
                          <w:marBottom w:val="0"/>
                          <w:divBdr>
                            <w:top w:val="none" w:sz="0" w:space="0" w:color="auto"/>
                            <w:left w:val="none" w:sz="0" w:space="0" w:color="auto"/>
                            <w:bottom w:val="none" w:sz="0" w:space="0" w:color="auto"/>
                            <w:right w:val="none" w:sz="0" w:space="0" w:color="auto"/>
                          </w:divBdr>
                          <w:divsChild>
                            <w:div w:id="1444416590">
                              <w:marLeft w:val="14"/>
                              <w:marRight w:val="14"/>
                              <w:marTop w:val="14"/>
                              <w:marBottom w:val="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704416">
      <w:bodyDiv w:val="1"/>
      <w:marLeft w:val="0"/>
      <w:marRight w:val="0"/>
      <w:marTop w:val="0"/>
      <w:marBottom w:val="0"/>
      <w:divBdr>
        <w:top w:val="none" w:sz="0" w:space="0" w:color="auto"/>
        <w:left w:val="none" w:sz="0" w:space="0" w:color="auto"/>
        <w:bottom w:val="none" w:sz="0" w:space="0" w:color="auto"/>
        <w:right w:val="none" w:sz="0" w:space="0" w:color="auto"/>
      </w:divBdr>
      <w:divsChild>
        <w:div w:id="597913489">
          <w:marLeft w:val="0"/>
          <w:marRight w:val="0"/>
          <w:marTop w:val="0"/>
          <w:marBottom w:val="0"/>
          <w:divBdr>
            <w:top w:val="none" w:sz="0" w:space="0" w:color="auto"/>
            <w:left w:val="none" w:sz="0" w:space="0" w:color="auto"/>
            <w:bottom w:val="none" w:sz="0" w:space="0" w:color="auto"/>
            <w:right w:val="none" w:sz="0" w:space="0" w:color="auto"/>
          </w:divBdr>
          <w:divsChild>
            <w:div w:id="1043284811">
              <w:marLeft w:val="0"/>
              <w:marRight w:val="0"/>
              <w:marTop w:val="0"/>
              <w:marBottom w:val="75"/>
              <w:divBdr>
                <w:top w:val="none" w:sz="0" w:space="0" w:color="auto"/>
                <w:left w:val="none" w:sz="0" w:space="0" w:color="auto"/>
                <w:bottom w:val="none" w:sz="0" w:space="0" w:color="auto"/>
                <w:right w:val="none" w:sz="0" w:space="0" w:color="auto"/>
              </w:divBdr>
              <w:divsChild>
                <w:div w:id="17052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21615">
      <w:bodyDiv w:val="1"/>
      <w:marLeft w:val="0"/>
      <w:marRight w:val="0"/>
      <w:marTop w:val="0"/>
      <w:marBottom w:val="0"/>
      <w:divBdr>
        <w:top w:val="none" w:sz="0" w:space="0" w:color="auto"/>
        <w:left w:val="none" w:sz="0" w:space="0" w:color="auto"/>
        <w:bottom w:val="none" w:sz="0" w:space="0" w:color="auto"/>
        <w:right w:val="none" w:sz="0" w:space="0" w:color="auto"/>
      </w:divBdr>
      <w:divsChild>
        <w:div w:id="152264755">
          <w:marLeft w:val="0"/>
          <w:marRight w:val="0"/>
          <w:marTop w:val="0"/>
          <w:marBottom w:val="0"/>
          <w:divBdr>
            <w:top w:val="none" w:sz="0" w:space="0" w:color="auto"/>
            <w:left w:val="none" w:sz="0" w:space="0" w:color="auto"/>
            <w:bottom w:val="none" w:sz="0" w:space="0" w:color="auto"/>
            <w:right w:val="none" w:sz="0" w:space="0" w:color="auto"/>
          </w:divBdr>
          <w:divsChild>
            <w:div w:id="981420855">
              <w:marLeft w:val="0"/>
              <w:marRight w:val="0"/>
              <w:marTop w:val="0"/>
              <w:marBottom w:val="0"/>
              <w:divBdr>
                <w:top w:val="single" w:sz="6" w:space="0" w:color="FFA500"/>
                <w:left w:val="single" w:sz="6" w:space="7" w:color="777777"/>
                <w:bottom w:val="single" w:sz="2" w:space="0" w:color="777777"/>
                <w:right w:val="single" w:sz="6" w:space="7" w:color="333333"/>
              </w:divBdr>
              <w:divsChild>
                <w:div w:id="1833983127">
                  <w:marLeft w:val="0"/>
                  <w:marRight w:val="0"/>
                  <w:marTop w:val="0"/>
                  <w:marBottom w:val="0"/>
                  <w:divBdr>
                    <w:top w:val="none" w:sz="0" w:space="0" w:color="auto"/>
                    <w:left w:val="none" w:sz="0" w:space="0" w:color="auto"/>
                    <w:bottom w:val="none" w:sz="0" w:space="0" w:color="auto"/>
                    <w:right w:val="none" w:sz="0" w:space="0" w:color="auto"/>
                  </w:divBdr>
                  <w:divsChild>
                    <w:div w:id="250890041">
                      <w:marLeft w:val="0"/>
                      <w:marRight w:val="0"/>
                      <w:marTop w:val="0"/>
                      <w:marBottom w:val="0"/>
                      <w:divBdr>
                        <w:top w:val="single" w:sz="6" w:space="0" w:color="55CCCC"/>
                        <w:left w:val="single" w:sz="6" w:space="0" w:color="55CCCC"/>
                        <w:bottom w:val="single" w:sz="6" w:space="0" w:color="005555"/>
                        <w:right w:val="single" w:sz="6" w:space="0" w:color="005555"/>
                      </w:divBdr>
                      <w:divsChild>
                        <w:div w:id="1579629836">
                          <w:marLeft w:val="0"/>
                          <w:marRight w:val="0"/>
                          <w:marTop w:val="0"/>
                          <w:marBottom w:val="0"/>
                          <w:divBdr>
                            <w:top w:val="none" w:sz="0" w:space="0" w:color="auto"/>
                            <w:left w:val="none" w:sz="0" w:space="0" w:color="auto"/>
                            <w:bottom w:val="none" w:sz="0" w:space="0" w:color="auto"/>
                            <w:right w:val="none" w:sz="0" w:space="0" w:color="auto"/>
                          </w:divBdr>
                          <w:divsChild>
                            <w:div w:id="1216086252">
                              <w:marLeft w:val="14"/>
                              <w:marRight w:val="14"/>
                              <w:marTop w:val="14"/>
                              <w:marBottom w:val="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98512585">
          <w:marLeft w:val="0"/>
          <w:marRight w:val="0"/>
          <w:marTop w:val="0"/>
          <w:marBottom w:val="0"/>
          <w:divBdr>
            <w:top w:val="none" w:sz="0" w:space="0" w:color="auto"/>
            <w:left w:val="none" w:sz="0" w:space="0" w:color="auto"/>
            <w:bottom w:val="none" w:sz="0" w:space="0" w:color="auto"/>
            <w:right w:val="none" w:sz="0" w:space="0" w:color="auto"/>
          </w:divBdr>
          <w:divsChild>
            <w:div w:id="397901159">
              <w:marLeft w:val="0"/>
              <w:marRight w:val="0"/>
              <w:marTop w:val="0"/>
              <w:marBottom w:val="0"/>
              <w:divBdr>
                <w:top w:val="single" w:sz="6" w:space="0" w:color="FFA500"/>
                <w:left w:val="single" w:sz="6" w:space="7" w:color="777777"/>
                <w:bottom w:val="single" w:sz="2" w:space="0" w:color="777777"/>
                <w:right w:val="single" w:sz="6" w:space="7" w:color="333333"/>
              </w:divBdr>
              <w:divsChild>
                <w:div w:id="1547646340">
                  <w:marLeft w:val="0"/>
                  <w:marRight w:val="0"/>
                  <w:marTop w:val="0"/>
                  <w:marBottom w:val="0"/>
                  <w:divBdr>
                    <w:top w:val="none" w:sz="0" w:space="0" w:color="auto"/>
                    <w:left w:val="none" w:sz="0" w:space="0" w:color="auto"/>
                    <w:bottom w:val="none" w:sz="0" w:space="0" w:color="auto"/>
                    <w:right w:val="none" w:sz="0" w:space="0" w:color="auto"/>
                  </w:divBdr>
                  <w:divsChild>
                    <w:div w:id="1863781983">
                      <w:marLeft w:val="0"/>
                      <w:marRight w:val="0"/>
                      <w:marTop w:val="0"/>
                      <w:marBottom w:val="0"/>
                      <w:divBdr>
                        <w:top w:val="single" w:sz="6" w:space="0" w:color="55CCCC"/>
                        <w:left w:val="single" w:sz="6" w:space="0" w:color="55CCCC"/>
                        <w:bottom w:val="single" w:sz="6" w:space="0" w:color="005555"/>
                        <w:right w:val="single" w:sz="6" w:space="0" w:color="005555"/>
                      </w:divBdr>
                      <w:divsChild>
                        <w:div w:id="2121757377">
                          <w:marLeft w:val="0"/>
                          <w:marRight w:val="0"/>
                          <w:marTop w:val="0"/>
                          <w:marBottom w:val="0"/>
                          <w:divBdr>
                            <w:top w:val="none" w:sz="0" w:space="0" w:color="auto"/>
                            <w:left w:val="none" w:sz="0" w:space="0" w:color="auto"/>
                            <w:bottom w:val="none" w:sz="0" w:space="0" w:color="auto"/>
                            <w:right w:val="none" w:sz="0" w:space="0" w:color="auto"/>
                          </w:divBdr>
                          <w:divsChild>
                            <w:div w:id="2026128802">
                              <w:marLeft w:val="14"/>
                              <w:marRight w:val="14"/>
                              <w:marTop w:val="14"/>
                              <w:marBottom w:val="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518964">
      <w:bodyDiv w:val="1"/>
      <w:marLeft w:val="0"/>
      <w:marRight w:val="0"/>
      <w:marTop w:val="0"/>
      <w:marBottom w:val="0"/>
      <w:divBdr>
        <w:top w:val="none" w:sz="0" w:space="0" w:color="auto"/>
        <w:left w:val="none" w:sz="0" w:space="0" w:color="auto"/>
        <w:bottom w:val="none" w:sz="0" w:space="0" w:color="auto"/>
        <w:right w:val="none" w:sz="0" w:space="0" w:color="auto"/>
      </w:divBdr>
      <w:divsChild>
        <w:div w:id="817185978">
          <w:marLeft w:val="0"/>
          <w:marRight w:val="0"/>
          <w:marTop w:val="0"/>
          <w:marBottom w:val="0"/>
          <w:divBdr>
            <w:top w:val="none" w:sz="0" w:space="0" w:color="auto"/>
            <w:left w:val="none" w:sz="0" w:space="0" w:color="auto"/>
            <w:bottom w:val="none" w:sz="0" w:space="0" w:color="auto"/>
            <w:right w:val="none" w:sz="0" w:space="0" w:color="auto"/>
          </w:divBdr>
          <w:divsChild>
            <w:div w:id="1925800808">
              <w:marLeft w:val="0"/>
              <w:marRight w:val="0"/>
              <w:marTop w:val="0"/>
              <w:marBottom w:val="0"/>
              <w:divBdr>
                <w:top w:val="single" w:sz="6" w:space="0" w:color="FFA500"/>
                <w:left w:val="single" w:sz="6" w:space="7" w:color="777777"/>
                <w:bottom w:val="single" w:sz="2" w:space="0" w:color="777777"/>
                <w:right w:val="single" w:sz="6" w:space="7" w:color="333333"/>
              </w:divBdr>
              <w:divsChild>
                <w:div w:id="1028289744">
                  <w:marLeft w:val="0"/>
                  <w:marRight w:val="0"/>
                  <w:marTop w:val="0"/>
                  <w:marBottom w:val="0"/>
                  <w:divBdr>
                    <w:top w:val="none" w:sz="0" w:space="0" w:color="auto"/>
                    <w:left w:val="none" w:sz="0" w:space="0" w:color="auto"/>
                    <w:bottom w:val="none" w:sz="0" w:space="0" w:color="auto"/>
                    <w:right w:val="none" w:sz="0" w:space="0" w:color="auto"/>
                  </w:divBdr>
                  <w:divsChild>
                    <w:div w:id="1074358117">
                      <w:marLeft w:val="0"/>
                      <w:marRight w:val="0"/>
                      <w:marTop w:val="0"/>
                      <w:marBottom w:val="0"/>
                      <w:divBdr>
                        <w:top w:val="single" w:sz="6" w:space="0" w:color="55CCCC"/>
                        <w:left w:val="single" w:sz="6" w:space="0" w:color="55CCCC"/>
                        <w:bottom w:val="single" w:sz="6" w:space="0" w:color="005555"/>
                        <w:right w:val="single" w:sz="6" w:space="0" w:color="005555"/>
                      </w:divBdr>
                      <w:divsChild>
                        <w:div w:id="295719069">
                          <w:marLeft w:val="0"/>
                          <w:marRight w:val="0"/>
                          <w:marTop w:val="0"/>
                          <w:marBottom w:val="0"/>
                          <w:divBdr>
                            <w:top w:val="none" w:sz="0" w:space="0" w:color="auto"/>
                            <w:left w:val="none" w:sz="0" w:space="0" w:color="auto"/>
                            <w:bottom w:val="none" w:sz="0" w:space="0" w:color="auto"/>
                            <w:right w:val="none" w:sz="0" w:space="0" w:color="auto"/>
                          </w:divBdr>
                          <w:divsChild>
                            <w:div w:id="1329282733">
                              <w:marLeft w:val="14"/>
                              <w:marRight w:val="14"/>
                              <w:marTop w:val="14"/>
                              <w:marBottom w:val="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183727">
      <w:bodyDiv w:val="1"/>
      <w:marLeft w:val="0"/>
      <w:marRight w:val="0"/>
      <w:marTop w:val="0"/>
      <w:marBottom w:val="0"/>
      <w:divBdr>
        <w:top w:val="none" w:sz="0" w:space="0" w:color="auto"/>
        <w:left w:val="none" w:sz="0" w:space="0" w:color="auto"/>
        <w:bottom w:val="none" w:sz="0" w:space="0" w:color="auto"/>
        <w:right w:val="none" w:sz="0" w:space="0" w:color="auto"/>
      </w:divBdr>
      <w:divsChild>
        <w:div w:id="1409309053">
          <w:marLeft w:val="0"/>
          <w:marRight w:val="0"/>
          <w:marTop w:val="0"/>
          <w:marBottom w:val="0"/>
          <w:divBdr>
            <w:top w:val="none" w:sz="0" w:space="0" w:color="auto"/>
            <w:left w:val="none" w:sz="0" w:space="0" w:color="auto"/>
            <w:bottom w:val="none" w:sz="0" w:space="0" w:color="auto"/>
            <w:right w:val="none" w:sz="0" w:space="0" w:color="auto"/>
          </w:divBdr>
          <w:divsChild>
            <w:div w:id="344745596">
              <w:marLeft w:val="0"/>
              <w:marRight w:val="0"/>
              <w:marTop w:val="0"/>
              <w:marBottom w:val="0"/>
              <w:divBdr>
                <w:top w:val="single" w:sz="6" w:space="0" w:color="FFA500"/>
                <w:left w:val="single" w:sz="6" w:space="7" w:color="777777"/>
                <w:bottom w:val="single" w:sz="2" w:space="0" w:color="777777"/>
                <w:right w:val="single" w:sz="6" w:space="7" w:color="333333"/>
              </w:divBdr>
              <w:divsChild>
                <w:div w:id="63572886">
                  <w:marLeft w:val="0"/>
                  <w:marRight w:val="0"/>
                  <w:marTop w:val="0"/>
                  <w:marBottom w:val="0"/>
                  <w:divBdr>
                    <w:top w:val="none" w:sz="0" w:space="0" w:color="auto"/>
                    <w:left w:val="none" w:sz="0" w:space="0" w:color="auto"/>
                    <w:bottom w:val="none" w:sz="0" w:space="0" w:color="auto"/>
                    <w:right w:val="none" w:sz="0" w:space="0" w:color="auto"/>
                  </w:divBdr>
                  <w:divsChild>
                    <w:div w:id="801459806">
                      <w:marLeft w:val="0"/>
                      <w:marRight w:val="0"/>
                      <w:marTop w:val="0"/>
                      <w:marBottom w:val="0"/>
                      <w:divBdr>
                        <w:top w:val="single" w:sz="6" w:space="0" w:color="55CCCC"/>
                        <w:left w:val="single" w:sz="6" w:space="0" w:color="55CCCC"/>
                        <w:bottom w:val="single" w:sz="6" w:space="0" w:color="005555"/>
                        <w:right w:val="single" w:sz="6" w:space="0" w:color="005555"/>
                      </w:divBdr>
                      <w:divsChild>
                        <w:div w:id="490489709">
                          <w:marLeft w:val="0"/>
                          <w:marRight w:val="0"/>
                          <w:marTop w:val="0"/>
                          <w:marBottom w:val="0"/>
                          <w:divBdr>
                            <w:top w:val="none" w:sz="0" w:space="0" w:color="auto"/>
                            <w:left w:val="none" w:sz="0" w:space="0" w:color="auto"/>
                            <w:bottom w:val="none" w:sz="0" w:space="0" w:color="auto"/>
                            <w:right w:val="none" w:sz="0" w:space="0" w:color="auto"/>
                          </w:divBdr>
                          <w:divsChild>
                            <w:div w:id="1652514873">
                              <w:marLeft w:val="14"/>
                              <w:marRight w:val="14"/>
                              <w:marTop w:val="14"/>
                              <w:marBottom w:val="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037">
      <w:bodyDiv w:val="1"/>
      <w:marLeft w:val="0"/>
      <w:marRight w:val="0"/>
      <w:marTop w:val="0"/>
      <w:marBottom w:val="0"/>
      <w:divBdr>
        <w:top w:val="none" w:sz="0" w:space="0" w:color="auto"/>
        <w:left w:val="none" w:sz="0" w:space="0" w:color="auto"/>
        <w:bottom w:val="none" w:sz="0" w:space="0" w:color="auto"/>
        <w:right w:val="none" w:sz="0" w:space="0" w:color="auto"/>
      </w:divBdr>
    </w:div>
    <w:div w:id="1028993419">
      <w:bodyDiv w:val="1"/>
      <w:marLeft w:val="0"/>
      <w:marRight w:val="0"/>
      <w:marTop w:val="0"/>
      <w:marBottom w:val="0"/>
      <w:divBdr>
        <w:top w:val="none" w:sz="0" w:space="0" w:color="auto"/>
        <w:left w:val="none" w:sz="0" w:space="0" w:color="auto"/>
        <w:bottom w:val="none" w:sz="0" w:space="0" w:color="auto"/>
        <w:right w:val="none" w:sz="0" w:space="0" w:color="auto"/>
      </w:divBdr>
      <w:divsChild>
        <w:div w:id="328993167">
          <w:marLeft w:val="0"/>
          <w:marRight w:val="0"/>
          <w:marTop w:val="0"/>
          <w:marBottom w:val="0"/>
          <w:divBdr>
            <w:top w:val="none" w:sz="0" w:space="0" w:color="auto"/>
            <w:left w:val="none" w:sz="0" w:space="0" w:color="auto"/>
            <w:bottom w:val="none" w:sz="0" w:space="0" w:color="auto"/>
            <w:right w:val="none" w:sz="0" w:space="0" w:color="auto"/>
          </w:divBdr>
          <w:divsChild>
            <w:div w:id="94177518">
              <w:marLeft w:val="0"/>
              <w:marRight w:val="0"/>
              <w:marTop w:val="0"/>
              <w:marBottom w:val="0"/>
              <w:divBdr>
                <w:top w:val="none" w:sz="0" w:space="0" w:color="auto"/>
                <w:left w:val="none" w:sz="0" w:space="0" w:color="auto"/>
                <w:bottom w:val="none" w:sz="0" w:space="0" w:color="auto"/>
                <w:right w:val="none" w:sz="0" w:space="0" w:color="auto"/>
              </w:divBdr>
              <w:divsChild>
                <w:div w:id="734013780">
                  <w:marLeft w:val="0"/>
                  <w:marRight w:val="0"/>
                  <w:marTop w:val="0"/>
                  <w:marBottom w:val="0"/>
                  <w:divBdr>
                    <w:top w:val="none" w:sz="0" w:space="0" w:color="auto"/>
                    <w:left w:val="none" w:sz="0" w:space="0" w:color="auto"/>
                    <w:bottom w:val="none" w:sz="0" w:space="0" w:color="auto"/>
                    <w:right w:val="none" w:sz="0" w:space="0" w:color="auto"/>
                  </w:divBdr>
                  <w:divsChild>
                    <w:div w:id="476924747">
                      <w:marLeft w:val="0"/>
                      <w:marRight w:val="0"/>
                      <w:marTop w:val="0"/>
                      <w:marBottom w:val="0"/>
                      <w:divBdr>
                        <w:top w:val="none" w:sz="0" w:space="0" w:color="auto"/>
                        <w:left w:val="none" w:sz="0" w:space="0" w:color="auto"/>
                        <w:bottom w:val="none" w:sz="0" w:space="0" w:color="auto"/>
                        <w:right w:val="none" w:sz="0" w:space="0" w:color="auto"/>
                      </w:divBdr>
                      <w:divsChild>
                        <w:div w:id="1575315167">
                          <w:marLeft w:val="0"/>
                          <w:marRight w:val="0"/>
                          <w:marTop w:val="0"/>
                          <w:marBottom w:val="0"/>
                          <w:divBdr>
                            <w:top w:val="none" w:sz="0" w:space="0" w:color="auto"/>
                            <w:left w:val="none" w:sz="0" w:space="0" w:color="auto"/>
                            <w:bottom w:val="none" w:sz="0" w:space="0" w:color="auto"/>
                            <w:right w:val="none" w:sz="0" w:space="0" w:color="auto"/>
                          </w:divBdr>
                          <w:divsChild>
                            <w:div w:id="76634554">
                              <w:marLeft w:val="0"/>
                              <w:marRight w:val="0"/>
                              <w:marTop w:val="0"/>
                              <w:marBottom w:val="0"/>
                              <w:divBdr>
                                <w:top w:val="none" w:sz="0" w:space="0" w:color="auto"/>
                                <w:left w:val="none" w:sz="0" w:space="0" w:color="auto"/>
                                <w:bottom w:val="none" w:sz="0" w:space="0" w:color="auto"/>
                                <w:right w:val="none" w:sz="0" w:space="0" w:color="auto"/>
                              </w:divBdr>
                              <w:divsChild>
                                <w:div w:id="1625648623">
                                  <w:marLeft w:val="0"/>
                                  <w:marRight w:val="0"/>
                                  <w:marTop w:val="0"/>
                                  <w:marBottom w:val="0"/>
                                  <w:divBdr>
                                    <w:top w:val="none" w:sz="0" w:space="0" w:color="auto"/>
                                    <w:left w:val="none" w:sz="0" w:space="0" w:color="auto"/>
                                    <w:bottom w:val="none" w:sz="0" w:space="0" w:color="auto"/>
                                    <w:right w:val="none" w:sz="0" w:space="0" w:color="auto"/>
                                  </w:divBdr>
                                  <w:divsChild>
                                    <w:div w:id="1446079401">
                                      <w:marLeft w:val="0"/>
                                      <w:marRight w:val="0"/>
                                      <w:marTop w:val="0"/>
                                      <w:marBottom w:val="0"/>
                                      <w:divBdr>
                                        <w:top w:val="none" w:sz="0" w:space="0" w:color="auto"/>
                                        <w:left w:val="none" w:sz="0" w:space="0" w:color="auto"/>
                                        <w:bottom w:val="none" w:sz="0" w:space="0" w:color="auto"/>
                                        <w:right w:val="none" w:sz="0" w:space="0" w:color="auto"/>
                                      </w:divBdr>
                                      <w:divsChild>
                                        <w:div w:id="1012029425">
                                          <w:marLeft w:val="0"/>
                                          <w:marRight w:val="0"/>
                                          <w:marTop w:val="0"/>
                                          <w:marBottom w:val="0"/>
                                          <w:divBdr>
                                            <w:top w:val="none" w:sz="0" w:space="0" w:color="auto"/>
                                            <w:left w:val="none" w:sz="0" w:space="0" w:color="auto"/>
                                            <w:bottom w:val="none" w:sz="0" w:space="0" w:color="auto"/>
                                            <w:right w:val="none" w:sz="0" w:space="0" w:color="auto"/>
                                          </w:divBdr>
                                          <w:divsChild>
                                            <w:div w:id="430274043">
                                              <w:marLeft w:val="136"/>
                                              <w:marRight w:val="136"/>
                                              <w:marTop w:val="136"/>
                                              <w:marBottom w:val="272"/>
                                              <w:divBdr>
                                                <w:top w:val="none" w:sz="0" w:space="0" w:color="auto"/>
                                                <w:left w:val="none" w:sz="0" w:space="0" w:color="auto"/>
                                                <w:bottom w:val="none" w:sz="0" w:space="0" w:color="auto"/>
                                                <w:right w:val="none" w:sz="0" w:space="0" w:color="auto"/>
                                              </w:divBdr>
                                              <w:divsChild>
                                                <w:div w:id="1562399323">
                                                  <w:marLeft w:val="0"/>
                                                  <w:marRight w:val="0"/>
                                                  <w:marTop w:val="0"/>
                                                  <w:marBottom w:val="0"/>
                                                  <w:divBdr>
                                                    <w:top w:val="none" w:sz="0" w:space="0" w:color="auto"/>
                                                    <w:left w:val="none" w:sz="0" w:space="0" w:color="auto"/>
                                                    <w:bottom w:val="none" w:sz="0" w:space="0" w:color="auto"/>
                                                    <w:right w:val="none" w:sz="0" w:space="0" w:color="auto"/>
                                                  </w:divBdr>
                                                  <w:divsChild>
                                                    <w:div w:id="374352304">
                                                      <w:marLeft w:val="0"/>
                                                      <w:marRight w:val="0"/>
                                                      <w:marTop w:val="0"/>
                                                      <w:marBottom w:val="0"/>
                                                      <w:divBdr>
                                                        <w:top w:val="none" w:sz="0" w:space="0" w:color="auto"/>
                                                        <w:left w:val="none" w:sz="0" w:space="0" w:color="auto"/>
                                                        <w:bottom w:val="none" w:sz="0" w:space="0" w:color="auto"/>
                                                        <w:right w:val="none" w:sz="0" w:space="0" w:color="auto"/>
                                                      </w:divBdr>
                                                      <w:divsChild>
                                                        <w:div w:id="1897351611">
                                                          <w:marLeft w:val="0"/>
                                                          <w:marRight w:val="0"/>
                                                          <w:marTop w:val="0"/>
                                                          <w:marBottom w:val="0"/>
                                                          <w:divBdr>
                                                            <w:top w:val="none" w:sz="0" w:space="0" w:color="auto"/>
                                                            <w:left w:val="none" w:sz="0" w:space="0" w:color="auto"/>
                                                            <w:bottom w:val="none" w:sz="0" w:space="0" w:color="auto"/>
                                                            <w:right w:val="none" w:sz="0" w:space="0" w:color="auto"/>
                                                          </w:divBdr>
                                                          <w:divsChild>
                                                            <w:div w:id="1847355913">
                                                              <w:marLeft w:val="0"/>
                                                              <w:marRight w:val="0"/>
                                                              <w:marTop w:val="0"/>
                                                              <w:marBottom w:val="0"/>
                                                              <w:divBdr>
                                                                <w:top w:val="none" w:sz="0" w:space="0" w:color="auto"/>
                                                                <w:left w:val="none" w:sz="0" w:space="0" w:color="auto"/>
                                                                <w:bottom w:val="none" w:sz="0" w:space="0" w:color="auto"/>
                                                                <w:right w:val="none" w:sz="0" w:space="0" w:color="auto"/>
                                                              </w:divBdr>
                                                              <w:divsChild>
                                                                <w:div w:id="505904687">
                                                                  <w:marLeft w:val="0"/>
                                                                  <w:marRight w:val="0"/>
                                                                  <w:marTop w:val="0"/>
                                                                  <w:marBottom w:val="0"/>
                                                                  <w:divBdr>
                                                                    <w:top w:val="none" w:sz="0" w:space="0" w:color="auto"/>
                                                                    <w:left w:val="none" w:sz="0" w:space="0" w:color="auto"/>
                                                                    <w:bottom w:val="none" w:sz="0" w:space="0" w:color="auto"/>
                                                                    <w:right w:val="none" w:sz="0" w:space="0" w:color="auto"/>
                                                                  </w:divBdr>
                                                                </w:div>
                                                                <w:div w:id="832066991">
                                                                  <w:marLeft w:val="0"/>
                                                                  <w:marRight w:val="0"/>
                                                                  <w:marTop w:val="0"/>
                                                                  <w:marBottom w:val="0"/>
                                                                  <w:divBdr>
                                                                    <w:top w:val="none" w:sz="0" w:space="0" w:color="auto"/>
                                                                    <w:left w:val="none" w:sz="0" w:space="0" w:color="auto"/>
                                                                    <w:bottom w:val="none" w:sz="0" w:space="0" w:color="auto"/>
                                                                    <w:right w:val="none" w:sz="0" w:space="0" w:color="auto"/>
                                                                  </w:divBdr>
                                                                </w:div>
                                                                <w:div w:id="1060447183">
                                                                  <w:marLeft w:val="0"/>
                                                                  <w:marRight w:val="0"/>
                                                                  <w:marTop w:val="0"/>
                                                                  <w:marBottom w:val="0"/>
                                                                  <w:divBdr>
                                                                    <w:top w:val="none" w:sz="0" w:space="0" w:color="auto"/>
                                                                    <w:left w:val="none" w:sz="0" w:space="0" w:color="auto"/>
                                                                    <w:bottom w:val="none" w:sz="0" w:space="0" w:color="auto"/>
                                                                    <w:right w:val="none" w:sz="0" w:space="0" w:color="auto"/>
                                                                  </w:divBdr>
                                                                </w:div>
                                                                <w:div w:id="1550074574">
                                                                  <w:marLeft w:val="0"/>
                                                                  <w:marRight w:val="0"/>
                                                                  <w:marTop w:val="0"/>
                                                                  <w:marBottom w:val="0"/>
                                                                  <w:divBdr>
                                                                    <w:top w:val="none" w:sz="0" w:space="0" w:color="auto"/>
                                                                    <w:left w:val="none" w:sz="0" w:space="0" w:color="auto"/>
                                                                    <w:bottom w:val="none" w:sz="0" w:space="0" w:color="auto"/>
                                                                    <w:right w:val="none" w:sz="0" w:space="0" w:color="auto"/>
                                                                  </w:divBdr>
                                                                </w:div>
                                                                <w:div w:id="21265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8192796">
      <w:bodyDiv w:val="1"/>
      <w:marLeft w:val="0"/>
      <w:marRight w:val="0"/>
      <w:marTop w:val="0"/>
      <w:marBottom w:val="0"/>
      <w:divBdr>
        <w:top w:val="none" w:sz="0" w:space="0" w:color="auto"/>
        <w:left w:val="none" w:sz="0" w:space="0" w:color="auto"/>
        <w:bottom w:val="none" w:sz="0" w:space="0" w:color="auto"/>
        <w:right w:val="none" w:sz="0" w:space="0" w:color="auto"/>
      </w:divBdr>
    </w:div>
    <w:div w:id="1085806083">
      <w:bodyDiv w:val="1"/>
      <w:marLeft w:val="0"/>
      <w:marRight w:val="0"/>
      <w:marTop w:val="0"/>
      <w:marBottom w:val="0"/>
      <w:divBdr>
        <w:top w:val="none" w:sz="0" w:space="0" w:color="auto"/>
        <w:left w:val="none" w:sz="0" w:space="0" w:color="auto"/>
        <w:bottom w:val="none" w:sz="0" w:space="0" w:color="auto"/>
        <w:right w:val="none" w:sz="0" w:space="0" w:color="auto"/>
      </w:divBdr>
      <w:divsChild>
        <w:div w:id="930624460">
          <w:marLeft w:val="0"/>
          <w:marRight w:val="0"/>
          <w:marTop w:val="0"/>
          <w:marBottom w:val="0"/>
          <w:divBdr>
            <w:top w:val="none" w:sz="0" w:space="0" w:color="auto"/>
            <w:left w:val="none" w:sz="0" w:space="0" w:color="auto"/>
            <w:bottom w:val="none" w:sz="0" w:space="0" w:color="auto"/>
            <w:right w:val="none" w:sz="0" w:space="0" w:color="auto"/>
          </w:divBdr>
          <w:divsChild>
            <w:div w:id="930891012">
              <w:marLeft w:val="0"/>
              <w:marRight w:val="0"/>
              <w:marTop w:val="0"/>
              <w:marBottom w:val="0"/>
              <w:divBdr>
                <w:top w:val="single" w:sz="6" w:space="0" w:color="FFA500"/>
                <w:left w:val="single" w:sz="6" w:space="7" w:color="777777"/>
                <w:bottom w:val="single" w:sz="2" w:space="0" w:color="777777"/>
                <w:right w:val="single" w:sz="6" w:space="7" w:color="333333"/>
              </w:divBdr>
              <w:divsChild>
                <w:div w:id="2075152561">
                  <w:marLeft w:val="0"/>
                  <w:marRight w:val="0"/>
                  <w:marTop w:val="0"/>
                  <w:marBottom w:val="0"/>
                  <w:divBdr>
                    <w:top w:val="none" w:sz="0" w:space="0" w:color="auto"/>
                    <w:left w:val="none" w:sz="0" w:space="0" w:color="auto"/>
                    <w:bottom w:val="none" w:sz="0" w:space="0" w:color="auto"/>
                    <w:right w:val="none" w:sz="0" w:space="0" w:color="auto"/>
                  </w:divBdr>
                  <w:divsChild>
                    <w:div w:id="921836339">
                      <w:marLeft w:val="0"/>
                      <w:marRight w:val="0"/>
                      <w:marTop w:val="0"/>
                      <w:marBottom w:val="0"/>
                      <w:divBdr>
                        <w:top w:val="single" w:sz="6" w:space="0" w:color="55CCCC"/>
                        <w:left w:val="single" w:sz="6" w:space="0" w:color="55CCCC"/>
                        <w:bottom w:val="single" w:sz="6" w:space="0" w:color="005555"/>
                        <w:right w:val="single" w:sz="6" w:space="0" w:color="005555"/>
                      </w:divBdr>
                      <w:divsChild>
                        <w:div w:id="1046641140">
                          <w:marLeft w:val="0"/>
                          <w:marRight w:val="0"/>
                          <w:marTop w:val="0"/>
                          <w:marBottom w:val="0"/>
                          <w:divBdr>
                            <w:top w:val="none" w:sz="0" w:space="0" w:color="auto"/>
                            <w:left w:val="none" w:sz="0" w:space="0" w:color="auto"/>
                            <w:bottom w:val="none" w:sz="0" w:space="0" w:color="auto"/>
                            <w:right w:val="none" w:sz="0" w:space="0" w:color="auto"/>
                          </w:divBdr>
                          <w:divsChild>
                            <w:div w:id="601765857">
                              <w:marLeft w:val="14"/>
                              <w:marRight w:val="14"/>
                              <w:marTop w:val="14"/>
                              <w:marBottom w:val="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83692">
      <w:bodyDiv w:val="1"/>
      <w:marLeft w:val="0"/>
      <w:marRight w:val="0"/>
      <w:marTop w:val="0"/>
      <w:marBottom w:val="0"/>
      <w:divBdr>
        <w:top w:val="none" w:sz="0" w:space="0" w:color="auto"/>
        <w:left w:val="none" w:sz="0" w:space="0" w:color="auto"/>
        <w:bottom w:val="none" w:sz="0" w:space="0" w:color="auto"/>
        <w:right w:val="none" w:sz="0" w:space="0" w:color="auto"/>
      </w:divBdr>
    </w:div>
    <w:div w:id="1173031386">
      <w:bodyDiv w:val="1"/>
      <w:marLeft w:val="0"/>
      <w:marRight w:val="0"/>
      <w:marTop w:val="0"/>
      <w:marBottom w:val="0"/>
      <w:divBdr>
        <w:top w:val="none" w:sz="0" w:space="0" w:color="auto"/>
        <w:left w:val="none" w:sz="0" w:space="0" w:color="auto"/>
        <w:bottom w:val="none" w:sz="0" w:space="0" w:color="auto"/>
        <w:right w:val="none" w:sz="0" w:space="0" w:color="auto"/>
      </w:divBdr>
      <w:divsChild>
        <w:div w:id="1767841799">
          <w:marLeft w:val="0"/>
          <w:marRight w:val="0"/>
          <w:marTop w:val="100"/>
          <w:marBottom w:val="100"/>
          <w:divBdr>
            <w:top w:val="none" w:sz="0" w:space="0" w:color="auto"/>
            <w:left w:val="none" w:sz="0" w:space="0" w:color="auto"/>
            <w:bottom w:val="none" w:sz="0" w:space="0" w:color="auto"/>
            <w:right w:val="none" w:sz="0" w:space="0" w:color="auto"/>
          </w:divBdr>
        </w:div>
      </w:divsChild>
    </w:div>
    <w:div w:id="1198856733">
      <w:bodyDiv w:val="1"/>
      <w:marLeft w:val="0"/>
      <w:marRight w:val="0"/>
      <w:marTop w:val="0"/>
      <w:marBottom w:val="0"/>
      <w:divBdr>
        <w:top w:val="none" w:sz="0" w:space="0" w:color="auto"/>
        <w:left w:val="none" w:sz="0" w:space="0" w:color="auto"/>
        <w:bottom w:val="none" w:sz="0" w:space="0" w:color="auto"/>
        <w:right w:val="none" w:sz="0" w:space="0" w:color="auto"/>
      </w:divBdr>
    </w:div>
    <w:div w:id="1244680191">
      <w:bodyDiv w:val="1"/>
      <w:marLeft w:val="0"/>
      <w:marRight w:val="0"/>
      <w:marTop w:val="0"/>
      <w:marBottom w:val="0"/>
      <w:divBdr>
        <w:top w:val="none" w:sz="0" w:space="0" w:color="auto"/>
        <w:left w:val="none" w:sz="0" w:space="0" w:color="auto"/>
        <w:bottom w:val="none" w:sz="0" w:space="0" w:color="auto"/>
        <w:right w:val="none" w:sz="0" w:space="0" w:color="auto"/>
      </w:divBdr>
    </w:div>
    <w:div w:id="1277710166">
      <w:bodyDiv w:val="1"/>
      <w:marLeft w:val="0"/>
      <w:marRight w:val="0"/>
      <w:marTop w:val="0"/>
      <w:marBottom w:val="0"/>
      <w:divBdr>
        <w:top w:val="none" w:sz="0" w:space="0" w:color="auto"/>
        <w:left w:val="none" w:sz="0" w:space="0" w:color="auto"/>
        <w:bottom w:val="none" w:sz="0" w:space="0" w:color="auto"/>
        <w:right w:val="none" w:sz="0" w:space="0" w:color="auto"/>
      </w:divBdr>
    </w:div>
    <w:div w:id="1290890455">
      <w:bodyDiv w:val="1"/>
      <w:marLeft w:val="0"/>
      <w:marRight w:val="0"/>
      <w:marTop w:val="0"/>
      <w:marBottom w:val="0"/>
      <w:divBdr>
        <w:top w:val="none" w:sz="0" w:space="0" w:color="auto"/>
        <w:left w:val="none" w:sz="0" w:space="0" w:color="auto"/>
        <w:bottom w:val="none" w:sz="0" w:space="0" w:color="auto"/>
        <w:right w:val="none" w:sz="0" w:space="0" w:color="auto"/>
      </w:divBdr>
    </w:div>
    <w:div w:id="1295796258">
      <w:bodyDiv w:val="1"/>
      <w:marLeft w:val="0"/>
      <w:marRight w:val="0"/>
      <w:marTop w:val="0"/>
      <w:marBottom w:val="0"/>
      <w:divBdr>
        <w:top w:val="none" w:sz="0" w:space="0" w:color="auto"/>
        <w:left w:val="none" w:sz="0" w:space="0" w:color="auto"/>
        <w:bottom w:val="none" w:sz="0" w:space="0" w:color="auto"/>
        <w:right w:val="none" w:sz="0" w:space="0" w:color="auto"/>
      </w:divBdr>
      <w:divsChild>
        <w:div w:id="12195887">
          <w:marLeft w:val="0"/>
          <w:marRight w:val="0"/>
          <w:marTop w:val="0"/>
          <w:marBottom w:val="0"/>
          <w:divBdr>
            <w:top w:val="none" w:sz="0" w:space="0" w:color="auto"/>
            <w:left w:val="none" w:sz="0" w:space="0" w:color="auto"/>
            <w:bottom w:val="none" w:sz="0" w:space="0" w:color="auto"/>
            <w:right w:val="none" w:sz="0" w:space="0" w:color="auto"/>
          </w:divBdr>
          <w:divsChild>
            <w:div w:id="903301796">
              <w:marLeft w:val="0"/>
              <w:marRight w:val="0"/>
              <w:marTop w:val="0"/>
              <w:marBottom w:val="0"/>
              <w:divBdr>
                <w:top w:val="single" w:sz="6" w:space="0" w:color="FFA500"/>
                <w:left w:val="single" w:sz="6" w:space="7" w:color="777777"/>
                <w:bottom w:val="single" w:sz="2" w:space="0" w:color="777777"/>
                <w:right w:val="single" w:sz="6" w:space="7" w:color="333333"/>
              </w:divBdr>
              <w:divsChild>
                <w:div w:id="652101929">
                  <w:marLeft w:val="0"/>
                  <w:marRight w:val="0"/>
                  <w:marTop w:val="0"/>
                  <w:marBottom w:val="0"/>
                  <w:divBdr>
                    <w:top w:val="none" w:sz="0" w:space="0" w:color="auto"/>
                    <w:left w:val="none" w:sz="0" w:space="0" w:color="auto"/>
                    <w:bottom w:val="none" w:sz="0" w:space="0" w:color="auto"/>
                    <w:right w:val="none" w:sz="0" w:space="0" w:color="auto"/>
                  </w:divBdr>
                  <w:divsChild>
                    <w:div w:id="1744790362">
                      <w:marLeft w:val="0"/>
                      <w:marRight w:val="0"/>
                      <w:marTop w:val="0"/>
                      <w:marBottom w:val="0"/>
                      <w:divBdr>
                        <w:top w:val="single" w:sz="6" w:space="0" w:color="55CCCC"/>
                        <w:left w:val="single" w:sz="6" w:space="0" w:color="55CCCC"/>
                        <w:bottom w:val="single" w:sz="6" w:space="0" w:color="005555"/>
                        <w:right w:val="single" w:sz="6" w:space="0" w:color="005555"/>
                      </w:divBdr>
                      <w:divsChild>
                        <w:div w:id="1692533442">
                          <w:marLeft w:val="0"/>
                          <w:marRight w:val="0"/>
                          <w:marTop w:val="0"/>
                          <w:marBottom w:val="0"/>
                          <w:divBdr>
                            <w:top w:val="none" w:sz="0" w:space="0" w:color="auto"/>
                            <w:left w:val="none" w:sz="0" w:space="0" w:color="auto"/>
                            <w:bottom w:val="none" w:sz="0" w:space="0" w:color="auto"/>
                            <w:right w:val="none" w:sz="0" w:space="0" w:color="auto"/>
                          </w:divBdr>
                          <w:divsChild>
                            <w:div w:id="1182277043">
                              <w:marLeft w:val="14"/>
                              <w:marRight w:val="14"/>
                              <w:marTop w:val="14"/>
                              <w:marBottom w:val="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528062">
      <w:bodyDiv w:val="1"/>
      <w:marLeft w:val="0"/>
      <w:marRight w:val="0"/>
      <w:marTop w:val="0"/>
      <w:marBottom w:val="0"/>
      <w:divBdr>
        <w:top w:val="none" w:sz="0" w:space="0" w:color="auto"/>
        <w:left w:val="none" w:sz="0" w:space="0" w:color="auto"/>
        <w:bottom w:val="none" w:sz="0" w:space="0" w:color="auto"/>
        <w:right w:val="none" w:sz="0" w:space="0" w:color="auto"/>
      </w:divBdr>
      <w:divsChild>
        <w:div w:id="676342902">
          <w:marLeft w:val="0"/>
          <w:marRight w:val="0"/>
          <w:marTop w:val="0"/>
          <w:marBottom w:val="0"/>
          <w:divBdr>
            <w:top w:val="none" w:sz="0" w:space="0" w:color="auto"/>
            <w:left w:val="none" w:sz="0" w:space="0" w:color="auto"/>
            <w:bottom w:val="none" w:sz="0" w:space="0" w:color="auto"/>
            <w:right w:val="none" w:sz="0" w:space="0" w:color="auto"/>
          </w:divBdr>
        </w:div>
      </w:divsChild>
    </w:div>
    <w:div w:id="1310554491">
      <w:bodyDiv w:val="1"/>
      <w:marLeft w:val="0"/>
      <w:marRight w:val="0"/>
      <w:marTop w:val="0"/>
      <w:marBottom w:val="0"/>
      <w:divBdr>
        <w:top w:val="none" w:sz="0" w:space="0" w:color="auto"/>
        <w:left w:val="none" w:sz="0" w:space="0" w:color="auto"/>
        <w:bottom w:val="none" w:sz="0" w:space="0" w:color="auto"/>
        <w:right w:val="none" w:sz="0" w:space="0" w:color="auto"/>
      </w:divBdr>
    </w:div>
    <w:div w:id="1356149353">
      <w:bodyDiv w:val="1"/>
      <w:marLeft w:val="0"/>
      <w:marRight w:val="0"/>
      <w:marTop w:val="0"/>
      <w:marBottom w:val="0"/>
      <w:divBdr>
        <w:top w:val="none" w:sz="0" w:space="0" w:color="auto"/>
        <w:left w:val="none" w:sz="0" w:space="0" w:color="auto"/>
        <w:bottom w:val="none" w:sz="0" w:space="0" w:color="auto"/>
        <w:right w:val="none" w:sz="0" w:space="0" w:color="auto"/>
      </w:divBdr>
    </w:div>
    <w:div w:id="1408501622">
      <w:bodyDiv w:val="1"/>
      <w:marLeft w:val="0"/>
      <w:marRight w:val="0"/>
      <w:marTop w:val="0"/>
      <w:marBottom w:val="0"/>
      <w:divBdr>
        <w:top w:val="none" w:sz="0" w:space="0" w:color="auto"/>
        <w:left w:val="none" w:sz="0" w:space="0" w:color="auto"/>
        <w:bottom w:val="none" w:sz="0" w:space="0" w:color="auto"/>
        <w:right w:val="none" w:sz="0" w:space="0" w:color="auto"/>
      </w:divBdr>
    </w:div>
    <w:div w:id="1438016294">
      <w:bodyDiv w:val="1"/>
      <w:marLeft w:val="0"/>
      <w:marRight w:val="0"/>
      <w:marTop w:val="0"/>
      <w:marBottom w:val="0"/>
      <w:divBdr>
        <w:top w:val="none" w:sz="0" w:space="0" w:color="auto"/>
        <w:left w:val="none" w:sz="0" w:space="0" w:color="auto"/>
        <w:bottom w:val="none" w:sz="0" w:space="0" w:color="auto"/>
        <w:right w:val="none" w:sz="0" w:space="0" w:color="auto"/>
      </w:divBdr>
      <w:divsChild>
        <w:div w:id="513882055">
          <w:marLeft w:val="0"/>
          <w:marRight w:val="0"/>
          <w:marTop w:val="0"/>
          <w:marBottom w:val="0"/>
          <w:divBdr>
            <w:top w:val="none" w:sz="0" w:space="0" w:color="auto"/>
            <w:left w:val="none" w:sz="0" w:space="0" w:color="auto"/>
            <w:bottom w:val="none" w:sz="0" w:space="0" w:color="auto"/>
            <w:right w:val="none" w:sz="0" w:space="0" w:color="auto"/>
          </w:divBdr>
          <w:divsChild>
            <w:div w:id="1242791088">
              <w:marLeft w:val="0"/>
              <w:marRight w:val="0"/>
              <w:marTop w:val="0"/>
              <w:marBottom w:val="0"/>
              <w:divBdr>
                <w:top w:val="single" w:sz="6" w:space="0" w:color="FFA500"/>
                <w:left w:val="single" w:sz="6" w:space="7" w:color="777777"/>
                <w:bottom w:val="single" w:sz="2" w:space="0" w:color="777777"/>
                <w:right w:val="single" w:sz="6" w:space="7" w:color="333333"/>
              </w:divBdr>
              <w:divsChild>
                <w:div w:id="187574373">
                  <w:marLeft w:val="0"/>
                  <w:marRight w:val="0"/>
                  <w:marTop w:val="0"/>
                  <w:marBottom w:val="0"/>
                  <w:divBdr>
                    <w:top w:val="none" w:sz="0" w:space="0" w:color="auto"/>
                    <w:left w:val="none" w:sz="0" w:space="0" w:color="auto"/>
                    <w:bottom w:val="none" w:sz="0" w:space="0" w:color="auto"/>
                    <w:right w:val="none" w:sz="0" w:space="0" w:color="auto"/>
                  </w:divBdr>
                  <w:divsChild>
                    <w:div w:id="568464749">
                      <w:marLeft w:val="0"/>
                      <w:marRight w:val="0"/>
                      <w:marTop w:val="0"/>
                      <w:marBottom w:val="0"/>
                      <w:divBdr>
                        <w:top w:val="single" w:sz="6" w:space="0" w:color="55CCCC"/>
                        <w:left w:val="single" w:sz="6" w:space="0" w:color="55CCCC"/>
                        <w:bottom w:val="single" w:sz="6" w:space="0" w:color="005555"/>
                        <w:right w:val="single" w:sz="6" w:space="0" w:color="005555"/>
                      </w:divBdr>
                      <w:divsChild>
                        <w:div w:id="171335090">
                          <w:marLeft w:val="0"/>
                          <w:marRight w:val="0"/>
                          <w:marTop w:val="0"/>
                          <w:marBottom w:val="0"/>
                          <w:divBdr>
                            <w:top w:val="none" w:sz="0" w:space="0" w:color="auto"/>
                            <w:left w:val="none" w:sz="0" w:space="0" w:color="auto"/>
                            <w:bottom w:val="none" w:sz="0" w:space="0" w:color="auto"/>
                            <w:right w:val="none" w:sz="0" w:space="0" w:color="auto"/>
                          </w:divBdr>
                          <w:divsChild>
                            <w:div w:id="159855023">
                              <w:marLeft w:val="14"/>
                              <w:marRight w:val="14"/>
                              <w:marTop w:val="14"/>
                              <w:marBottom w:val="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540889">
      <w:bodyDiv w:val="1"/>
      <w:marLeft w:val="0"/>
      <w:marRight w:val="0"/>
      <w:marTop w:val="0"/>
      <w:marBottom w:val="0"/>
      <w:divBdr>
        <w:top w:val="none" w:sz="0" w:space="0" w:color="auto"/>
        <w:left w:val="none" w:sz="0" w:space="0" w:color="auto"/>
        <w:bottom w:val="none" w:sz="0" w:space="0" w:color="auto"/>
        <w:right w:val="none" w:sz="0" w:space="0" w:color="auto"/>
      </w:divBdr>
    </w:div>
    <w:div w:id="1521049836">
      <w:bodyDiv w:val="1"/>
      <w:marLeft w:val="0"/>
      <w:marRight w:val="0"/>
      <w:marTop w:val="0"/>
      <w:marBottom w:val="0"/>
      <w:divBdr>
        <w:top w:val="none" w:sz="0" w:space="0" w:color="auto"/>
        <w:left w:val="none" w:sz="0" w:space="0" w:color="auto"/>
        <w:bottom w:val="none" w:sz="0" w:space="0" w:color="auto"/>
        <w:right w:val="none" w:sz="0" w:space="0" w:color="auto"/>
      </w:divBdr>
    </w:div>
    <w:div w:id="1523397663">
      <w:bodyDiv w:val="1"/>
      <w:marLeft w:val="0"/>
      <w:marRight w:val="0"/>
      <w:marTop w:val="0"/>
      <w:marBottom w:val="0"/>
      <w:divBdr>
        <w:top w:val="none" w:sz="0" w:space="0" w:color="auto"/>
        <w:left w:val="none" w:sz="0" w:space="0" w:color="auto"/>
        <w:bottom w:val="none" w:sz="0" w:space="0" w:color="auto"/>
        <w:right w:val="none" w:sz="0" w:space="0" w:color="auto"/>
      </w:divBdr>
    </w:div>
    <w:div w:id="1587153660">
      <w:bodyDiv w:val="1"/>
      <w:marLeft w:val="0"/>
      <w:marRight w:val="0"/>
      <w:marTop w:val="0"/>
      <w:marBottom w:val="0"/>
      <w:divBdr>
        <w:top w:val="none" w:sz="0" w:space="0" w:color="auto"/>
        <w:left w:val="none" w:sz="0" w:space="0" w:color="auto"/>
        <w:bottom w:val="none" w:sz="0" w:space="0" w:color="auto"/>
        <w:right w:val="none" w:sz="0" w:space="0" w:color="auto"/>
      </w:divBdr>
      <w:divsChild>
        <w:div w:id="116991041">
          <w:marLeft w:val="0"/>
          <w:marRight w:val="0"/>
          <w:marTop w:val="0"/>
          <w:marBottom w:val="0"/>
          <w:divBdr>
            <w:top w:val="none" w:sz="0" w:space="0" w:color="auto"/>
            <w:left w:val="none" w:sz="0" w:space="0" w:color="auto"/>
            <w:bottom w:val="none" w:sz="0" w:space="0" w:color="auto"/>
            <w:right w:val="none" w:sz="0" w:space="0" w:color="auto"/>
          </w:divBdr>
          <w:divsChild>
            <w:div w:id="755129060">
              <w:marLeft w:val="0"/>
              <w:marRight w:val="0"/>
              <w:marTop w:val="0"/>
              <w:marBottom w:val="0"/>
              <w:divBdr>
                <w:top w:val="single" w:sz="6" w:space="0" w:color="FFA500"/>
                <w:left w:val="single" w:sz="6" w:space="7" w:color="777777"/>
                <w:bottom w:val="single" w:sz="2" w:space="0" w:color="777777"/>
                <w:right w:val="single" w:sz="6" w:space="7" w:color="333333"/>
              </w:divBdr>
              <w:divsChild>
                <w:div w:id="601375857">
                  <w:marLeft w:val="0"/>
                  <w:marRight w:val="0"/>
                  <w:marTop w:val="0"/>
                  <w:marBottom w:val="0"/>
                  <w:divBdr>
                    <w:top w:val="none" w:sz="0" w:space="0" w:color="auto"/>
                    <w:left w:val="none" w:sz="0" w:space="0" w:color="auto"/>
                    <w:bottom w:val="none" w:sz="0" w:space="0" w:color="auto"/>
                    <w:right w:val="none" w:sz="0" w:space="0" w:color="auto"/>
                  </w:divBdr>
                  <w:divsChild>
                    <w:div w:id="1755397385">
                      <w:marLeft w:val="0"/>
                      <w:marRight w:val="0"/>
                      <w:marTop w:val="0"/>
                      <w:marBottom w:val="0"/>
                      <w:divBdr>
                        <w:top w:val="single" w:sz="6" w:space="0" w:color="55CCCC"/>
                        <w:left w:val="single" w:sz="6" w:space="0" w:color="55CCCC"/>
                        <w:bottom w:val="single" w:sz="6" w:space="0" w:color="005555"/>
                        <w:right w:val="single" w:sz="6" w:space="0" w:color="005555"/>
                      </w:divBdr>
                      <w:divsChild>
                        <w:div w:id="1159154005">
                          <w:marLeft w:val="0"/>
                          <w:marRight w:val="0"/>
                          <w:marTop w:val="0"/>
                          <w:marBottom w:val="0"/>
                          <w:divBdr>
                            <w:top w:val="none" w:sz="0" w:space="0" w:color="auto"/>
                            <w:left w:val="none" w:sz="0" w:space="0" w:color="auto"/>
                            <w:bottom w:val="none" w:sz="0" w:space="0" w:color="auto"/>
                            <w:right w:val="none" w:sz="0" w:space="0" w:color="auto"/>
                          </w:divBdr>
                          <w:divsChild>
                            <w:div w:id="1951665245">
                              <w:marLeft w:val="14"/>
                              <w:marRight w:val="14"/>
                              <w:marTop w:val="14"/>
                              <w:marBottom w:val="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200028">
      <w:bodyDiv w:val="1"/>
      <w:marLeft w:val="0"/>
      <w:marRight w:val="0"/>
      <w:marTop w:val="0"/>
      <w:marBottom w:val="0"/>
      <w:divBdr>
        <w:top w:val="none" w:sz="0" w:space="0" w:color="auto"/>
        <w:left w:val="none" w:sz="0" w:space="0" w:color="auto"/>
        <w:bottom w:val="none" w:sz="0" w:space="0" w:color="auto"/>
        <w:right w:val="none" w:sz="0" w:space="0" w:color="auto"/>
      </w:divBdr>
    </w:div>
    <w:div w:id="1644383934">
      <w:bodyDiv w:val="1"/>
      <w:marLeft w:val="0"/>
      <w:marRight w:val="0"/>
      <w:marTop w:val="0"/>
      <w:marBottom w:val="0"/>
      <w:divBdr>
        <w:top w:val="none" w:sz="0" w:space="0" w:color="auto"/>
        <w:left w:val="none" w:sz="0" w:space="0" w:color="auto"/>
        <w:bottom w:val="none" w:sz="0" w:space="0" w:color="auto"/>
        <w:right w:val="none" w:sz="0" w:space="0" w:color="auto"/>
      </w:divBdr>
    </w:div>
    <w:div w:id="1668553163">
      <w:bodyDiv w:val="1"/>
      <w:marLeft w:val="0"/>
      <w:marRight w:val="0"/>
      <w:marTop w:val="0"/>
      <w:marBottom w:val="0"/>
      <w:divBdr>
        <w:top w:val="none" w:sz="0" w:space="0" w:color="auto"/>
        <w:left w:val="none" w:sz="0" w:space="0" w:color="auto"/>
        <w:bottom w:val="none" w:sz="0" w:space="0" w:color="auto"/>
        <w:right w:val="none" w:sz="0" w:space="0" w:color="auto"/>
      </w:divBdr>
      <w:divsChild>
        <w:div w:id="1221747671">
          <w:marLeft w:val="0"/>
          <w:marRight w:val="0"/>
          <w:marTop w:val="100"/>
          <w:marBottom w:val="100"/>
          <w:divBdr>
            <w:top w:val="none" w:sz="0" w:space="0" w:color="auto"/>
            <w:left w:val="none" w:sz="0" w:space="0" w:color="auto"/>
            <w:bottom w:val="none" w:sz="0" w:space="0" w:color="auto"/>
            <w:right w:val="none" w:sz="0" w:space="0" w:color="auto"/>
          </w:divBdr>
        </w:div>
      </w:divsChild>
    </w:div>
    <w:div w:id="1674601372">
      <w:bodyDiv w:val="1"/>
      <w:marLeft w:val="0"/>
      <w:marRight w:val="0"/>
      <w:marTop w:val="0"/>
      <w:marBottom w:val="0"/>
      <w:divBdr>
        <w:top w:val="none" w:sz="0" w:space="0" w:color="auto"/>
        <w:left w:val="none" w:sz="0" w:space="0" w:color="auto"/>
        <w:bottom w:val="none" w:sz="0" w:space="0" w:color="auto"/>
        <w:right w:val="none" w:sz="0" w:space="0" w:color="auto"/>
      </w:divBdr>
    </w:div>
    <w:div w:id="1682582704">
      <w:bodyDiv w:val="1"/>
      <w:marLeft w:val="0"/>
      <w:marRight w:val="0"/>
      <w:marTop w:val="0"/>
      <w:marBottom w:val="0"/>
      <w:divBdr>
        <w:top w:val="none" w:sz="0" w:space="0" w:color="auto"/>
        <w:left w:val="none" w:sz="0" w:space="0" w:color="auto"/>
        <w:bottom w:val="none" w:sz="0" w:space="0" w:color="auto"/>
        <w:right w:val="none" w:sz="0" w:space="0" w:color="auto"/>
      </w:divBdr>
      <w:divsChild>
        <w:div w:id="190265704">
          <w:marLeft w:val="0"/>
          <w:marRight w:val="0"/>
          <w:marTop w:val="0"/>
          <w:marBottom w:val="0"/>
          <w:divBdr>
            <w:top w:val="none" w:sz="0" w:space="0" w:color="auto"/>
            <w:left w:val="none" w:sz="0" w:space="0" w:color="auto"/>
            <w:bottom w:val="none" w:sz="0" w:space="0" w:color="auto"/>
            <w:right w:val="none" w:sz="0" w:space="0" w:color="auto"/>
          </w:divBdr>
        </w:div>
        <w:div w:id="215941543">
          <w:marLeft w:val="0"/>
          <w:marRight w:val="0"/>
          <w:marTop w:val="0"/>
          <w:marBottom w:val="0"/>
          <w:divBdr>
            <w:top w:val="none" w:sz="0" w:space="0" w:color="auto"/>
            <w:left w:val="none" w:sz="0" w:space="0" w:color="auto"/>
            <w:bottom w:val="none" w:sz="0" w:space="0" w:color="auto"/>
            <w:right w:val="none" w:sz="0" w:space="0" w:color="auto"/>
          </w:divBdr>
        </w:div>
        <w:div w:id="340163739">
          <w:marLeft w:val="0"/>
          <w:marRight w:val="0"/>
          <w:marTop w:val="0"/>
          <w:marBottom w:val="0"/>
          <w:divBdr>
            <w:top w:val="none" w:sz="0" w:space="0" w:color="auto"/>
            <w:left w:val="none" w:sz="0" w:space="0" w:color="auto"/>
            <w:bottom w:val="none" w:sz="0" w:space="0" w:color="auto"/>
            <w:right w:val="none" w:sz="0" w:space="0" w:color="auto"/>
          </w:divBdr>
        </w:div>
        <w:div w:id="1502697275">
          <w:marLeft w:val="0"/>
          <w:marRight w:val="0"/>
          <w:marTop w:val="0"/>
          <w:marBottom w:val="0"/>
          <w:divBdr>
            <w:top w:val="none" w:sz="0" w:space="0" w:color="auto"/>
            <w:left w:val="none" w:sz="0" w:space="0" w:color="auto"/>
            <w:bottom w:val="none" w:sz="0" w:space="0" w:color="auto"/>
            <w:right w:val="none" w:sz="0" w:space="0" w:color="auto"/>
          </w:divBdr>
        </w:div>
        <w:div w:id="2043674814">
          <w:marLeft w:val="0"/>
          <w:marRight w:val="0"/>
          <w:marTop w:val="0"/>
          <w:marBottom w:val="0"/>
          <w:divBdr>
            <w:top w:val="none" w:sz="0" w:space="0" w:color="auto"/>
            <w:left w:val="none" w:sz="0" w:space="0" w:color="auto"/>
            <w:bottom w:val="none" w:sz="0" w:space="0" w:color="auto"/>
            <w:right w:val="none" w:sz="0" w:space="0" w:color="auto"/>
          </w:divBdr>
        </w:div>
      </w:divsChild>
    </w:div>
    <w:div w:id="1684895673">
      <w:bodyDiv w:val="1"/>
      <w:marLeft w:val="0"/>
      <w:marRight w:val="0"/>
      <w:marTop w:val="0"/>
      <w:marBottom w:val="0"/>
      <w:divBdr>
        <w:top w:val="none" w:sz="0" w:space="0" w:color="auto"/>
        <w:left w:val="none" w:sz="0" w:space="0" w:color="auto"/>
        <w:bottom w:val="none" w:sz="0" w:space="0" w:color="auto"/>
        <w:right w:val="none" w:sz="0" w:space="0" w:color="auto"/>
      </w:divBdr>
      <w:divsChild>
        <w:div w:id="1320184472">
          <w:marLeft w:val="0"/>
          <w:marRight w:val="0"/>
          <w:marTop w:val="100"/>
          <w:marBottom w:val="100"/>
          <w:divBdr>
            <w:top w:val="none" w:sz="0" w:space="0" w:color="auto"/>
            <w:left w:val="none" w:sz="0" w:space="0" w:color="auto"/>
            <w:bottom w:val="none" w:sz="0" w:space="0" w:color="auto"/>
            <w:right w:val="none" w:sz="0" w:space="0" w:color="auto"/>
          </w:divBdr>
          <w:divsChild>
            <w:div w:id="1055591553">
              <w:marLeft w:val="0"/>
              <w:marRight w:val="0"/>
              <w:marTop w:val="0"/>
              <w:marBottom w:val="0"/>
              <w:divBdr>
                <w:top w:val="none" w:sz="0" w:space="0" w:color="auto"/>
                <w:left w:val="none" w:sz="0" w:space="0" w:color="auto"/>
                <w:bottom w:val="none" w:sz="0" w:space="0" w:color="auto"/>
                <w:right w:val="none" w:sz="0" w:space="0" w:color="auto"/>
              </w:divBdr>
              <w:divsChild>
                <w:div w:id="529680694">
                  <w:marLeft w:val="0"/>
                  <w:marRight w:val="0"/>
                  <w:marTop w:val="0"/>
                  <w:marBottom w:val="0"/>
                  <w:divBdr>
                    <w:top w:val="none" w:sz="0" w:space="0" w:color="auto"/>
                    <w:left w:val="none" w:sz="0" w:space="0" w:color="auto"/>
                    <w:bottom w:val="none" w:sz="0" w:space="0" w:color="auto"/>
                    <w:right w:val="none" w:sz="0" w:space="0" w:color="auto"/>
                  </w:divBdr>
                  <w:divsChild>
                    <w:div w:id="11628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83612">
      <w:bodyDiv w:val="1"/>
      <w:marLeft w:val="0"/>
      <w:marRight w:val="0"/>
      <w:marTop w:val="0"/>
      <w:marBottom w:val="0"/>
      <w:divBdr>
        <w:top w:val="none" w:sz="0" w:space="0" w:color="auto"/>
        <w:left w:val="none" w:sz="0" w:space="0" w:color="auto"/>
        <w:bottom w:val="none" w:sz="0" w:space="0" w:color="auto"/>
        <w:right w:val="none" w:sz="0" w:space="0" w:color="auto"/>
      </w:divBdr>
      <w:divsChild>
        <w:div w:id="874735696">
          <w:marLeft w:val="-7200"/>
          <w:marRight w:val="0"/>
          <w:marTop w:val="0"/>
          <w:marBottom w:val="0"/>
          <w:divBdr>
            <w:top w:val="double" w:sz="6" w:space="4" w:color="CCCCCC"/>
            <w:left w:val="double" w:sz="6" w:space="0" w:color="CCCCCC"/>
            <w:bottom w:val="double" w:sz="6" w:space="0" w:color="CCCCCC"/>
            <w:right w:val="double" w:sz="6" w:space="0" w:color="CCCCCC"/>
          </w:divBdr>
          <w:divsChild>
            <w:div w:id="635067236">
              <w:marLeft w:val="0"/>
              <w:marRight w:val="0"/>
              <w:marTop w:val="240"/>
              <w:marBottom w:val="0"/>
              <w:divBdr>
                <w:top w:val="none" w:sz="0" w:space="0" w:color="auto"/>
                <w:left w:val="none" w:sz="0" w:space="0" w:color="auto"/>
                <w:bottom w:val="none" w:sz="0" w:space="0" w:color="auto"/>
                <w:right w:val="none" w:sz="0" w:space="0" w:color="auto"/>
              </w:divBdr>
              <w:divsChild>
                <w:div w:id="1786345705">
                  <w:marLeft w:val="0"/>
                  <w:marRight w:val="225"/>
                  <w:marTop w:val="0"/>
                  <w:marBottom w:val="0"/>
                  <w:divBdr>
                    <w:top w:val="none" w:sz="0" w:space="0" w:color="auto"/>
                    <w:left w:val="none" w:sz="0" w:space="0" w:color="auto"/>
                    <w:bottom w:val="none" w:sz="0" w:space="0" w:color="auto"/>
                    <w:right w:val="none" w:sz="0" w:space="0" w:color="auto"/>
                  </w:divBdr>
                  <w:divsChild>
                    <w:div w:id="10598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918851">
      <w:bodyDiv w:val="1"/>
      <w:marLeft w:val="0"/>
      <w:marRight w:val="0"/>
      <w:marTop w:val="0"/>
      <w:marBottom w:val="0"/>
      <w:divBdr>
        <w:top w:val="none" w:sz="0" w:space="0" w:color="auto"/>
        <w:left w:val="none" w:sz="0" w:space="0" w:color="auto"/>
        <w:bottom w:val="none" w:sz="0" w:space="0" w:color="auto"/>
        <w:right w:val="none" w:sz="0" w:space="0" w:color="auto"/>
      </w:divBdr>
      <w:divsChild>
        <w:div w:id="2119523114">
          <w:marLeft w:val="0"/>
          <w:marRight w:val="0"/>
          <w:marTop w:val="0"/>
          <w:marBottom w:val="0"/>
          <w:divBdr>
            <w:top w:val="none" w:sz="0" w:space="0" w:color="auto"/>
            <w:left w:val="none" w:sz="0" w:space="0" w:color="auto"/>
            <w:bottom w:val="none" w:sz="0" w:space="0" w:color="auto"/>
            <w:right w:val="none" w:sz="0" w:space="0" w:color="auto"/>
          </w:divBdr>
          <w:divsChild>
            <w:div w:id="994996385">
              <w:marLeft w:val="0"/>
              <w:marRight w:val="0"/>
              <w:marTop w:val="0"/>
              <w:marBottom w:val="0"/>
              <w:divBdr>
                <w:top w:val="single" w:sz="6" w:space="3" w:color="FFA500"/>
                <w:left w:val="single" w:sz="6" w:space="7" w:color="777777"/>
                <w:bottom w:val="single" w:sz="2" w:space="20" w:color="777777"/>
                <w:right w:val="single" w:sz="6" w:space="7" w:color="333333"/>
              </w:divBdr>
              <w:divsChild>
                <w:div w:id="2044624032">
                  <w:marLeft w:val="0"/>
                  <w:marRight w:val="0"/>
                  <w:marTop w:val="0"/>
                  <w:marBottom w:val="0"/>
                  <w:divBdr>
                    <w:top w:val="none" w:sz="0" w:space="0" w:color="auto"/>
                    <w:left w:val="none" w:sz="0" w:space="0" w:color="auto"/>
                    <w:bottom w:val="none" w:sz="0" w:space="0" w:color="auto"/>
                    <w:right w:val="none" w:sz="0" w:space="0" w:color="auto"/>
                  </w:divBdr>
                  <w:divsChild>
                    <w:div w:id="1192694768">
                      <w:marLeft w:val="0"/>
                      <w:marRight w:val="0"/>
                      <w:marTop w:val="0"/>
                      <w:marBottom w:val="0"/>
                      <w:divBdr>
                        <w:top w:val="single" w:sz="6" w:space="0" w:color="55CCCC"/>
                        <w:left w:val="single" w:sz="6" w:space="0" w:color="55CCCC"/>
                        <w:bottom w:val="single" w:sz="6" w:space="0" w:color="005555"/>
                        <w:right w:val="single" w:sz="6" w:space="0" w:color="005555"/>
                      </w:divBdr>
                      <w:divsChild>
                        <w:div w:id="1129591376">
                          <w:marLeft w:val="0"/>
                          <w:marRight w:val="0"/>
                          <w:marTop w:val="0"/>
                          <w:marBottom w:val="0"/>
                          <w:divBdr>
                            <w:top w:val="none" w:sz="0" w:space="0" w:color="auto"/>
                            <w:left w:val="none" w:sz="0" w:space="0" w:color="auto"/>
                            <w:bottom w:val="none" w:sz="0" w:space="0" w:color="auto"/>
                            <w:right w:val="none" w:sz="0" w:space="0" w:color="auto"/>
                          </w:divBdr>
                          <w:divsChild>
                            <w:div w:id="21051117">
                              <w:marLeft w:val="14"/>
                              <w:marRight w:val="14"/>
                              <w:marTop w:val="14"/>
                              <w:marBottom w:val="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468858">
      <w:bodyDiv w:val="1"/>
      <w:marLeft w:val="0"/>
      <w:marRight w:val="0"/>
      <w:marTop w:val="0"/>
      <w:marBottom w:val="0"/>
      <w:divBdr>
        <w:top w:val="none" w:sz="0" w:space="0" w:color="auto"/>
        <w:left w:val="none" w:sz="0" w:space="0" w:color="auto"/>
        <w:bottom w:val="none" w:sz="0" w:space="0" w:color="auto"/>
        <w:right w:val="none" w:sz="0" w:space="0" w:color="auto"/>
      </w:divBdr>
    </w:div>
    <w:div w:id="1793403448">
      <w:bodyDiv w:val="1"/>
      <w:marLeft w:val="0"/>
      <w:marRight w:val="0"/>
      <w:marTop w:val="0"/>
      <w:marBottom w:val="0"/>
      <w:divBdr>
        <w:top w:val="none" w:sz="0" w:space="0" w:color="auto"/>
        <w:left w:val="none" w:sz="0" w:space="0" w:color="auto"/>
        <w:bottom w:val="none" w:sz="0" w:space="0" w:color="auto"/>
        <w:right w:val="none" w:sz="0" w:space="0" w:color="auto"/>
      </w:divBdr>
      <w:divsChild>
        <w:div w:id="1166943067">
          <w:marLeft w:val="0"/>
          <w:marRight w:val="0"/>
          <w:marTop w:val="0"/>
          <w:marBottom w:val="0"/>
          <w:divBdr>
            <w:top w:val="none" w:sz="0" w:space="0" w:color="auto"/>
            <w:left w:val="none" w:sz="0" w:space="0" w:color="auto"/>
            <w:bottom w:val="none" w:sz="0" w:space="0" w:color="auto"/>
            <w:right w:val="none" w:sz="0" w:space="0" w:color="auto"/>
          </w:divBdr>
          <w:divsChild>
            <w:div w:id="66458217">
              <w:marLeft w:val="0"/>
              <w:marRight w:val="0"/>
              <w:marTop w:val="0"/>
              <w:marBottom w:val="0"/>
              <w:divBdr>
                <w:top w:val="single" w:sz="6" w:space="0" w:color="FFA500"/>
                <w:left w:val="single" w:sz="6" w:space="7" w:color="777777"/>
                <w:bottom w:val="single" w:sz="2" w:space="0" w:color="777777"/>
                <w:right w:val="single" w:sz="6" w:space="7" w:color="333333"/>
              </w:divBdr>
              <w:divsChild>
                <w:div w:id="727191576">
                  <w:marLeft w:val="0"/>
                  <w:marRight w:val="0"/>
                  <w:marTop w:val="0"/>
                  <w:marBottom w:val="0"/>
                  <w:divBdr>
                    <w:top w:val="none" w:sz="0" w:space="0" w:color="auto"/>
                    <w:left w:val="none" w:sz="0" w:space="0" w:color="auto"/>
                    <w:bottom w:val="none" w:sz="0" w:space="0" w:color="auto"/>
                    <w:right w:val="none" w:sz="0" w:space="0" w:color="auto"/>
                  </w:divBdr>
                  <w:divsChild>
                    <w:div w:id="1220362859">
                      <w:marLeft w:val="0"/>
                      <w:marRight w:val="0"/>
                      <w:marTop w:val="0"/>
                      <w:marBottom w:val="0"/>
                      <w:divBdr>
                        <w:top w:val="single" w:sz="6" w:space="0" w:color="55CCCC"/>
                        <w:left w:val="single" w:sz="6" w:space="0" w:color="55CCCC"/>
                        <w:bottom w:val="single" w:sz="6" w:space="0" w:color="005555"/>
                        <w:right w:val="single" w:sz="6" w:space="0" w:color="005555"/>
                      </w:divBdr>
                      <w:divsChild>
                        <w:div w:id="1066999955">
                          <w:marLeft w:val="0"/>
                          <w:marRight w:val="0"/>
                          <w:marTop w:val="0"/>
                          <w:marBottom w:val="0"/>
                          <w:divBdr>
                            <w:top w:val="none" w:sz="0" w:space="0" w:color="auto"/>
                            <w:left w:val="none" w:sz="0" w:space="0" w:color="auto"/>
                            <w:bottom w:val="none" w:sz="0" w:space="0" w:color="auto"/>
                            <w:right w:val="none" w:sz="0" w:space="0" w:color="auto"/>
                          </w:divBdr>
                          <w:divsChild>
                            <w:div w:id="1475025183">
                              <w:marLeft w:val="14"/>
                              <w:marRight w:val="14"/>
                              <w:marTop w:val="14"/>
                              <w:marBottom w:val="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291999">
      <w:bodyDiv w:val="1"/>
      <w:marLeft w:val="0"/>
      <w:marRight w:val="0"/>
      <w:marTop w:val="0"/>
      <w:marBottom w:val="0"/>
      <w:divBdr>
        <w:top w:val="none" w:sz="0" w:space="0" w:color="auto"/>
        <w:left w:val="none" w:sz="0" w:space="0" w:color="auto"/>
        <w:bottom w:val="none" w:sz="0" w:space="0" w:color="auto"/>
        <w:right w:val="none" w:sz="0" w:space="0" w:color="auto"/>
      </w:divBdr>
      <w:divsChild>
        <w:div w:id="1669289309">
          <w:marLeft w:val="0"/>
          <w:marRight w:val="0"/>
          <w:marTop w:val="0"/>
          <w:marBottom w:val="0"/>
          <w:divBdr>
            <w:top w:val="none" w:sz="0" w:space="0" w:color="auto"/>
            <w:left w:val="none" w:sz="0" w:space="0" w:color="auto"/>
            <w:bottom w:val="none" w:sz="0" w:space="0" w:color="auto"/>
            <w:right w:val="none" w:sz="0" w:space="0" w:color="auto"/>
          </w:divBdr>
          <w:divsChild>
            <w:div w:id="658659977">
              <w:marLeft w:val="0"/>
              <w:marRight w:val="0"/>
              <w:marTop w:val="0"/>
              <w:marBottom w:val="0"/>
              <w:divBdr>
                <w:top w:val="none" w:sz="0" w:space="0" w:color="auto"/>
                <w:left w:val="none" w:sz="0" w:space="0" w:color="auto"/>
                <w:bottom w:val="none" w:sz="0" w:space="0" w:color="auto"/>
                <w:right w:val="none" w:sz="0" w:space="0" w:color="auto"/>
              </w:divBdr>
              <w:divsChild>
                <w:div w:id="285279860">
                  <w:marLeft w:val="0"/>
                  <w:marRight w:val="0"/>
                  <w:marTop w:val="0"/>
                  <w:marBottom w:val="0"/>
                  <w:divBdr>
                    <w:top w:val="none" w:sz="0" w:space="0" w:color="auto"/>
                    <w:left w:val="none" w:sz="0" w:space="0" w:color="auto"/>
                    <w:bottom w:val="none" w:sz="0" w:space="0" w:color="auto"/>
                    <w:right w:val="none" w:sz="0" w:space="0" w:color="auto"/>
                  </w:divBdr>
                  <w:divsChild>
                    <w:div w:id="2282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656780">
      <w:bodyDiv w:val="1"/>
      <w:marLeft w:val="0"/>
      <w:marRight w:val="0"/>
      <w:marTop w:val="0"/>
      <w:marBottom w:val="0"/>
      <w:divBdr>
        <w:top w:val="none" w:sz="0" w:space="0" w:color="auto"/>
        <w:left w:val="none" w:sz="0" w:space="0" w:color="auto"/>
        <w:bottom w:val="none" w:sz="0" w:space="0" w:color="auto"/>
        <w:right w:val="none" w:sz="0" w:space="0" w:color="auto"/>
      </w:divBdr>
    </w:div>
    <w:div w:id="1920019067">
      <w:bodyDiv w:val="1"/>
      <w:marLeft w:val="0"/>
      <w:marRight w:val="0"/>
      <w:marTop w:val="0"/>
      <w:marBottom w:val="0"/>
      <w:divBdr>
        <w:top w:val="none" w:sz="0" w:space="0" w:color="auto"/>
        <w:left w:val="none" w:sz="0" w:space="0" w:color="auto"/>
        <w:bottom w:val="none" w:sz="0" w:space="0" w:color="auto"/>
        <w:right w:val="none" w:sz="0" w:space="0" w:color="auto"/>
      </w:divBdr>
      <w:divsChild>
        <w:div w:id="348677530">
          <w:marLeft w:val="0"/>
          <w:marRight w:val="0"/>
          <w:marTop w:val="0"/>
          <w:marBottom w:val="0"/>
          <w:divBdr>
            <w:top w:val="none" w:sz="0" w:space="0" w:color="auto"/>
            <w:left w:val="none" w:sz="0" w:space="0" w:color="auto"/>
            <w:bottom w:val="none" w:sz="0" w:space="0" w:color="auto"/>
            <w:right w:val="none" w:sz="0" w:space="0" w:color="auto"/>
          </w:divBdr>
          <w:divsChild>
            <w:div w:id="2037152787">
              <w:marLeft w:val="0"/>
              <w:marRight w:val="0"/>
              <w:marTop w:val="0"/>
              <w:marBottom w:val="0"/>
              <w:divBdr>
                <w:top w:val="none" w:sz="0" w:space="0" w:color="auto"/>
                <w:left w:val="none" w:sz="0" w:space="0" w:color="auto"/>
                <w:bottom w:val="none" w:sz="0" w:space="0" w:color="auto"/>
                <w:right w:val="none" w:sz="0" w:space="0" w:color="auto"/>
              </w:divBdr>
              <w:divsChild>
                <w:div w:id="17996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05380">
      <w:bodyDiv w:val="1"/>
      <w:marLeft w:val="0"/>
      <w:marRight w:val="0"/>
      <w:marTop w:val="0"/>
      <w:marBottom w:val="0"/>
      <w:divBdr>
        <w:top w:val="none" w:sz="0" w:space="0" w:color="auto"/>
        <w:left w:val="none" w:sz="0" w:space="0" w:color="auto"/>
        <w:bottom w:val="none" w:sz="0" w:space="0" w:color="auto"/>
        <w:right w:val="none" w:sz="0" w:space="0" w:color="auto"/>
      </w:divBdr>
      <w:divsChild>
        <w:div w:id="673922939">
          <w:marLeft w:val="0"/>
          <w:marRight w:val="0"/>
          <w:marTop w:val="0"/>
          <w:marBottom w:val="0"/>
          <w:divBdr>
            <w:top w:val="none" w:sz="0" w:space="0" w:color="auto"/>
            <w:left w:val="none" w:sz="0" w:space="0" w:color="auto"/>
            <w:bottom w:val="none" w:sz="0" w:space="0" w:color="auto"/>
            <w:right w:val="none" w:sz="0" w:space="0" w:color="auto"/>
          </w:divBdr>
          <w:divsChild>
            <w:div w:id="1350109269">
              <w:marLeft w:val="0"/>
              <w:marRight w:val="0"/>
              <w:marTop w:val="0"/>
              <w:marBottom w:val="0"/>
              <w:divBdr>
                <w:top w:val="single" w:sz="6" w:space="0" w:color="FFA500"/>
                <w:left w:val="single" w:sz="6" w:space="7" w:color="777777"/>
                <w:bottom w:val="single" w:sz="2" w:space="0" w:color="777777"/>
                <w:right w:val="single" w:sz="6" w:space="7" w:color="333333"/>
              </w:divBdr>
              <w:divsChild>
                <w:div w:id="1276904564">
                  <w:marLeft w:val="0"/>
                  <w:marRight w:val="0"/>
                  <w:marTop w:val="0"/>
                  <w:marBottom w:val="0"/>
                  <w:divBdr>
                    <w:top w:val="none" w:sz="0" w:space="0" w:color="auto"/>
                    <w:left w:val="none" w:sz="0" w:space="0" w:color="auto"/>
                    <w:bottom w:val="none" w:sz="0" w:space="0" w:color="auto"/>
                    <w:right w:val="none" w:sz="0" w:space="0" w:color="auto"/>
                  </w:divBdr>
                  <w:divsChild>
                    <w:div w:id="502622060">
                      <w:marLeft w:val="0"/>
                      <w:marRight w:val="0"/>
                      <w:marTop w:val="0"/>
                      <w:marBottom w:val="0"/>
                      <w:divBdr>
                        <w:top w:val="single" w:sz="6" w:space="0" w:color="55CCCC"/>
                        <w:left w:val="single" w:sz="6" w:space="0" w:color="55CCCC"/>
                        <w:bottom w:val="single" w:sz="6" w:space="0" w:color="005555"/>
                        <w:right w:val="single" w:sz="6" w:space="0" w:color="005555"/>
                      </w:divBdr>
                      <w:divsChild>
                        <w:div w:id="1080560308">
                          <w:marLeft w:val="0"/>
                          <w:marRight w:val="0"/>
                          <w:marTop w:val="0"/>
                          <w:marBottom w:val="0"/>
                          <w:divBdr>
                            <w:top w:val="none" w:sz="0" w:space="0" w:color="auto"/>
                            <w:left w:val="none" w:sz="0" w:space="0" w:color="auto"/>
                            <w:bottom w:val="none" w:sz="0" w:space="0" w:color="auto"/>
                            <w:right w:val="none" w:sz="0" w:space="0" w:color="auto"/>
                          </w:divBdr>
                          <w:divsChild>
                            <w:div w:id="1153835789">
                              <w:marLeft w:val="14"/>
                              <w:marRight w:val="14"/>
                              <w:marTop w:val="14"/>
                              <w:marBottom w:val="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133682">
      <w:bodyDiv w:val="1"/>
      <w:marLeft w:val="0"/>
      <w:marRight w:val="0"/>
      <w:marTop w:val="0"/>
      <w:marBottom w:val="0"/>
      <w:divBdr>
        <w:top w:val="none" w:sz="0" w:space="0" w:color="auto"/>
        <w:left w:val="none" w:sz="0" w:space="0" w:color="auto"/>
        <w:bottom w:val="none" w:sz="0" w:space="0" w:color="auto"/>
        <w:right w:val="none" w:sz="0" w:space="0" w:color="auto"/>
      </w:divBdr>
    </w:div>
    <w:div w:id="2003846387">
      <w:bodyDiv w:val="1"/>
      <w:marLeft w:val="0"/>
      <w:marRight w:val="0"/>
      <w:marTop w:val="0"/>
      <w:marBottom w:val="0"/>
      <w:divBdr>
        <w:top w:val="none" w:sz="0" w:space="0" w:color="auto"/>
        <w:left w:val="none" w:sz="0" w:space="0" w:color="auto"/>
        <w:bottom w:val="none" w:sz="0" w:space="0" w:color="auto"/>
        <w:right w:val="none" w:sz="0" w:space="0" w:color="auto"/>
      </w:divBdr>
      <w:divsChild>
        <w:div w:id="1676955550">
          <w:marLeft w:val="0"/>
          <w:marRight w:val="0"/>
          <w:marTop w:val="0"/>
          <w:marBottom w:val="0"/>
          <w:divBdr>
            <w:top w:val="none" w:sz="0" w:space="0" w:color="auto"/>
            <w:left w:val="none" w:sz="0" w:space="0" w:color="auto"/>
            <w:bottom w:val="none" w:sz="0" w:space="0" w:color="auto"/>
            <w:right w:val="none" w:sz="0" w:space="0" w:color="auto"/>
          </w:divBdr>
          <w:divsChild>
            <w:div w:id="814689759">
              <w:marLeft w:val="0"/>
              <w:marRight w:val="0"/>
              <w:marTop w:val="0"/>
              <w:marBottom w:val="0"/>
              <w:divBdr>
                <w:top w:val="single" w:sz="6" w:space="0" w:color="FFA500"/>
                <w:left w:val="single" w:sz="6" w:space="7" w:color="777777"/>
                <w:bottom w:val="single" w:sz="2" w:space="0" w:color="777777"/>
                <w:right w:val="single" w:sz="6" w:space="7" w:color="333333"/>
              </w:divBdr>
              <w:divsChild>
                <w:div w:id="1080565169">
                  <w:marLeft w:val="0"/>
                  <w:marRight w:val="0"/>
                  <w:marTop w:val="0"/>
                  <w:marBottom w:val="0"/>
                  <w:divBdr>
                    <w:top w:val="none" w:sz="0" w:space="0" w:color="auto"/>
                    <w:left w:val="none" w:sz="0" w:space="0" w:color="auto"/>
                    <w:bottom w:val="none" w:sz="0" w:space="0" w:color="auto"/>
                    <w:right w:val="none" w:sz="0" w:space="0" w:color="auto"/>
                  </w:divBdr>
                  <w:divsChild>
                    <w:div w:id="2002074176">
                      <w:marLeft w:val="0"/>
                      <w:marRight w:val="0"/>
                      <w:marTop w:val="0"/>
                      <w:marBottom w:val="0"/>
                      <w:divBdr>
                        <w:top w:val="single" w:sz="6" w:space="0" w:color="55CCCC"/>
                        <w:left w:val="single" w:sz="6" w:space="0" w:color="55CCCC"/>
                        <w:bottom w:val="single" w:sz="6" w:space="0" w:color="005555"/>
                        <w:right w:val="single" w:sz="6" w:space="0" w:color="005555"/>
                      </w:divBdr>
                      <w:divsChild>
                        <w:div w:id="496115050">
                          <w:marLeft w:val="0"/>
                          <w:marRight w:val="0"/>
                          <w:marTop w:val="0"/>
                          <w:marBottom w:val="0"/>
                          <w:divBdr>
                            <w:top w:val="none" w:sz="0" w:space="0" w:color="auto"/>
                            <w:left w:val="none" w:sz="0" w:space="0" w:color="auto"/>
                            <w:bottom w:val="none" w:sz="0" w:space="0" w:color="auto"/>
                            <w:right w:val="none" w:sz="0" w:space="0" w:color="auto"/>
                          </w:divBdr>
                          <w:divsChild>
                            <w:div w:id="2033415677">
                              <w:marLeft w:val="14"/>
                              <w:marRight w:val="14"/>
                              <w:marTop w:val="14"/>
                              <w:marBottom w:val="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723393">
      <w:bodyDiv w:val="1"/>
      <w:marLeft w:val="0"/>
      <w:marRight w:val="0"/>
      <w:marTop w:val="0"/>
      <w:marBottom w:val="0"/>
      <w:divBdr>
        <w:top w:val="none" w:sz="0" w:space="0" w:color="auto"/>
        <w:left w:val="none" w:sz="0" w:space="0" w:color="auto"/>
        <w:bottom w:val="none" w:sz="0" w:space="0" w:color="auto"/>
        <w:right w:val="none" w:sz="0" w:space="0" w:color="auto"/>
      </w:divBdr>
    </w:div>
    <w:div w:id="2124377674">
      <w:bodyDiv w:val="1"/>
      <w:marLeft w:val="0"/>
      <w:marRight w:val="0"/>
      <w:marTop w:val="0"/>
      <w:marBottom w:val="0"/>
      <w:divBdr>
        <w:top w:val="none" w:sz="0" w:space="0" w:color="auto"/>
        <w:left w:val="none" w:sz="0" w:space="0" w:color="auto"/>
        <w:bottom w:val="none" w:sz="0" w:space="0" w:color="auto"/>
        <w:right w:val="none" w:sz="0" w:space="0" w:color="auto"/>
      </w:divBdr>
      <w:divsChild>
        <w:div w:id="1534881626">
          <w:marLeft w:val="0"/>
          <w:marRight w:val="0"/>
          <w:marTop w:val="0"/>
          <w:marBottom w:val="0"/>
          <w:divBdr>
            <w:top w:val="none" w:sz="0" w:space="0" w:color="auto"/>
            <w:left w:val="none" w:sz="0" w:space="0" w:color="auto"/>
            <w:bottom w:val="none" w:sz="0" w:space="0" w:color="auto"/>
            <w:right w:val="none" w:sz="0" w:space="0" w:color="auto"/>
          </w:divBdr>
          <w:divsChild>
            <w:div w:id="318582793">
              <w:marLeft w:val="0"/>
              <w:marRight w:val="0"/>
              <w:marTop w:val="0"/>
              <w:marBottom w:val="0"/>
              <w:divBdr>
                <w:top w:val="single" w:sz="6" w:space="3" w:color="FFA500"/>
                <w:left w:val="single" w:sz="6" w:space="7" w:color="777777"/>
                <w:bottom w:val="single" w:sz="2" w:space="20" w:color="777777"/>
                <w:right w:val="single" w:sz="6" w:space="7" w:color="333333"/>
              </w:divBdr>
              <w:divsChild>
                <w:div w:id="406926337">
                  <w:marLeft w:val="0"/>
                  <w:marRight w:val="0"/>
                  <w:marTop w:val="0"/>
                  <w:marBottom w:val="0"/>
                  <w:divBdr>
                    <w:top w:val="none" w:sz="0" w:space="0" w:color="auto"/>
                    <w:left w:val="none" w:sz="0" w:space="0" w:color="auto"/>
                    <w:bottom w:val="none" w:sz="0" w:space="0" w:color="auto"/>
                    <w:right w:val="none" w:sz="0" w:space="0" w:color="auto"/>
                  </w:divBdr>
                  <w:divsChild>
                    <w:div w:id="996804466">
                      <w:marLeft w:val="0"/>
                      <w:marRight w:val="0"/>
                      <w:marTop w:val="0"/>
                      <w:marBottom w:val="0"/>
                      <w:divBdr>
                        <w:top w:val="single" w:sz="6" w:space="0" w:color="55CCCC"/>
                        <w:left w:val="single" w:sz="6" w:space="0" w:color="55CCCC"/>
                        <w:bottom w:val="single" w:sz="6" w:space="0" w:color="005555"/>
                        <w:right w:val="single" w:sz="6" w:space="0" w:color="005555"/>
                      </w:divBdr>
                      <w:divsChild>
                        <w:div w:id="1262640032">
                          <w:marLeft w:val="0"/>
                          <w:marRight w:val="0"/>
                          <w:marTop w:val="0"/>
                          <w:marBottom w:val="0"/>
                          <w:divBdr>
                            <w:top w:val="none" w:sz="0" w:space="0" w:color="auto"/>
                            <w:left w:val="none" w:sz="0" w:space="0" w:color="auto"/>
                            <w:bottom w:val="none" w:sz="0" w:space="0" w:color="auto"/>
                            <w:right w:val="none" w:sz="0" w:space="0" w:color="auto"/>
                          </w:divBdr>
                          <w:divsChild>
                            <w:div w:id="590050267">
                              <w:marLeft w:val="14"/>
                              <w:marRight w:val="14"/>
                              <w:marTop w:val="14"/>
                              <w:marBottom w:val="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pl.wikipedia.org/wiki/Uk%C5%82ad_SI" TargetMode="External"/><Relationship Id="rId26" Type="http://schemas.openxmlformats.org/officeDocument/2006/relationships/hyperlink" Target="http://pl.wikipedia.org/wiki/Uk%C5%82ad_SI" TargetMode="External"/><Relationship Id="rId39" Type="http://schemas.openxmlformats.org/officeDocument/2006/relationships/hyperlink" Target="http://www.stat.gov.pl" TargetMode="External"/><Relationship Id="rId21" Type="http://schemas.openxmlformats.org/officeDocument/2006/relationships/hyperlink" Target="http://pl.wikipedia.org/wiki/Ciep%C5%82o" TargetMode="External"/><Relationship Id="rId34" Type="http://schemas.openxmlformats.org/officeDocument/2006/relationships/diagramColors" Target="diagrams/colors1.xml"/><Relationship Id="rId42" Type="http://schemas.openxmlformats.org/officeDocument/2006/relationships/chart" Target="charts/chart4.xml"/><Relationship Id="rId47" Type="http://schemas.openxmlformats.org/officeDocument/2006/relationships/chart" Target="charts/chart7.xml"/><Relationship Id="rId50" Type="http://schemas.openxmlformats.org/officeDocument/2006/relationships/hyperlink" Target="http://www.stat.gov.pl" TargetMode="External"/><Relationship Id="rId55"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pl.wikipedia.org/wiki/Ciep%C5%82o" TargetMode="External"/><Relationship Id="rId25" Type="http://schemas.openxmlformats.org/officeDocument/2006/relationships/hyperlink" Target="http://pl.wikipedia.org/wiki/Ciep%C5%82o" TargetMode="External"/><Relationship Id="rId33" Type="http://schemas.openxmlformats.org/officeDocument/2006/relationships/diagramQuickStyle" Target="diagrams/quickStyle1.xml"/><Relationship Id="rId38" Type="http://schemas.openxmlformats.org/officeDocument/2006/relationships/chart" Target="charts/chart2.xml"/><Relationship Id="rId46" Type="http://schemas.openxmlformats.org/officeDocument/2006/relationships/hyperlink" Target="http://www.sse.com.pl" TargetMode="External"/><Relationship Id="rId2" Type="http://schemas.openxmlformats.org/officeDocument/2006/relationships/numbering" Target="numbering.xml"/><Relationship Id="rId16" Type="http://schemas.openxmlformats.org/officeDocument/2006/relationships/hyperlink" Target="http://pl.wikipedia.org/wiki/Energia_%28fizyka%29" TargetMode="External"/><Relationship Id="rId20" Type="http://schemas.openxmlformats.org/officeDocument/2006/relationships/hyperlink" Target="http://pl.wikipedia.org/wiki/Energia_%28fizyka%29" TargetMode="External"/><Relationship Id="rId29" Type="http://schemas.openxmlformats.org/officeDocument/2006/relationships/hyperlink" Target="http://pl.wikipedia.org/wiki/Ciep%C5%82o" TargetMode="External"/><Relationship Id="rId41" Type="http://schemas.openxmlformats.org/officeDocument/2006/relationships/chart" Target="charts/chart3.xml"/><Relationship Id="rId54"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pl.wikipedia.org/wiki/Energia_%28fizyka%29" TargetMode="External"/><Relationship Id="rId32" Type="http://schemas.openxmlformats.org/officeDocument/2006/relationships/diagramLayout" Target="diagrams/layout1.xml"/><Relationship Id="rId37" Type="http://schemas.openxmlformats.org/officeDocument/2006/relationships/chart" Target="charts/chart1.xml"/><Relationship Id="rId40" Type="http://schemas.openxmlformats.org/officeDocument/2006/relationships/hyperlink" Target="http://www.stat.gov.pl" TargetMode="External"/><Relationship Id="rId45" Type="http://schemas.openxmlformats.org/officeDocument/2006/relationships/hyperlink" Target="http://www.stat.gov.pl" TargetMode="External"/><Relationship Id="rId53"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hyperlink" Target="http://pl.wikipedia.org/wiki/Praca_%28fizyka%29" TargetMode="External"/><Relationship Id="rId23" Type="http://schemas.openxmlformats.org/officeDocument/2006/relationships/hyperlink" Target="http://pl.wikipedia.org/wiki/Praca_%28fizyka%29" TargetMode="External"/><Relationship Id="rId28" Type="http://schemas.openxmlformats.org/officeDocument/2006/relationships/hyperlink" Target="http://pl.wikipedia.org/wiki/Energia_%28fizyka%29" TargetMode="External"/><Relationship Id="rId36" Type="http://schemas.openxmlformats.org/officeDocument/2006/relationships/hyperlink" Target="http://www.gus.pl" TargetMode="External"/><Relationship Id="rId49" Type="http://schemas.openxmlformats.org/officeDocument/2006/relationships/chart" Target="charts/chart9.xm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pl.wikipedia.org/wiki/Praca_%28fizyka%29" TargetMode="External"/><Relationship Id="rId31" Type="http://schemas.openxmlformats.org/officeDocument/2006/relationships/diagramData" Target="diagrams/data1.xml"/><Relationship Id="rId44" Type="http://schemas.openxmlformats.org/officeDocument/2006/relationships/chart" Target="charts/chart6.xml"/><Relationship Id="rId52" Type="http://schemas.openxmlformats.org/officeDocument/2006/relationships/hyperlink" Target="http://www.stat.gov.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pl.wikipedia.org/wiki/Uk%C5%82ad_SI" TargetMode="External"/><Relationship Id="rId27" Type="http://schemas.openxmlformats.org/officeDocument/2006/relationships/hyperlink" Target="http://pl.wikipedia.org/wiki/Praca_%28fizyka%29" TargetMode="External"/><Relationship Id="rId30" Type="http://schemas.openxmlformats.org/officeDocument/2006/relationships/hyperlink" Target="http://pl.wikipedia.org/wiki/Uk%C5%82ad_SI" TargetMode="External"/><Relationship Id="rId35" Type="http://schemas.openxmlformats.org/officeDocument/2006/relationships/image" Target="media/image2.gif"/><Relationship Id="rId43" Type="http://schemas.openxmlformats.org/officeDocument/2006/relationships/chart" Target="charts/chart5.xml"/><Relationship Id="rId48" Type="http://schemas.openxmlformats.org/officeDocument/2006/relationships/chart" Target="charts/chart8.xm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stat.gov.pl"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Arkusz_programu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Arkusz_programu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Arkusz_programu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lineChart>
        <c:grouping val="standard"/>
        <c:ser>
          <c:idx val="0"/>
          <c:order val="0"/>
          <c:tx>
            <c:strRef>
              <c:f>Arkusz1!$B$1</c:f>
              <c:strCache>
                <c:ptCount val="1"/>
                <c:pt idx="0">
                  <c:v>Dynamika zmian liczby mieszkańców gminy Połaniec w latach 2010-2018</c:v>
                </c:pt>
              </c:strCache>
            </c:strRef>
          </c:tx>
          <c:marker>
            <c:spPr>
              <a:solidFill>
                <a:srgbClr val="002060"/>
              </a:solidFill>
            </c:spPr>
          </c:marker>
          <c:dLbls>
            <c:dLbl>
              <c:idx val="0"/>
              <c:layout>
                <c:manualLayout>
                  <c:x val="-4.6296296296297048E-3"/>
                  <c:y val="-4.7619047619047714E-2"/>
                </c:manualLayout>
              </c:layout>
              <c:showVal val="1"/>
            </c:dLbl>
            <c:dLbl>
              <c:idx val="1"/>
              <c:layout>
                <c:manualLayout>
                  <c:x val="0"/>
                  <c:y val="-4.3650793650793794E-2"/>
                </c:manualLayout>
              </c:layout>
              <c:showVal val="1"/>
            </c:dLbl>
            <c:dLbl>
              <c:idx val="2"/>
              <c:layout>
                <c:manualLayout>
                  <c:x val="-3.0092592592592553E-2"/>
                  <c:y val="5.9523809523809507E-2"/>
                </c:manualLayout>
              </c:layout>
              <c:showVal val="1"/>
            </c:dLbl>
            <c:dLbl>
              <c:idx val="3"/>
              <c:layout>
                <c:manualLayout>
                  <c:x val="-6.9444444444445568E-3"/>
                  <c:y val="-5.9523809523809507E-2"/>
                </c:manualLayout>
              </c:layout>
              <c:showVal val="1"/>
            </c:dLbl>
            <c:dLbl>
              <c:idx val="4"/>
              <c:layout>
                <c:manualLayout>
                  <c:x val="-1.8518518518518736E-2"/>
                  <c:y val="5.9523809523809507E-2"/>
                </c:manualLayout>
              </c:layout>
              <c:showVal val="1"/>
            </c:dLbl>
            <c:dLbl>
              <c:idx val="5"/>
              <c:layout>
                <c:manualLayout>
                  <c:x val="4.6296296296297048E-3"/>
                  <c:y val="-7.1428571428571494E-2"/>
                </c:manualLayout>
              </c:layout>
              <c:showVal val="1"/>
            </c:dLbl>
            <c:dLbl>
              <c:idx val="6"/>
              <c:layout>
                <c:manualLayout>
                  <c:x val="-2.7777777777778588E-2"/>
                  <c:y val="7.936507936507943E-2"/>
                </c:manualLayout>
              </c:layout>
              <c:showVal val="1"/>
            </c:dLbl>
            <c:dLbl>
              <c:idx val="7"/>
              <c:layout>
                <c:manualLayout>
                  <c:x val="-6.9444444444445568E-3"/>
                  <c:y val="-6.349206349206353E-2"/>
                </c:manualLayout>
              </c:layout>
              <c:showVal val="1"/>
            </c:dLbl>
            <c:txPr>
              <a:bodyPr/>
              <a:lstStyle/>
              <a:p>
                <a:pPr>
                  <a:defRPr sz="1100" b="1">
                    <a:latin typeface="+mn-lt"/>
                    <a:cs typeface="Times New Roman" pitchFamily="18" charset="0"/>
                  </a:defRPr>
                </a:pPr>
                <a:endParaRPr lang="pl-PL"/>
              </a:p>
            </c:txPr>
            <c:showVal val="1"/>
          </c:dLbls>
          <c:cat>
            <c:numRef>
              <c:f>Arkusz1!$A$2:$A$10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Arkusz1!$B$2:$B$10</c:f>
              <c:numCache>
                <c:formatCode>General</c:formatCode>
                <c:ptCount val="9"/>
                <c:pt idx="0">
                  <c:v>12090</c:v>
                </c:pt>
                <c:pt idx="1">
                  <c:v>12046</c:v>
                </c:pt>
                <c:pt idx="2">
                  <c:v>11991</c:v>
                </c:pt>
                <c:pt idx="3">
                  <c:v>11989</c:v>
                </c:pt>
                <c:pt idx="4">
                  <c:v>11968</c:v>
                </c:pt>
                <c:pt idx="5">
                  <c:v>11990</c:v>
                </c:pt>
                <c:pt idx="6">
                  <c:v>11941</c:v>
                </c:pt>
                <c:pt idx="7">
                  <c:v>11901</c:v>
                </c:pt>
                <c:pt idx="8">
                  <c:v>11828</c:v>
                </c:pt>
              </c:numCache>
            </c:numRef>
          </c:val>
        </c:ser>
        <c:marker val="1"/>
        <c:axId val="173811968"/>
        <c:axId val="190269312"/>
      </c:lineChart>
      <c:catAx>
        <c:axId val="173811968"/>
        <c:scaling>
          <c:orientation val="minMax"/>
        </c:scaling>
        <c:axPos val="b"/>
        <c:numFmt formatCode="General" sourceLinked="1"/>
        <c:tickLblPos val="nextTo"/>
        <c:txPr>
          <a:bodyPr/>
          <a:lstStyle/>
          <a:p>
            <a:pPr>
              <a:defRPr b="1">
                <a:latin typeface="+mn-lt"/>
                <a:cs typeface="Times New Roman" pitchFamily="18" charset="0"/>
              </a:defRPr>
            </a:pPr>
            <a:endParaRPr lang="pl-PL"/>
          </a:p>
        </c:txPr>
        <c:crossAx val="190269312"/>
        <c:crosses val="autoZero"/>
        <c:auto val="1"/>
        <c:lblAlgn val="ctr"/>
        <c:lblOffset val="100"/>
      </c:catAx>
      <c:valAx>
        <c:axId val="190269312"/>
        <c:scaling>
          <c:orientation val="minMax"/>
        </c:scaling>
        <c:axPos val="l"/>
        <c:majorGridlines/>
        <c:numFmt formatCode="General" sourceLinked="1"/>
        <c:tickLblPos val="nextTo"/>
        <c:txPr>
          <a:bodyPr/>
          <a:lstStyle/>
          <a:p>
            <a:pPr>
              <a:defRPr sz="1100" b="1">
                <a:latin typeface="+mn-lt"/>
                <a:cs typeface="Times New Roman" pitchFamily="18" charset="0"/>
              </a:defRPr>
            </a:pPr>
            <a:endParaRPr lang="pl-PL"/>
          </a:p>
        </c:txPr>
        <c:crossAx val="173811968"/>
        <c:crosses val="autoZero"/>
        <c:crossBetween val="between"/>
        <c:majorUnit val="100"/>
      </c:valAx>
    </c:plotArea>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manualLayout>
          <c:layoutTarget val="inner"/>
          <c:xMode val="edge"/>
          <c:yMode val="edge"/>
          <c:x val="0.15611457421988917"/>
          <c:y val="4.3650793650793704E-2"/>
          <c:w val="0.38193751822688832"/>
          <c:h val="0.71659938273188162"/>
        </c:manualLayout>
      </c:layout>
      <c:pieChart>
        <c:varyColors val="1"/>
        <c:ser>
          <c:idx val="0"/>
          <c:order val="0"/>
          <c:tx>
            <c:strRef>
              <c:f>Arkusz1!$B$1</c:f>
              <c:strCache>
                <c:ptCount val="1"/>
                <c:pt idx="0">
                  <c:v>Zużycie gazu ziemnego</c:v>
                </c:pt>
              </c:strCache>
            </c:strRef>
          </c:tx>
          <c:dPt>
            <c:idx val="0"/>
            <c:spPr>
              <a:solidFill>
                <a:schemeClr val="accent1">
                  <a:lumMod val="60000"/>
                  <a:lumOff val="40000"/>
                </a:schemeClr>
              </a:solidFill>
            </c:spPr>
          </c:dPt>
          <c:dPt>
            <c:idx val="1"/>
            <c:spPr>
              <a:solidFill>
                <a:schemeClr val="accent4">
                  <a:lumMod val="75000"/>
                </a:schemeClr>
              </a:solidFill>
            </c:spPr>
          </c:dPt>
          <c:dPt>
            <c:idx val="2"/>
            <c:spPr>
              <a:solidFill>
                <a:srgbClr val="FFC000"/>
              </a:solidFill>
            </c:spPr>
          </c:dPt>
          <c:dLbls>
            <c:txPr>
              <a:bodyPr/>
              <a:lstStyle/>
              <a:p>
                <a:pPr>
                  <a:defRPr sz="1100" b="1"/>
                </a:pPr>
                <a:endParaRPr lang="pl-PL"/>
              </a:p>
            </c:txPr>
            <c:dLblPos val="outEnd"/>
            <c:showPercent val="1"/>
            <c:showLeaderLines val="1"/>
          </c:dLbls>
          <c:cat>
            <c:strRef>
              <c:f>Arkusz1!$A$2:$A$4</c:f>
              <c:strCache>
                <c:ptCount val="3"/>
                <c:pt idx="0">
                  <c:v>gospodarstwa domowe</c:v>
                </c:pt>
                <c:pt idx="1">
                  <c:v>przemysł i budownictwo</c:v>
                </c:pt>
                <c:pt idx="2">
                  <c:v>handel i usługi</c:v>
                </c:pt>
              </c:strCache>
            </c:strRef>
          </c:cat>
          <c:val>
            <c:numRef>
              <c:f>Arkusz1!$B$2:$B$4</c:f>
              <c:numCache>
                <c:formatCode>General</c:formatCode>
                <c:ptCount val="3"/>
                <c:pt idx="0">
                  <c:v>1160.3</c:v>
                </c:pt>
                <c:pt idx="1">
                  <c:v>127.4</c:v>
                </c:pt>
                <c:pt idx="2">
                  <c:v>326.39999999999969</c:v>
                </c:pt>
              </c:numCache>
            </c:numRef>
          </c:val>
        </c:ser>
        <c:firstSliceAng val="0"/>
      </c:pieChart>
    </c:plotArea>
    <c:legend>
      <c:legendPos val="r"/>
      <c:txPr>
        <a:bodyPr/>
        <a:lstStyle/>
        <a:p>
          <a:pPr>
            <a:spcBef>
              <a:spcPts val="600"/>
            </a:spcBef>
            <a:spcAft>
              <a:spcPts val="600"/>
            </a:spcAft>
            <a:defRPr sz="1100"/>
          </a:pPr>
          <a:endParaRPr lang="pl-PL"/>
        </a:p>
      </c:txPr>
    </c:legend>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12848953776611274"/>
          <c:y val="4.3650793650793704E-2"/>
          <c:w val="0.79049194371536857"/>
          <c:h val="0.77022153480816513"/>
        </c:manualLayout>
      </c:layout>
      <c:barChart>
        <c:barDir val="col"/>
        <c:grouping val="clustered"/>
        <c:ser>
          <c:idx val="0"/>
          <c:order val="0"/>
          <c:tx>
            <c:strRef>
              <c:f>Arkusz1!$B$1</c:f>
              <c:strCache>
                <c:ptCount val="1"/>
                <c:pt idx="0">
                  <c:v>Wariant I</c:v>
                </c:pt>
              </c:strCache>
            </c:strRef>
          </c:tx>
          <c:spPr>
            <a:solidFill>
              <a:schemeClr val="accent3">
                <a:lumMod val="60000"/>
                <a:lumOff val="40000"/>
              </a:schemeClr>
            </a:solidFill>
          </c:spPr>
          <c:dLbls>
            <c:txPr>
              <a:bodyPr/>
              <a:lstStyle/>
              <a:p>
                <a:pPr>
                  <a:defRPr b="1"/>
                </a:pPr>
                <a:endParaRPr lang="pl-PL"/>
              </a:p>
            </c:txPr>
            <c:dLblPos val="inEnd"/>
            <c:showVal val="1"/>
          </c:dLbls>
          <c:cat>
            <c:numRef>
              <c:f>Arkusz1!$A$2:$A$4</c:f>
              <c:numCache>
                <c:formatCode>General</c:formatCode>
                <c:ptCount val="3"/>
                <c:pt idx="0">
                  <c:v>2025</c:v>
                </c:pt>
                <c:pt idx="1">
                  <c:v>2030</c:v>
                </c:pt>
                <c:pt idx="2">
                  <c:v>2035</c:v>
                </c:pt>
              </c:numCache>
            </c:numRef>
          </c:cat>
          <c:val>
            <c:numRef>
              <c:f>Arkusz1!$B$2:$B$4</c:f>
              <c:numCache>
                <c:formatCode>General</c:formatCode>
                <c:ptCount val="3"/>
                <c:pt idx="0">
                  <c:v>255</c:v>
                </c:pt>
                <c:pt idx="1">
                  <c:v>335</c:v>
                </c:pt>
                <c:pt idx="2">
                  <c:v>415</c:v>
                </c:pt>
              </c:numCache>
            </c:numRef>
          </c:val>
        </c:ser>
        <c:ser>
          <c:idx val="1"/>
          <c:order val="1"/>
          <c:tx>
            <c:strRef>
              <c:f>Arkusz1!$C$1</c:f>
              <c:strCache>
                <c:ptCount val="1"/>
                <c:pt idx="0">
                  <c:v>Wariant II</c:v>
                </c:pt>
              </c:strCache>
            </c:strRef>
          </c:tx>
          <c:spPr>
            <a:solidFill>
              <a:schemeClr val="accent2">
                <a:lumMod val="60000"/>
                <a:lumOff val="40000"/>
              </a:schemeClr>
            </a:solidFill>
          </c:spPr>
          <c:dLbls>
            <c:txPr>
              <a:bodyPr/>
              <a:lstStyle/>
              <a:p>
                <a:pPr>
                  <a:defRPr b="1"/>
                </a:pPr>
                <a:endParaRPr lang="pl-PL"/>
              </a:p>
            </c:txPr>
            <c:dLblPos val="inEnd"/>
            <c:showVal val="1"/>
          </c:dLbls>
          <c:cat>
            <c:numRef>
              <c:f>Arkusz1!$A$2:$A$4</c:f>
              <c:numCache>
                <c:formatCode>General</c:formatCode>
                <c:ptCount val="3"/>
                <c:pt idx="0">
                  <c:v>2025</c:v>
                </c:pt>
                <c:pt idx="1">
                  <c:v>2030</c:v>
                </c:pt>
                <c:pt idx="2">
                  <c:v>2035</c:v>
                </c:pt>
              </c:numCache>
            </c:numRef>
          </c:cat>
          <c:val>
            <c:numRef>
              <c:f>Arkusz1!$C$2:$C$4</c:f>
              <c:numCache>
                <c:formatCode>General</c:formatCode>
                <c:ptCount val="3"/>
                <c:pt idx="0">
                  <c:v>468</c:v>
                </c:pt>
                <c:pt idx="1">
                  <c:v>756</c:v>
                </c:pt>
                <c:pt idx="2">
                  <c:v>1122</c:v>
                </c:pt>
              </c:numCache>
            </c:numRef>
          </c:val>
        </c:ser>
        <c:axId val="195117056"/>
        <c:axId val="195118592"/>
      </c:barChart>
      <c:catAx>
        <c:axId val="195117056"/>
        <c:scaling>
          <c:orientation val="minMax"/>
        </c:scaling>
        <c:axPos val="b"/>
        <c:numFmt formatCode="General" sourceLinked="1"/>
        <c:tickLblPos val="nextTo"/>
        <c:crossAx val="195118592"/>
        <c:crosses val="autoZero"/>
        <c:auto val="1"/>
        <c:lblAlgn val="ctr"/>
        <c:lblOffset val="100"/>
      </c:catAx>
      <c:valAx>
        <c:axId val="195118592"/>
        <c:scaling>
          <c:orientation val="minMax"/>
        </c:scaling>
        <c:axPos val="l"/>
        <c:majorGridlines/>
        <c:title>
          <c:tx>
            <c:rich>
              <a:bodyPr rot="-5400000" vert="horz"/>
              <a:lstStyle/>
              <a:p>
                <a:pPr>
                  <a:defRPr/>
                </a:pPr>
                <a:r>
                  <a:rPr lang="pl-PL"/>
                  <a:t>zużycie gazu w tys.nm3</a:t>
                </a:r>
              </a:p>
            </c:rich>
          </c:tx>
          <c:layout>
            <c:manualLayout>
              <c:xMode val="edge"/>
              <c:yMode val="edge"/>
              <c:x val="2.5462962962962982E-2"/>
              <c:y val="0.21560679915010644"/>
            </c:manualLayout>
          </c:layout>
        </c:title>
        <c:numFmt formatCode="General" sourceLinked="1"/>
        <c:tickLblPos val="nextTo"/>
        <c:crossAx val="195117056"/>
        <c:crosses val="autoZero"/>
        <c:crossBetween val="between"/>
      </c:valAx>
      <c:spPr>
        <a:effectLst>
          <a:outerShdw blurRad="50800" dir="5400000" algn="ctr" rotWithShape="0">
            <a:srgbClr val="000000">
              <a:alpha val="43137"/>
            </a:srgbClr>
          </a:outerShdw>
        </a:effectLst>
      </c:spPr>
    </c:plotArea>
    <c:legend>
      <c:legendPos val="b"/>
      <c:layout>
        <c:manualLayout>
          <c:xMode val="edge"/>
          <c:yMode val="edge"/>
          <c:x val="0.35582379788733492"/>
          <c:y val="0.91219263121120098"/>
          <c:w val="0.28835223183309089"/>
          <c:h val="6.0503614522587533E-2"/>
        </c:manualLayout>
      </c:layout>
    </c:legend>
    <c:plotVisOnly val="1"/>
  </c:chart>
  <c:spPr>
    <a:ln>
      <a:noFill/>
    </a:ln>
  </c:spPr>
  <c:txPr>
    <a:bodyPr/>
    <a:lstStyle/>
    <a:p>
      <a:pPr>
        <a:defRPr sz="1100">
          <a:latin typeface="+mn-lt"/>
          <a:cs typeface="Times New Roman" pitchFamily="18" charset="0"/>
        </a:defRPr>
      </a:pPr>
      <a:endParaRPr lang="pl-PL"/>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23259131671041144"/>
          <c:y val="3.2152855893013386E-2"/>
          <c:w val="0.76740868328960121"/>
          <c:h val="0.73087301587302345"/>
        </c:manualLayout>
      </c:layout>
      <c:barChart>
        <c:barDir val="col"/>
        <c:grouping val="clustered"/>
        <c:ser>
          <c:idx val="0"/>
          <c:order val="0"/>
          <c:tx>
            <c:strRef>
              <c:f>Arkusz1!$B$1</c:f>
              <c:strCache>
                <c:ptCount val="1"/>
                <c:pt idx="0">
                  <c:v>przyrost naturalny</c:v>
                </c:pt>
              </c:strCache>
            </c:strRef>
          </c:tx>
          <c:spPr>
            <a:solidFill>
              <a:schemeClr val="accent6">
                <a:lumMod val="60000"/>
                <a:lumOff val="40000"/>
              </a:schemeClr>
            </a:solidFill>
          </c:spPr>
          <c:cat>
            <c:numRef>
              <c:f>Arkusz1!$A$2:$A$10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Arkusz1!$B$2:$B$10</c:f>
              <c:numCache>
                <c:formatCode>General</c:formatCode>
                <c:ptCount val="9"/>
                <c:pt idx="0">
                  <c:v>74</c:v>
                </c:pt>
                <c:pt idx="1">
                  <c:v>53</c:v>
                </c:pt>
                <c:pt idx="2">
                  <c:v>28</c:v>
                </c:pt>
                <c:pt idx="3">
                  <c:v>47</c:v>
                </c:pt>
                <c:pt idx="4">
                  <c:v>65</c:v>
                </c:pt>
                <c:pt idx="5">
                  <c:v>41</c:v>
                </c:pt>
                <c:pt idx="6">
                  <c:v>28</c:v>
                </c:pt>
                <c:pt idx="7">
                  <c:v>36</c:v>
                </c:pt>
                <c:pt idx="8">
                  <c:v>11</c:v>
                </c:pt>
              </c:numCache>
            </c:numRef>
          </c:val>
        </c:ser>
        <c:ser>
          <c:idx val="1"/>
          <c:order val="1"/>
          <c:tx>
            <c:strRef>
              <c:f>Arkusz1!$C$1</c:f>
              <c:strCache>
                <c:ptCount val="1"/>
                <c:pt idx="0">
                  <c:v>saldo migracji</c:v>
                </c:pt>
              </c:strCache>
            </c:strRef>
          </c:tx>
          <c:spPr>
            <a:solidFill>
              <a:schemeClr val="bg2">
                <a:lumMod val="50000"/>
              </a:schemeClr>
            </a:solidFill>
          </c:spPr>
          <c:cat>
            <c:numRef>
              <c:f>Arkusz1!$A$2:$A$10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Arkusz1!$C$2:$C$10</c:f>
              <c:numCache>
                <c:formatCode>General</c:formatCode>
                <c:ptCount val="9"/>
                <c:pt idx="0">
                  <c:v>-90</c:v>
                </c:pt>
                <c:pt idx="1">
                  <c:v>-97</c:v>
                </c:pt>
                <c:pt idx="2">
                  <c:v>-56</c:v>
                </c:pt>
                <c:pt idx="3">
                  <c:v>-64</c:v>
                </c:pt>
                <c:pt idx="4">
                  <c:v>-80</c:v>
                </c:pt>
                <c:pt idx="5">
                  <c:v>0</c:v>
                </c:pt>
                <c:pt idx="6">
                  <c:v>-65</c:v>
                </c:pt>
                <c:pt idx="7">
                  <c:v>-106</c:v>
                </c:pt>
                <c:pt idx="8">
                  <c:v>-76</c:v>
                </c:pt>
              </c:numCache>
            </c:numRef>
          </c:val>
        </c:ser>
        <c:axId val="191180160"/>
        <c:axId val="191182336"/>
      </c:barChart>
      <c:catAx>
        <c:axId val="191180160"/>
        <c:scaling>
          <c:orientation val="minMax"/>
        </c:scaling>
        <c:axPos val="b"/>
        <c:numFmt formatCode="General" sourceLinked="1"/>
        <c:tickLblPos val="nextTo"/>
        <c:crossAx val="191182336"/>
        <c:crosses val="autoZero"/>
        <c:auto val="1"/>
        <c:lblAlgn val="ctr"/>
        <c:lblOffset val="100"/>
      </c:catAx>
      <c:valAx>
        <c:axId val="191182336"/>
        <c:scaling>
          <c:orientation val="minMax"/>
        </c:scaling>
        <c:axPos val="l"/>
        <c:majorGridlines/>
        <c:numFmt formatCode="General" sourceLinked="1"/>
        <c:tickLblPos val="nextTo"/>
        <c:txPr>
          <a:bodyPr/>
          <a:lstStyle/>
          <a:p>
            <a:pPr>
              <a:defRPr b="1"/>
            </a:pPr>
            <a:endParaRPr lang="pl-PL"/>
          </a:p>
        </c:txPr>
        <c:crossAx val="191180160"/>
        <c:crosses val="autoZero"/>
        <c:crossBetween val="between"/>
      </c:valAx>
      <c:dTable>
        <c:showHorzBorder val="1"/>
        <c:showVertBorder val="1"/>
        <c:showOutline val="1"/>
        <c:showKeys val="1"/>
      </c:dTable>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barChart>
        <c:barDir val="col"/>
        <c:grouping val="clustered"/>
        <c:ser>
          <c:idx val="0"/>
          <c:order val="0"/>
          <c:tx>
            <c:strRef>
              <c:f>Arkusz1!$B$1</c:f>
              <c:strCache>
                <c:ptCount val="1"/>
                <c:pt idx="0">
                  <c:v>Liczba mieszkań</c:v>
                </c:pt>
              </c:strCache>
            </c:strRef>
          </c:tx>
          <c:spPr>
            <a:solidFill>
              <a:schemeClr val="bg2">
                <a:lumMod val="50000"/>
              </a:schemeClr>
            </a:solidFill>
          </c:spPr>
          <c:dLbls>
            <c:txPr>
              <a:bodyPr/>
              <a:lstStyle/>
              <a:p>
                <a:pPr>
                  <a:defRPr sz="1100" b="1"/>
                </a:pPr>
                <a:endParaRPr lang="pl-PL"/>
              </a:p>
            </c:txPr>
            <c:dLblPos val="outEnd"/>
            <c:showVal val="1"/>
          </c:dLbls>
          <c:cat>
            <c:numRef>
              <c:f>Arkusz1!$A$2:$A$10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Arkusz1!$B$2:$B$10</c:f>
              <c:numCache>
                <c:formatCode>General</c:formatCode>
                <c:ptCount val="9"/>
                <c:pt idx="0">
                  <c:v>3794</c:v>
                </c:pt>
                <c:pt idx="1">
                  <c:v>3806</c:v>
                </c:pt>
                <c:pt idx="2">
                  <c:v>3812</c:v>
                </c:pt>
                <c:pt idx="3">
                  <c:v>3825</c:v>
                </c:pt>
                <c:pt idx="4">
                  <c:v>3848</c:v>
                </c:pt>
                <c:pt idx="5">
                  <c:v>3870</c:v>
                </c:pt>
                <c:pt idx="6">
                  <c:v>3882</c:v>
                </c:pt>
                <c:pt idx="7">
                  <c:v>3904</c:v>
                </c:pt>
                <c:pt idx="8">
                  <c:v>3927</c:v>
                </c:pt>
              </c:numCache>
            </c:numRef>
          </c:val>
        </c:ser>
        <c:dLbls>
          <c:showVal val="1"/>
        </c:dLbls>
        <c:axId val="190218240"/>
        <c:axId val="190219776"/>
      </c:barChart>
      <c:catAx>
        <c:axId val="190218240"/>
        <c:scaling>
          <c:orientation val="minMax"/>
        </c:scaling>
        <c:axPos val="b"/>
        <c:numFmt formatCode="General" sourceLinked="1"/>
        <c:tickLblPos val="nextTo"/>
        <c:txPr>
          <a:bodyPr/>
          <a:lstStyle/>
          <a:p>
            <a:pPr>
              <a:defRPr b="1"/>
            </a:pPr>
            <a:endParaRPr lang="pl-PL"/>
          </a:p>
        </c:txPr>
        <c:crossAx val="190219776"/>
        <c:crosses val="autoZero"/>
        <c:auto val="1"/>
        <c:lblAlgn val="ctr"/>
        <c:lblOffset val="100"/>
      </c:catAx>
      <c:valAx>
        <c:axId val="190219776"/>
        <c:scaling>
          <c:orientation val="minMax"/>
        </c:scaling>
        <c:axPos val="l"/>
        <c:majorGridlines/>
        <c:numFmt formatCode="General" sourceLinked="1"/>
        <c:tickLblPos val="nextTo"/>
        <c:txPr>
          <a:bodyPr/>
          <a:lstStyle/>
          <a:p>
            <a:pPr>
              <a:defRPr b="1"/>
            </a:pPr>
            <a:endParaRPr lang="pl-PL"/>
          </a:p>
        </c:txPr>
        <c:crossAx val="190218240"/>
        <c:crosses val="autoZero"/>
        <c:crossBetween val="between"/>
      </c:valAx>
    </c:plotArea>
    <c:legend>
      <c:legendPos val="b"/>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manualLayout>
          <c:layoutTarget val="inner"/>
          <c:xMode val="edge"/>
          <c:yMode val="edge"/>
          <c:x val="0.23096693642461374"/>
          <c:y val="0.11904761904761912"/>
          <c:w val="0.41203703703703703"/>
          <c:h val="0.70634920634922516"/>
        </c:manualLayout>
      </c:layout>
      <c:pieChart>
        <c:varyColors val="1"/>
        <c:ser>
          <c:idx val="0"/>
          <c:order val="0"/>
          <c:tx>
            <c:strRef>
              <c:f>Arkusz1!$B$1</c:f>
              <c:strCache>
                <c:ptCount val="1"/>
                <c:pt idx="0">
                  <c:v>mieszkania</c:v>
                </c:pt>
              </c:strCache>
            </c:strRef>
          </c:tx>
          <c:dPt>
            <c:idx val="0"/>
            <c:spPr>
              <a:solidFill>
                <a:schemeClr val="accent2"/>
              </a:solidFill>
            </c:spPr>
          </c:dPt>
          <c:dPt>
            <c:idx val="1"/>
            <c:spPr>
              <a:solidFill>
                <a:srgbClr val="92D050"/>
              </a:solidFill>
            </c:spPr>
          </c:dPt>
          <c:dPt>
            <c:idx val="2"/>
            <c:spPr>
              <a:solidFill>
                <a:schemeClr val="accent5">
                  <a:lumMod val="40000"/>
                  <a:lumOff val="60000"/>
                </a:schemeClr>
              </a:solidFill>
            </c:spPr>
          </c:dPt>
          <c:dLbls>
            <c:dLbl>
              <c:idx val="0"/>
              <c:layout>
                <c:manualLayout>
                  <c:x val="2.3431029454651611E-2"/>
                  <c:y val="1.5302774653168953E-2"/>
                </c:manualLayout>
              </c:layout>
              <c:showPercent val="1"/>
            </c:dLbl>
            <c:dLbl>
              <c:idx val="1"/>
              <c:layout>
                <c:manualLayout>
                  <c:x val="1.1392534266550279E-2"/>
                  <c:y val="-1.759256156810186E-2"/>
                </c:manualLayout>
              </c:layout>
              <c:showPercent val="1"/>
            </c:dLbl>
            <c:dLbl>
              <c:idx val="2"/>
              <c:layout>
                <c:manualLayout>
                  <c:x val="-5.0597841936427044E-4"/>
                  <c:y val="-2.1217347831522095E-2"/>
                </c:manualLayout>
              </c:layout>
              <c:showPercent val="1"/>
            </c:dLbl>
            <c:txPr>
              <a:bodyPr/>
              <a:lstStyle/>
              <a:p>
                <a:pPr>
                  <a:defRPr sz="1200" b="1"/>
                </a:pPr>
                <a:endParaRPr lang="pl-PL"/>
              </a:p>
            </c:txPr>
            <c:showPercent val="1"/>
            <c:showLeaderLines val="1"/>
          </c:dLbls>
          <c:cat>
            <c:strRef>
              <c:f>Arkusz1!$A$2:$A$4</c:f>
              <c:strCache>
                <c:ptCount val="3"/>
                <c:pt idx="0">
                  <c:v>przed 1970</c:v>
                </c:pt>
                <c:pt idx="1">
                  <c:v>1971-1988</c:v>
                </c:pt>
                <c:pt idx="2">
                  <c:v>1989 -2018</c:v>
                </c:pt>
              </c:strCache>
            </c:strRef>
          </c:cat>
          <c:val>
            <c:numRef>
              <c:f>Arkusz1!$B$2:$B$4</c:f>
              <c:numCache>
                <c:formatCode>General</c:formatCode>
                <c:ptCount val="3"/>
                <c:pt idx="0">
                  <c:v>552</c:v>
                </c:pt>
                <c:pt idx="1">
                  <c:v>1859</c:v>
                </c:pt>
                <c:pt idx="2">
                  <c:v>1287</c:v>
                </c:pt>
              </c:numCache>
            </c:numRef>
          </c:val>
        </c:ser>
        <c:firstSliceAng val="0"/>
      </c:pieChart>
    </c:plotArea>
    <c:legend>
      <c:legendPos val="r"/>
      <c:txPr>
        <a:bodyPr/>
        <a:lstStyle/>
        <a:p>
          <a:pPr>
            <a:defRPr sz="1100"/>
          </a:pPr>
          <a:endParaRPr lang="pl-PL"/>
        </a:p>
      </c:txPr>
    </c:legend>
    <c:plotVisOnly val="1"/>
  </c:chart>
  <c:spPr>
    <a:ln>
      <a:noFill/>
    </a:ln>
  </c:spPr>
  <c:txPr>
    <a:bodyPr/>
    <a:lstStyle/>
    <a:p>
      <a:pPr>
        <a:defRPr>
          <a:latin typeface="+mn-lt"/>
        </a:defRPr>
      </a:pPr>
      <a:endParaRPr lang="pl-PL"/>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manualLayout>
          <c:layoutTarget val="inner"/>
          <c:xMode val="edge"/>
          <c:yMode val="edge"/>
          <c:x val="0.10765620443278077"/>
          <c:y val="4.3650793650793704E-2"/>
          <c:w val="0.85762157334502542"/>
          <c:h val="0.6630786776653067"/>
        </c:manualLayout>
      </c:layout>
      <c:barChart>
        <c:barDir val="col"/>
        <c:grouping val="clustered"/>
        <c:ser>
          <c:idx val="0"/>
          <c:order val="0"/>
          <c:tx>
            <c:strRef>
              <c:f>Arkusz1!$B$1</c:f>
              <c:strCache>
                <c:ptCount val="1"/>
                <c:pt idx="0">
                  <c:v>Średnia powierzchnia użytkowa mieszkania (w m2) </c:v>
                </c:pt>
              </c:strCache>
            </c:strRef>
          </c:tx>
          <c:spPr>
            <a:solidFill>
              <a:schemeClr val="bg2">
                <a:lumMod val="75000"/>
              </a:schemeClr>
            </a:solidFill>
          </c:spPr>
          <c:dLbls>
            <c:txPr>
              <a:bodyPr/>
              <a:lstStyle/>
              <a:p>
                <a:pPr>
                  <a:defRPr b="1">
                    <a:latin typeface="+mn-lt"/>
                  </a:defRPr>
                </a:pPr>
                <a:endParaRPr lang="pl-PL"/>
              </a:p>
            </c:txPr>
            <c:dLblPos val="ctr"/>
            <c:showVal val="1"/>
          </c:dLbls>
          <c:cat>
            <c:strRef>
              <c:f>Arkusz1!$A$2:$A$8</c:f>
              <c:strCache>
                <c:ptCount val="7"/>
                <c:pt idx="0">
                  <c:v>Przed 1918</c:v>
                </c:pt>
                <c:pt idx="1">
                  <c:v>1918-1944</c:v>
                </c:pt>
                <c:pt idx="2">
                  <c:v>1945-1970</c:v>
                </c:pt>
                <c:pt idx="3">
                  <c:v>1971-1978</c:v>
                </c:pt>
                <c:pt idx="4">
                  <c:v>1979-1988</c:v>
                </c:pt>
                <c:pt idx="5">
                  <c:v>1989-2002</c:v>
                </c:pt>
                <c:pt idx="6">
                  <c:v>2003-2018</c:v>
                </c:pt>
              </c:strCache>
            </c:strRef>
          </c:cat>
          <c:val>
            <c:numRef>
              <c:f>Arkusz1!$B$2:$B$8</c:f>
              <c:numCache>
                <c:formatCode>General</c:formatCode>
                <c:ptCount val="7"/>
                <c:pt idx="0">
                  <c:v>48.8</c:v>
                </c:pt>
                <c:pt idx="1">
                  <c:v>50.6</c:v>
                </c:pt>
                <c:pt idx="2">
                  <c:v>67</c:v>
                </c:pt>
                <c:pt idx="3">
                  <c:v>65</c:v>
                </c:pt>
                <c:pt idx="4">
                  <c:v>73.8</c:v>
                </c:pt>
                <c:pt idx="5">
                  <c:v>98.6</c:v>
                </c:pt>
                <c:pt idx="6">
                  <c:v>144.80000000000001</c:v>
                </c:pt>
              </c:numCache>
            </c:numRef>
          </c:val>
        </c:ser>
        <c:ser>
          <c:idx val="1"/>
          <c:order val="1"/>
          <c:tx>
            <c:strRef>
              <c:f>Arkusz1!$C$1</c:f>
              <c:strCache>
                <c:ptCount val="1"/>
                <c:pt idx="0">
                  <c:v>Seria 2</c:v>
                </c:pt>
              </c:strCache>
            </c:strRef>
          </c:tx>
          <c:cat>
            <c:strRef>
              <c:f>Arkusz1!$A$2:$A$8</c:f>
              <c:strCache>
                <c:ptCount val="7"/>
                <c:pt idx="0">
                  <c:v>Przed 1918</c:v>
                </c:pt>
                <c:pt idx="1">
                  <c:v>1918-1944</c:v>
                </c:pt>
                <c:pt idx="2">
                  <c:v>1945-1970</c:v>
                </c:pt>
                <c:pt idx="3">
                  <c:v>1971-1978</c:v>
                </c:pt>
                <c:pt idx="4">
                  <c:v>1979-1988</c:v>
                </c:pt>
                <c:pt idx="5">
                  <c:v>1989-2002</c:v>
                </c:pt>
                <c:pt idx="6">
                  <c:v>2003-2018</c:v>
                </c:pt>
              </c:strCache>
            </c:strRef>
          </c:cat>
          <c:val>
            <c:numRef>
              <c:f>Arkusz1!$C$2:$C$8</c:f>
            </c:numRef>
          </c:val>
        </c:ser>
        <c:ser>
          <c:idx val="2"/>
          <c:order val="2"/>
          <c:tx>
            <c:strRef>
              <c:f>Arkusz1!$D$1</c:f>
              <c:strCache>
                <c:ptCount val="1"/>
                <c:pt idx="0">
                  <c:v>Seria 3</c:v>
                </c:pt>
              </c:strCache>
            </c:strRef>
          </c:tx>
          <c:cat>
            <c:strRef>
              <c:f>Arkusz1!$A$2:$A$8</c:f>
              <c:strCache>
                <c:ptCount val="7"/>
                <c:pt idx="0">
                  <c:v>Przed 1918</c:v>
                </c:pt>
                <c:pt idx="1">
                  <c:v>1918-1944</c:v>
                </c:pt>
                <c:pt idx="2">
                  <c:v>1945-1970</c:v>
                </c:pt>
                <c:pt idx="3">
                  <c:v>1971-1978</c:v>
                </c:pt>
                <c:pt idx="4">
                  <c:v>1979-1988</c:v>
                </c:pt>
                <c:pt idx="5">
                  <c:v>1989-2002</c:v>
                </c:pt>
                <c:pt idx="6">
                  <c:v>2003-2018</c:v>
                </c:pt>
              </c:strCache>
            </c:strRef>
          </c:cat>
          <c:val>
            <c:numRef>
              <c:f>Arkusz1!$D$2:$D$8</c:f>
            </c:numRef>
          </c:val>
        </c:ser>
        <c:axId val="192595840"/>
        <c:axId val="192606208"/>
      </c:barChart>
      <c:catAx>
        <c:axId val="192595840"/>
        <c:scaling>
          <c:orientation val="minMax"/>
        </c:scaling>
        <c:axPos val="b"/>
        <c:title>
          <c:tx>
            <c:rich>
              <a:bodyPr/>
              <a:lstStyle/>
              <a:p>
                <a:pPr>
                  <a:defRPr>
                    <a:latin typeface="+mn-lt"/>
                  </a:defRPr>
                </a:pPr>
                <a:r>
                  <a:rPr lang="pl-PL">
                    <a:latin typeface="+mn-lt"/>
                  </a:rPr>
                  <a:t>okres budowy </a:t>
                </a:r>
              </a:p>
              <a:p>
                <a:pPr>
                  <a:defRPr>
                    <a:latin typeface="+mn-lt"/>
                  </a:defRPr>
                </a:pPr>
                <a:endParaRPr lang="pl-PL">
                  <a:latin typeface="+mn-lt"/>
                </a:endParaRPr>
              </a:p>
            </c:rich>
          </c:tx>
        </c:title>
        <c:tickLblPos val="nextTo"/>
        <c:txPr>
          <a:bodyPr/>
          <a:lstStyle/>
          <a:p>
            <a:pPr>
              <a:defRPr b="1">
                <a:latin typeface="+mn-lt"/>
              </a:defRPr>
            </a:pPr>
            <a:endParaRPr lang="pl-PL"/>
          </a:p>
        </c:txPr>
        <c:crossAx val="192606208"/>
        <c:crosses val="autoZero"/>
        <c:auto val="1"/>
        <c:lblAlgn val="ctr"/>
        <c:lblOffset val="100"/>
      </c:catAx>
      <c:valAx>
        <c:axId val="192606208"/>
        <c:scaling>
          <c:orientation val="minMax"/>
        </c:scaling>
        <c:axPos val="l"/>
        <c:majorGridlines/>
        <c:title>
          <c:tx>
            <c:rich>
              <a:bodyPr rot="-5400000" vert="horz"/>
              <a:lstStyle/>
              <a:p>
                <a:pPr>
                  <a:defRPr>
                    <a:latin typeface="+mn-lt"/>
                  </a:defRPr>
                </a:pPr>
                <a:r>
                  <a:rPr lang="pl-PL" b="0">
                    <a:latin typeface="+mn-lt"/>
                  </a:rPr>
                  <a:t>Powierzchnia użytkowa (m</a:t>
                </a:r>
                <a:r>
                  <a:rPr lang="pl-PL" b="0" baseline="30000">
                    <a:latin typeface="+mn-lt"/>
                  </a:rPr>
                  <a:t>2</a:t>
                </a:r>
                <a:r>
                  <a:rPr lang="pl-PL">
                    <a:latin typeface="+mn-lt"/>
                  </a:rPr>
                  <a:t>)</a:t>
                </a:r>
              </a:p>
            </c:rich>
          </c:tx>
        </c:title>
        <c:numFmt formatCode="General" sourceLinked="1"/>
        <c:tickLblPos val="nextTo"/>
        <c:txPr>
          <a:bodyPr/>
          <a:lstStyle/>
          <a:p>
            <a:pPr>
              <a:defRPr b="1">
                <a:latin typeface="+mn-lt"/>
              </a:defRPr>
            </a:pPr>
            <a:endParaRPr lang="pl-PL"/>
          </a:p>
        </c:txPr>
        <c:crossAx val="192595840"/>
        <c:crosses val="autoZero"/>
        <c:crossBetween val="between"/>
      </c:valAx>
    </c:plotArea>
    <c:legend>
      <c:legendPos val="b"/>
      <c:layout>
        <c:manualLayout>
          <c:xMode val="edge"/>
          <c:yMode val="edge"/>
          <c:x val="0.20003299066783423"/>
          <c:y val="0.92633962121641267"/>
          <c:w val="0.60919309565471791"/>
          <c:h val="7.1757592800899883E-2"/>
        </c:manualLayout>
      </c:layout>
      <c:txPr>
        <a:bodyPr/>
        <a:lstStyle/>
        <a:p>
          <a:pPr>
            <a:defRPr b="0">
              <a:latin typeface="+mn-lt"/>
            </a:defRPr>
          </a:pPr>
          <a:endParaRPr lang="pl-PL"/>
        </a:p>
      </c:txPr>
    </c:legend>
    <c:plotVisOnly val="1"/>
  </c:chart>
  <c:spPr>
    <a:ln>
      <a:noFill/>
    </a:ln>
  </c:spPr>
  <c:txPr>
    <a:bodyPr/>
    <a:lstStyle/>
    <a:p>
      <a:pPr>
        <a:defRPr>
          <a:latin typeface="Times New Roman" pitchFamily="18" charset="0"/>
          <a:cs typeface="Times New Roman" pitchFamily="18" charset="0"/>
        </a:defRPr>
      </a:pPr>
      <a:endParaRPr lang="pl-PL"/>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barChart>
        <c:barDir val="col"/>
        <c:grouping val="clustered"/>
        <c:ser>
          <c:idx val="0"/>
          <c:order val="0"/>
          <c:tx>
            <c:strRef>
              <c:f>Arkusz1!$B$1</c:f>
              <c:strCache>
                <c:ptCount val="1"/>
                <c:pt idx="0">
                  <c:v>w kWh/m2 rok</c:v>
                </c:pt>
              </c:strCache>
            </c:strRef>
          </c:tx>
          <c:spPr>
            <a:solidFill>
              <a:schemeClr val="accent1">
                <a:lumMod val="60000"/>
                <a:lumOff val="40000"/>
              </a:schemeClr>
            </a:solidFill>
          </c:spPr>
          <c:dLbls>
            <c:txPr>
              <a:bodyPr/>
              <a:lstStyle/>
              <a:p>
                <a:pPr>
                  <a:defRPr b="1"/>
                </a:pPr>
                <a:endParaRPr lang="pl-PL"/>
              </a:p>
            </c:txPr>
            <c:dLblPos val="inEnd"/>
            <c:showVal val="1"/>
          </c:dLbls>
          <c:cat>
            <c:strRef>
              <c:f>Arkusz1!$A$2:$A$9</c:f>
              <c:strCache>
                <c:ptCount val="8"/>
                <c:pt idx="0">
                  <c:v>do 1966</c:v>
                </c:pt>
                <c:pt idx="1">
                  <c:v>1967-1985</c:v>
                </c:pt>
                <c:pt idx="2">
                  <c:v>1986-1992</c:v>
                </c:pt>
                <c:pt idx="3">
                  <c:v>1993-1997</c:v>
                </c:pt>
                <c:pt idx="4">
                  <c:v>1998-2007</c:v>
                </c:pt>
                <c:pt idx="5">
                  <c:v>Budynek energooszczędny</c:v>
                </c:pt>
                <c:pt idx="6">
                  <c:v>Budynek niskoenergetyczny</c:v>
                </c:pt>
                <c:pt idx="7">
                  <c:v>Budynek pasywny </c:v>
                </c:pt>
              </c:strCache>
            </c:strRef>
          </c:cat>
          <c:val>
            <c:numRef>
              <c:f>Arkusz1!$B$2:$B$9</c:f>
              <c:numCache>
                <c:formatCode>General</c:formatCode>
                <c:ptCount val="8"/>
                <c:pt idx="0">
                  <c:v>350</c:v>
                </c:pt>
                <c:pt idx="1">
                  <c:v>260</c:v>
                </c:pt>
                <c:pt idx="2">
                  <c:v>200</c:v>
                </c:pt>
                <c:pt idx="3">
                  <c:v>160</c:v>
                </c:pt>
                <c:pt idx="4">
                  <c:v>120</c:v>
                </c:pt>
                <c:pt idx="5">
                  <c:v>80</c:v>
                </c:pt>
                <c:pt idx="6">
                  <c:v>45</c:v>
                </c:pt>
                <c:pt idx="7">
                  <c:v>15</c:v>
                </c:pt>
              </c:numCache>
            </c:numRef>
          </c:val>
        </c:ser>
        <c:dLbls>
          <c:showVal val="1"/>
        </c:dLbls>
        <c:axId val="194482176"/>
        <c:axId val="194483712"/>
      </c:barChart>
      <c:catAx>
        <c:axId val="194482176"/>
        <c:scaling>
          <c:orientation val="minMax"/>
        </c:scaling>
        <c:axPos val="b"/>
        <c:tickLblPos val="nextTo"/>
        <c:txPr>
          <a:bodyPr rot="-5400000" vert="horz"/>
          <a:lstStyle/>
          <a:p>
            <a:pPr>
              <a:defRPr/>
            </a:pPr>
            <a:endParaRPr lang="pl-PL"/>
          </a:p>
        </c:txPr>
        <c:crossAx val="194483712"/>
        <c:crosses val="autoZero"/>
        <c:auto val="1"/>
        <c:lblAlgn val="ctr"/>
        <c:lblOffset val="100"/>
      </c:catAx>
      <c:valAx>
        <c:axId val="194483712"/>
        <c:scaling>
          <c:orientation val="minMax"/>
        </c:scaling>
        <c:axPos val="l"/>
        <c:majorGridlines/>
        <c:numFmt formatCode="General" sourceLinked="1"/>
        <c:tickLblPos val="nextTo"/>
        <c:crossAx val="194482176"/>
        <c:crosses val="autoZero"/>
        <c:crossBetween val="between"/>
      </c:valAx>
    </c:plotArea>
    <c:legend>
      <c:legendPos val="b"/>
    </c:legend>
    <c:plotVisOnly val="1"/>
  </c:chart>
  <c:spPr>
    <a:ln>
      <a:noFill/>
    </a:ln>
  </c:spPr>
  <c:txPr>
    <a:bodyPr/>
    <a:lstStyle/>
    <a:p>
      <a:pPr>
        <a:defRPr>
          <a:latin typeface="+mn-lt"/>
        </a:defRPr>
      </a:pPr>
      <a:endParaRPr lang="pl-PL"/>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manualLayout>
          <c:layoutTarget val="inner"/>
          <c:xMode val="edge"/>
          <c:yMode val="edge"/>
          <c:x val="0.31192816202418466"/>
          <c:y val="7.2400012498437694E-2"/>
          <c:w val="0.33884252400430626"/>
          <c:h val="0.61280746156730403"/>
        </c:manualLayout>
      </c:layout>
      <c:pieChart>
        <c:varyColors val="1"/>
        <c:ser>
          <c:idx val="0"/>
          <c:order val="0"/>
          <c:tx>
            <c:strRef>
              <c:f>Arkusz1!$B$1</c:f>
              <c:strCache>
                <c:ptCount val="1"/>
                <c:pt idx="0">
                  <c:v>Struktura zużycia energii elektrycznej na terenie miasta </c:v>
                </c:pt>
              </c:strCache>
            </c:strRef>
          </c:tx>
          <c:spPr>
            <a:solidFill>
              <a:schemeClr val="accent3">
                <a:lumMod val="20000"/>
                <a:lumOff val="80000"/>
              </a:schemeClr>
            </a:solidFill>
          </c:spPr>
          <c:dPt>
            <c:idx val="0"/>
            <c:spPr>
              <a:solidFill>
                <a:schemeClr val="accent2">
                  <a:lumMod val="60000"/>
                  <a:lumOff val="40000"/>
                </a:schemeClr>
              </a:solidFill>
              <a:ln w="25400" cap="flat" cmpd="sng" algn="ctr">
                <a:solidFill>
                  <a:schemeClr val="dk1"/>
                </a:solidFill>
                <a:prstDash val="solid"/>
              </a:ln>
              <a:effectLst/>
            </c:spPr>
          </c:dPt>
          <c:dPt>
            <c:idx val="1"/>
            <c:spPr>
              <a:solidFill>
                <a:schemeClr val="accent3">
                  <a:lumMod val="20000"/>
                  <a:lumOff val="80000"/>
                </a:schemeClr>
              </a:solidFill>
              <a:ln w="25400" cap="flat" cmpd="sng" algn="ctr">
                <a:solidFill>
                  <a:schemeClr val="dk1"/>
                </a:solidFill>
                <a:prstDash val="solid"/>
              </a:ln>
              <a:effectLst/>
            </c:spPr>
          </c:dPt>
          <c:dLbls>
            <c:dLbl>
              <c:idx val="0"/>
              <c:layout>
                <c:manualLayout>
                  <c:x val="-1.4674435580357723E-2"/>
                  <c:y val="-6.5304336957880448E-4"/>
                </c:manualLayout>
              </c:layout>
              <c:showPercent val="1"/>
            </c:dLbl>
            <c:dLbl>
              <c:idx val="1"/>
              <c:layout>
                <c:manualLayout>
                  <c:x val="-9.3952082100544065E-2"/>
                  <c:y val="-0.19847706536682921"/>
                </c:manualLayout>
              </c:layout>
              <c:showPercent val="1"/>
            </c:dLbl>
            <c:txPr>
              <a:bodyPr/>
              <a:lstStyle/>
              <a:p>
                <a:pPr>
                  <a:defRPr sz="1100" b="1">
                    <a:latin typeface="+mn-lt"/>
                    <a:cs typeface="Times New Roman" pitchFamily="18" charset="0"/>
                  </a:defRPr>
                </a:pPr>
                <a:endParaRPr lang="pl-PL"/>
              </a:p>
            </c:txPr>
            <c:showPercent val="1"/>
            <c:showLeaderLines val="1"/>
          </c:dLbls>
          <c:cat>
            <c:strRef>
              <c:f>Arkusz1!$A$2:$A$3</c:f>
              <c:strCache>
                <c:ptCount val="2"/>
                <c:pt idx="0">
                  <c:v>Średnie napięcie</c:v>
                </c:pt>
                <c:pt idx="1">
                  <c:v>Niskie napięcie</c:v>
                </c:pt>
              </c:strCache>
            </c:strRef>
          </c:cat>
          <c:val>
            <c:numRef>
              <c:f>Arkusz1!$B$2:$B$3</c:f>
              <c:numCache>
                <c:formatCode>General</c:formatCode>
                <c:ptCount val="2"/>
                <c:pt idx="0">
                  <c:v>2642.8</c:v>
                </c:pt>
                <c:pt idx="1">
                  <c:v>14256.3</c:v>
                </c:pt>
              </c:numCache>
            </c:numRef>
          </c:val>
        </c:ser>
        <c:firstSliceAng val="0"/>
      </c:pieChart>
    </c:plotArea>
    <c:legend>
      <c:legendPos val="b"/>
      <c:layout>
        <c:manualLayout>
          <c:xMode val="edge"/>
          <c:yMode val="edge"/>
          <c:x val="0.29382682348470096"/>
          <c:y val="0.72982970878640174"/>
          <c:w val="0.39479286976127842"/>
          <c:h val="8.3197209044521603E-2"/>
        </c:manualLayout>
      </c:layout>
      <c:txPr>
        <a:bodyPr/>
        <a:lstStyle/>
        <a:p>
          <a:pPr>
            <a:defRPr>
              <a:latin typeface="+mn-lt"/>
              <a:cs typeface="Times New Roman" pitchFamily="18" charset="0"/>
            </a:defRPr>
          </a:pPr>
          <a:endParaRPr lang="pl-PL"/>
        </a:p>
      </c:txP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stacked"/>
        <c:ser>
          <c:idx val="0"/>
          <c:order val="0"/>
          <c:tx>
            <c:strRef>
              <c:f>Arkusz1!$B$1</c:f>
              <c:strCache>
                <c:ptCount val="1"/>
                <c:pt idx="0">
                  <c:v>zużycie energii elektrycznej na średnim napięciu</c:v>
                </c:pt>
              </c:strCache>
            </c:strRef>
          </c:tx>
          <c:spPr>
            <a:solidFill>
              <a:schemeClr val="accent2">
                <a:lumMod val="75000"/>
              </a:schemeClr>
            </a:solidFill>
          </c:spPr>
          <c:cat>
            <c:numRef>
              <c:f>Arkusz1!$A$2:$A$5</c:f>
              <c:numCache>
                <c:formatCode>General</c:formatCode>
                <c:ptCount val="4"/>
                <c:pt idx="0">
                  <c:v>2015</c:v>
                </c:pt>
                <c:pt idx="1">
                  <c:v>2016</c:v>
                </c:pt>
                <c:pt idx="2">
                  <c:v>2017</c:v>
                </c:pt>
                <c:pt idx="3">
                  <c:v>2018</c:v>
                </c:pt>
              </c:numCache>
            </c:numRef>
          </c:cat>
          <c:val>
            <c:numRef>
              <c:f>Arkusz1!$B$2:$B$5</c:f>
              <c:numCache>
                <c:formatCode>General</c:formatCode>
                <c:ptCount val="4"/>
                <c:pt idx="0">
                  <c:v>3612.9</c:v>
                </c:pt>
                <c:pt idx="1">
                  <c:v>3012.6</c:v>
                </c:pt>
                <c:pt idx="2">
                  <c:v>2858.6</c:v>
                </c:pt>
                <c:pt idx="3">
                  <c:v>2642.8</c:v>
                </c:pt>
              </c:numCache>
            </c:numRef>
          </c:val>
        </c:ser>
        <c:ser>
          <c:idx val="1"/>
          <c:order val="1"/>
          <c:tx>
            <c:strRef>
              <c:f>Arkusz1!$C$1</c:f>
              <c:strCache>
                <c:ptCount val="1"/>
                <c:pt idx="0">
                  <c:v>zużycie energii elektrycznej na niskim napięciu</c:v>
                </c:pt>
              </c:strCache>
            </c:strRef>
          </c:tx>
          <c:spPr>
            <a:solidFill>
              <a:schemeClr val="accent5">
                <a:lumMod val="60000"/>
                <a:lumOff val="40000"/>
              </a:schemeClr>
            </a:solidFill>
          </c:spPr>
          <c:cat>
            <c:numRef>
              <c:f>Arkusz1!$A$2:$A$5</c:f>
              <c:numCache>
                <c:formatCode>General</c:formatCode>
                <c:ptCount val="4"/>
                <c:pt idx="0">
                  <c:v>2015</c:v>
                </c:pt>
                <c:pt idx="1">
                  <c:v>2016</c:v>
                </c:pt>
                <c:pt idx="2">
                  <c:v>2017</c:v>
                </c:pt>
                <c:pt idx="3">
                  <c:v>2018</c:v>
                </c:pt>
              </c:numCache>
            </c:numRef>
          </c:cat>
          <c:val>
            <c:numRef>
              <c:f>Arkusz1!$C$2:$C$5</c:f>
              <c:numCache>
                <c:formatCode>General</c:formatCode>
                <c:ptCount val="4"/>
                <c:pt idx="0">
                  <c:v>13930.8</c:v>
                </c:pt>
                <c:pt idx="1">
                  <c:v>13999.5</c:v>
                </c:pt>
                <c:pt idx="2">
                  <c:v>13235</c:v>
                </c:pt>
                <c:pt idx="3">
                  <c:v>14256.3</c:v>
                </c:pt>
              </c:numCache>
            </c:numRef>
          </c:val>
        </c:ser>
        <c:overlap val="100"/>
        <c:axId val="191115648"/>
        <c:axId val="191117184"/>
      </c:barChart>
      <c:catAx>
        <c:axId val="191115648"/>
        <c:scaling>
          <c:orientation val="minMax"/>
        </c:scaling>
        <c:axPos val="b"/>
        <c:numFmt formatCode="General" sourceLinked="1"/>
        <c:tickLblPos val="nextTo"/>
        <c:crossAx val="191117184"/>
        <c:crosses val="autoZero"/>
        <c:auto val="1"/>
        <c:lblAlgn val="ctr"/>
        <c:lblOffset val="100"/>
      </c:catAx>
      <c:valAx>
        <c:axId val="191117184"/>
        <c:scaling>
          <c:orientation val="minMax"/>
        </c:scaling>
        <c:axPos val="l"/>
        <c:majorGridlines/>
        <c:title>
          <c:tx>
            <c:rich>
              <a:bodyPr rot="-5400000" vert="horz"/>
              <a:lstStyle/>
              <a:p>
                <a:pPr>
                  <a:defRPr/>
                </a:pPr>
                <a:r>
                  <a:rPr lang="pl-PL"/>
                  <a:t>Energia elektryczna  [MWh]</a:t>
                </a:r>
              </a:p>
            </c:rich>
          </c:tx>
        </c:title>
        <c:numFmt formatCode="General" sourceLinked="1"/>
        <c:tickLblPos val="nextTo"/>
        <c:crossAx val="191115648"/>
        <c:crosses val="autoZero"/>
        <c:crossBetween val="between"/>
        <c:majorUnit val="3000"/>
        <c:minorUnit val="400"/>
      </c:valAx>
    </c:plotArea>
    <c:legend>
      <c:legendPos val="b"/>
    </c:legend>
    <c:plotVisOnly val="1"/>
  </c:chart>
  <c:spPr>
    <a:ln>
      <a:noFill/>
    </a:ln>
  </c:spPr>
  <c:txPr>
    <a:bodyPr/>
    <a:lstStyle/>
    <a:p>
      <a:pPr>
        <a:defRPr b="1"/>
      </a:pPr>
      <a:endParaRPr lang="pl-PL"/>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barChart>
        <c:barDir val="col"/>
        <c:grouping val="clustered"/>
        <c:ser>
          <c:idx val="0"/>
          <c:order val="0"/>
          <c:tx>
            <c:strRef>
              <c:f>Arkusz1!$B$1</c:f>
              <c:strCache>
                <c:ptCount val="1"/>
                <c:pt idx="0">
                  <c:v>Wariant I</c:v>
                </c:pt>
              </c:strCache>
            </c:strRef>
          </c:tx>
          <c:spPr>
            <a:solidFill>
              <a:schemeClr val="accent1">
                <a:lumMod val="40000"/>
                <a:lumOff val="60000"/>
              </a:schemeClr>
            </a:solidFill>
            <a:ln>
              <a:solidFill>
                <a:schemeClr val="accent1"/>
              </a:solidFill>
            </a:ln>
          </c:spPr>
          <c:dLbls>
            <c:dLbl>
              <c:idx val="0"/>
              <c:spPr/>
              <c:txPr>
                <a:bodyPr rot="-5400000" vert="horz"/>
                <a:lstStyle/>
                <a:p>
                  <a:pPr>
                    <a:defRPr b="1">
                      <a:latin typeface="+mn-lt"/>
                    </a:defRPr>
                  </a:pPr>
                  <a:endParaRPr lang="pl-PL"/>
                </a:p>
              </c:txPr>
            </c:dLbl>
            <c:dLbl>
              <c:idx val="1"/>
              <c:spPr/>
              <c:txPr>
                <a:bodyPr rot="-5400000" vert="horz"/>
                <a:lstStyle/>
                <a:p>
                  <a:pPr>
                    <a:defRPr b="1">
                      <a:latin typeface="+mn-lt"/>
                    </a:defRPr>
                  </a:pPr>
                  <a:endParaRPr lang="pl-PL"/>
                </a:p>
              </c:txPr>
            </c:dLbl>
            <c:dLbl>
              <c:idx val="2"/>
              <c:spPr/>
              <c:txPr>
                <a:bodyPr rot="-5400000" vert="horz"/>
                <a:lstStyle/>
                <a:p>
                  <a:pPr>
                    <a:defRPr b="1">
                      <a:latin typeface="+mn-lt"/>
                    </a:defRPr>
                  </a:pPr>
                  <a:endParaRPr lang="pl-PL"/>
                </a:p>
              </c:txPr>
            </c:dLbl>
            <c:dLbl>
              <c:idx val="3"/>
              <c:spPr/>
              <c:txPr>
                <a:bodyPr rot="-5400000" vert="horz"/>
                <a:lstStyle/>
                <a:p>
                  <a:pPr>
                    <a:defRPr b="1">
                      <a:latin typeface="+mn-lt"/>
                    </a:defRPr>
                  </a:pPr>
                  <a:endParaRPr lang="pl-PL"/>
                </a:p>
              </c:txPr>
            </c:dLbl>
            <c:txPr>
              <a:bodyPr/>
              <a:lstStyle/>
              <a:p>
                <a:pPr>
                  <a:defRPr b="1">
                    <a:latin typeface="+mn-lt"/>
                  </a:defRPr>
                </a:pPr>
                <a:endParaRPr lang="pl-PL"/>
              </a:p>
            </c:txPr>
            <c:dLblPos val="inEnd"/>
            <c:showVal val="1"/>
          </c:dLbls>
          <c:cat>
            <c:numRef>
              <c:f>Arkusz1!$A$2:$A$5</c:f>
              <c:numCache>
                <c:formatCode>General</c:formatCode>
                <c:ptCount val="4"/>
                <c:pt idx="0">
                  <c:v>2020</c:v>
                </c:pt>
                <c:pt idx="1">
                  <c:v>2025</c:v>
                </c:pt>
                <c:pt idx="2">
                  <c:v>2030</c:v>
                </c:pt>
                <c:pt idx="3">
                  <c:v>2035</c:v>
                </c:pt>
              </c:numCache>
            </c:numRef>
          </c:cat>
          <c:val>
            <c:numRef>
              <c:f>Arkusz1!$B$2:$B$5</c:f>
              <c:numCache>
                <c:formatCode>General</c:formatCode>
                <c:ptCount val="4"/>
                <c:pt idx="0">
                  <c:v>17562</c:v>
                </c:pt>
                <c:pt idx="1">
                  <c:v>19123</c:v>
                </c:pt>
                <c:pt idx="2">
                  <c:v>20914</c:v>
                </c:pt>
                <c:pt idx="3">
                  <c:v>22252</c:v>
                </c:pt>
              </c:numCache>
            </c:numRef>
          </c:val>
        </c:ser>
        <c:ser>
          <c:idx val="1"/>
          <c:order val="1"/>
          <c:tx>
            <c:strRef>
              <c:f>Arkusz1!$C$1</c:f>
              <c:strCache>
                <c:ptCount val="1"/>
                <c:pt idx="0">
                  <c:v>Wariant II</c:v>
                </c:pt>
              </c:strCache>
            </c:strRef>
          </c:tx>
          <c:spPr>
            <a:solidFill>
              <a:schemeClr val="accent2">
                <a:lumMod val="60000"/>
                <a:lumOff val="40000"/>
              </a:schemeClr>
            </a:solidFill>
            <a:ln>
              <a:solidFill>
                <a:sysClr val="windowText" lastClr="000000">
                  <a:alpha val="60000"/>
                </a:sysClr>
              </a:solidFill>
            </a:ln>
          </c:spPr>
          <c:dLbls>
            <c:txPr>
              <a:bodyPr rot="-5400000" vert="horz"/>
              <a:lstStyle/>
              <a:p>
                <a:pPr>
                  <a:defRPr b="1">
                    <a:latin typeface="+mn-lt"/>
                  </a:defRPr>
                </a:pPr>
                <a:endParaRPr lang="pl-PL"/>
              </a:p>
            </c:txPr>
            <c:dLblPos val="inEnd"/>
            <c:showVal val="1"/>
          </c:dLbls>
          <c:cat>
            <c:numRef>
              <c:f>Arkusz1!$A$2:$A$5</c:f>
              <c:numCache>
                <c:formatCode>General</c:formatCode>
                <c:ptCount val="4"/>
                <c:pt idx="0">
                  <c:v>2020</c:v>
                </c:pt>
                <c:pt idx="1">
                  <c:v>2025</c:v>
                </c:pt>
                <c:pt idx="2">
                  <c:v>2030</c:v>
                </c:pt>
                <c:pt idx="3">
                  <c:v>2035</c:v>
                </c:pt>
              </c:numCache>
            </c:numRef>
          </c:cat>
          <c:val>
            <c:numRef>
              <c:f>Arkusz1!$C$2:$C$5</c:f>
              <c:numCache>
                <c:formatCode>General</c:formatCode>
                <c:ptCount val="4"/>
                <c:pt idx="0">
                  <c:v>17127</c:v>
                </c:pt>
                <c:pt idx="1">
                  <c:v>17997</c:v>
                </c:pt>
                <c:pt idx="2">
                  <c:v>19190</c:v>
                </c:pt>
                <c:pt idx="3">
                  <c:v>21460</c:v>
                </c:pt>
              </c:numCache>
            </c:numRef>
          </c:val>
        </c:ser>
        <c:ser>
          <c:idx val="2"/>
          <c:order val="2"/>
          <c:tx>
            <c:strRef>
              <c:f>Arkusz1!$D$1</c:f>
              <c:strCache>
                <c:ptCount val="1"/>
                <c:pt idx="0">
                  <c:v>Wariant III</c:v>
                </c:pt>
              </c:strCache>
            </c:strRef>
          </c:tx>
          <c:spPr>
            <a:solidFill>
              <a:schemeClr val="accent3"/>
            </a:solidFill>
          </c:spPr>
          <c:dLbls>
            <c:txPr>
              <a:bodyPr rot="-5400000" vert="horz"/>
              <a:lstStyle/>
              <a:p>
                <a:pPr>
                  <a:defRPr b="1">
                    <a:latin typeface="+mn-lt"/>
                  </a:defRPr>
                </a:pPr>
                <a:endParaRPr lang="pl-PL"/>
              </a:p>
            </c:txPr>
            <c:dLblPos val="inEnd"/>
            <c:showVal val="1"/>
          </c:dLbls>
          <c:cat>
            <c:numRef>
              <c:f>Arkusz1!$A$2:$A$5</c:f>
              <c:numCache>
                <c:formatCode>General</c:formatCode>
                <c:ptCount val="4"/>
                <c:pt idx="0">
                  <c:v>2020</c:v>
                </c:pt>
                <c:pt idx="1">
                  <c:v>2025</c:v>
                </c:pt>
                <c:pt idx="2">
                  <c:v>2030</c:v>
                </c:pt>
                <c:pt idx="3">
                  <c:v>2035</c:v>
                </c:pt>
              </c:numCache>
            </c:numRef>
          </c:cat>
          <c:val>
            <c:numRef>
              <c:f>Arkusz1!$D$2:$D$5</c:f>
              <c:numCache>
                <c:formatCode>General</c:formatCode>
                <c:ptCount val="4"/>
                <c:pt idx="0">
                  <c:v>16403</c:v>
                </c:pt>
                <c:pt idx="1">
                  <c:v>17229</c:v>
                </c:pt>
                <c:pt idx="2">
                  <c:v>18375</c:v>
                </c:pt>
                <c:pt idx="3">
                  <c:v>20565</c:v>
                </c:pt>
              </c:numCache>
            </c:numRef>
          </c:val>
        </c:ser>
        <c:axId val="195229568"/>
        <c:axId val="195231104"/>
      </c:barChart>
      <c:catAx>
        <c:axId val="195229568"/>
        <c:scaling>
          <c:orientation val="minMax"/>
        </c:scaling>
        <c:axPos val="b"/>
        <c:numFmt formatCode="General" sourceLinked="1"/>
        <c:tickLblPos val="nextTo"/>
        <c:txPr>
          <a:bodyPr/>
          <a:lstStyle/>
          <a:p>
            <a:pPr>
              <a:defRPr sz="1100" b="1">
                <a:latin typeface="+mn-lt"/>
              </a:defRPr>
            </a:pPr>
            <a:endParaRPr lang="pl-PL"/>
          </a:p>
        </c:txPr>
        <c:crossAx val="195231104"/>
        <c:crosses val="autoZero"/>
        <c:auto val="1"/>
        <c:lblAlgn val="ctr"/>
        <c:lblOffset val="100"/>
      </c:catAx>
      <c:valAx>
        <c:axId val="195231104"/>
        <c:scaling>
          <c:orientation val="minMax"/>
        </c:scaling>
        <c:axPos val="l"/>
        <c:majorGridlines/>
        <c:numFmt formatCode="General" sourceLinked="1"/>
        <c:tickLblPos val="nextTo"/>
        <c:txPr>
          <a:bodyPr/>
          <a:lstStyle/>
          <a:p>
            <a:pPr>
              <a:defRPr b="1">
                <a:latin typeface="+mn-lt"/>
              </a:defRPr>
            </a:pPr>
            <a:endParaRPr lang="pl-PL"/>
          </a:p>
        </c:txPr>
        <c:crossAx val="195229568"/>
        <c:crosses val="autoZero"/>
        <c:crossBetween val="between"/>
      </c:valAx>
    </c:plotArea>
    <c:legend>
      <c:legendPos val="b"/>
      <c:txPr>
        <a:bodyPr/>
        <a:lstStyle/>
        <a:p>
          <a:pPr>
            <a:defRPr>
              <a:latin typeface="+mn-lt"/>
            </a:defRPr>
          </a:pPr>
          <a:endParaRPr lang="pl-PL"/>
        </a:p>
      </c:txPr>
    </c:legend>
    <c:plotVisOnly val="1"/>
  </c:chart>
  <c:spPr>
    <a:ln>
      <a:noFill/>
    </a:ln>
  </c:spPr>
  <c:txPr>
    <a:bodyPr/>
    <a:lstStyle/>
    <a:p>
      <a:pPr>
        <a:defRPr>
          <a:latin typeface="Times New Roman" pitchFamily="18" charset="0"/>
          <a:cs typeface="Times New Roman" pitchFamily="18" charset="0"/>
        </a:defRPr>
      </a:pPr>
      <a:endParaRPr lang="pl-PL"/>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B9E897-C347-4307-A176-1B7A06FEC34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B740BFD8-F86D-41F3-BC64-651A2010C87F}">
      <dgm:prSet phldrT="[Tekst]" custT="1"/>
      <dgm:spPr>
        <a:solidFill>
          <a:schemeClr val="bg1">
            <a:lumMod val="85000"/>
          </a:schemeClr>
        </a:solidFill>
      </dgm:spPr>
      <dgm:t>
        <a:bodyPr/>
        <a:lstStyle/>
        <a:p>
          <a:pPr algn="just">
            <a:lnSpc>
              <a:spcPct val="100000"/>
            </a:lnSpc>
            <a:spcBef>
              <a:spcPts val="600"/>
            </a:spcBef>
            <a:spcAft>
              <a:spcPts val="600"/>
            </a:spcAft>
          </a:pPr>
          <a:r>
            <a:rPr lang="pl-PL" sz="1100" b="0" i="1">
              <a:solidFill>
                <a:sysClr val="windowText" lastClr="000000"/>
              </a:solidFill>
            </a:rPr>
            <a:t>Wystąpienie z wnioskiem do Regionalnej Dyrekcji Ochrony Środowiska (RDOŚ) i Państwowego Wojewódzkiego Inspektora Sanitarnego (PWIS) o stwierdzenie braku konieczności przeprowadzenia strategicznej oceny oddziaływania na środowisko dla przedmiotowego dokumentu (odstąpienie od przeprowadzenia strategicznej oceny oddziaływania na środowisko)</a:t>
          </a:r>
        </a:p>
      </dgm:t>
    </dgm:pt>
    <dgm:pt modelId="{5BB1C0AF-AEBE-46F1-83EF-FD918EF86EAA}" type="parTrans" cxnId="{E9BA4520-B866-4032-A681-5EB4F2966B8D}">
      <dgm:prSet/>
      <dgm:spPr/>
      <dgm:t>
        <a:bodyPr/>
        <a:lstStyle/>
        <a:p>
          <a:endParaRPr lang="pl-PL"/>
        </a:p>
      </dgm:t>
    </dgm:pt>
    <dgm:pt modelId="{1F3AE36C-0A6C-46B1-9A19-3D91445E5EEB}" type="sibTrans" cxnId="{E9BA4520-B866-4032-A681-5EB4F2966B8D}">
      <dgm:prSet/>
      <dgm:spPr/>
      <dgm:t>
        <a:bodyPr/>
        <a:lstStyle/>
        <a:p>
          <a:endParaRPr lang="pl-PL"/>
        </a:p>
      </dgm:t>
    </dgm:pt>
    <dgm:pt modelId="{6835FD2B-DB26-4485-9BAE-948C3D35C2FA}">
      <dgm:prSet phldrT="[Tekst]" custT="1"/>
      <dgm:spPr/>
      <dgm:t>
        <a:bodyPr/>
        <a:lstStyle/>
        <a:p>
          <a:pPr algn="just"/>
          <a:r>
            <a:rPr lang="pl-PL" sz="1100"/>
            <a:t>złożenie wniosku do RDOŚ i PWIS o ustalenie zakresu i stopnia szczegółowości informacji wymaganych w prognozie oddziaływania na środowisko,</a:t>
          </a:r>
        </a:p>
      </dgm:t>
    </dgm:pt>
    <dgm:pt modelId="{87392DB0-807E-4802-95CA-EA6DD979C396}" type="parTrans" cxnId="{1DA76D0B-0CBB-4B61-A02B-4B81FB7630CF}">
      <dgm:prSet/>
      <dgm:spPr/>
      <dgm:t>
        <a:bodyPr/>
        <a:lstStyle/>
        <a:p>
          <a:endParaRPr lang="pl-PL"/>
        </a:p>
      </dgm:t>
    </dgm:pt>
    <dgm:pt modelId="{E564A6F7-7DA7-42EB-B657-F4A31EAFE18A}" type="sibTrans" cxnId="{1DA76D0B-0CBB-4B61-A02B-4B81FB7630CF}">
      <dgm:prSet/>
      <dgm:spPr/>
      <dgm:t>
        <a:bodyPr/>
        <a:lstStyle/>
        <a:p>
          <a:endParaRPr lang="pl-PL"/>
        </a:p>
      </dgm:t>
    </dgm:pt>
    <dgm:pt modelId="{34146602-1EF5-46F3-94F7-F8A9B4C21A1D}">
      <dgm:prSet custT="1"/>
      <dgm:spPr>
        <a:solidFill>
          <a:schemeClr val="bg1"/>
        </a:solidFill>
      </dgm:spPr>
      <dgm:t>
        <a:bodyPr/>
        <a:lstStyle/>
        <a:p>
          <a:pPr algn="just">
            <a:lnSpc>
              <a:spcPct val="100000"/>
            </a:lnSpc>
            <a:spcBef>
              <a:spcPts val="600"/>
            </a:spcBef>
            <a:spcAft>
              <a:spcPts val="600"/>
            </a:spcAft>
          </a:pPr>
          <a:r>
            <a:rPr lang="pl-PL" sz="1100">
              <a:solidFill>
                <a:sysClr val="windowText" lastClr="000000"/>
              </a:solidFill>
            </a:rPr>
            <a:t>Jeżeli w/w organy stwierdzą konieczność przeprowadzenia strategicznej oceny oddziaływania na środowisko, nastąpi:</a:t>
          </a:r>
        </a:p>
      </dgm:t>
    </dgm:pt>
    <dgm:pt modelId="{C9D38C8A-AFC7-40E6-94E4-50865B0DBCE9}" type="parTrans" cxnId="{1E7A4A0C-A9E6-4D20-AEB5-96B295937F98}">
      <dgm:prSet/>
      <dgm:spPr/>
      <dgm:t>
        <a:bodyPr/>
        <a:lstStyle/>
        <a:p>
          <a:endParaRPr lang="pl-PL"/>
        </a:p>
      </dgm:t>
    </dgm:pt>
    <dgm:pt modelId="{6DCAE4EB-7D22-40A9-924C-D29357807413}" type="sibTrans" cxnId="{1E7A4A0C-A9E6-4D20-AEB5-96B295937F98}">
      <dgm:prSet/>
      <dgm:spPr/>
      <dgm:t>
        <a:bodyPr/>
        <a:lstStyle/>
        <a:p>
          <a:endParaRPr lang="pl-PL"/>
        </a:p>
      </dgm:t>
    </dgm:pt>
    <dgm:pt modelId="{48442E98-DFF5-4035-A4B4-14F159E9E730}">
      <dgm:prSet custT="1"/>
      <dgm:spPr/>
      <dgm:t>
        <a:bodyPr/>
        <a:lstStyle/>
        <a:p>
          <a:pPr algn="just"/>
          <a:r>
            <a:rPr lang="pl-PL" sz="1100"/>
            <a:t>opracowanie prognozy oddziaływania na środowisko dla projektu dokumentu,</a:t>
          </a:r>
        </a:p>
      </dgm:t>
    </dgm:pt>
    <dgm:pt modelId="{C70D0551-8CAD-47EA-8F55-5BB607800E74}" type="parTrans" cxnId="{F11FCC22-9A0A-40BD-A83E-D06E99F5FDBD}">
      <dgm:prSet/>
      <dgm:spPr/>
      <dgm:t>
        <a:bodyPr/>
        <a:lstStyle/>
        <a:p>
          <a:endParaRPr lang="pl-PL"/>
        </a:p>
      </dgm:t>
    </dgm:pt>
    <dgm:pt modelId="{43B67DAB-C072-40A2-81E4-4C83365FB236}" type="sibTrans" cxnId="{F11FCC22-9A0A-40BD-A83E-D06E99F5FDBD}">
      <dgm:prSet/>
      <dgm:spPr/>
      <dgm:t>
        <a:bodyPr/>
        <a:lstStyle/>
        <a:p>
          <a:endParaRPr lang="pl-PL"/>
        </a:p>
      </dgm:t>
    </dgm:pt>
    <dgm:pt modelId="{7F5029B7-51BF-44E8-A063-394B9355C5E4}">
      <dgm:prSet custT="1"/>
      <dgm:spPr/>
      <dgm:t>
        <a:bodyPr/>
        <a:lstStyle/>
        <a:p>
          <a:pPr algn="just"/>
          <a:r>
            <a:rPr lang="pl-PL" sz="1100"/>
            <a:t>przygotowanie wniosku o zaopiniowanie Prognozy oddziaływania na środowisko,</a:t>
          </a:r>
        </a:p>
      </dgm:t>
    </dgm:pt>
    <dgm:pt modelId="{966733C8-69F7-4317-9D56-148D43D1B9E6}" type="parTrans" cxnId="{692F0D1F-791B-4ADD-8179-3965A3A717EE}">
      <dgm:prSet/>
      <dgm:spPr/>
      <dgm:t>
        <a:bodyPr/>
        <a:lstStyle/>
        <a:p>
          <a:endParaRPr lang="pl-PL"/>
        </a:p>
      </dgm:t>
    </dgm:pt>
    <dgm:pt modelId="{EE69A20E-1AB5-4241-8BA5-9BC39D5BE93C}" type="sibTrans" cxnId="{692F0D1F-791B-4ADD-8179-3965A3A717EE}">
      <dgm:prSet/>
      <dgm:spPr/>
      <dgm:t>
        <a:bodyPr/>
        <a:lstStyle/>
        <a:p>
          <a:endParaRPr lang="pl-PL"/>
        </a:p>
      </dgm:t>
    </dgm:pt>
    <dgm:pt modelId="{23E818AB-8D86-48D0-9E31-6FA9AD30EF05}">
      <dgm:prSet custT="1"/>
      <dgm:spPr/>
      <dgm:t>
        <a:bodyPr/>
        <a:lstStyle/>
        <a:p>
          <a:pPr algn="just"/>
          <a:r>
            <a:rPr lang="pl-PL" sz="1100"/>
            <a:t>przedłożenie projektu dokumentu wraz z Prognozą do zaopiniowania przez RDOŚ i PWIS</a:t>
          </a:r>
        </a:p>
      </dgm:t>
    </dgm:pt>
    <dgm:pt modelId="{CD51AC02-F47A-409C-A972-443279F68A66}" type="parTrans" cxnId="{40198AFF-AF24-44BA-9683-96D150321C52}">
      <dgm:prSet/>
      <dgm:spPr/>
      <dgm:t>
        <a:bodyPr/>
        <a:lstStyle/>
        <a:p>
          <a:endParaRPr lang="pl-PL"/>
        </a:p>
      </dgm:t>
    </dgm:pt>
    <dgm:pt modelId="{5745773E-EF6A-4538-B2D4-66E504A53915}" type="sibTrans" cxnId="{40198AFF-AF24-44BA-9683-96D150321C52}">
      <dgm:prSet/>
      <dgm:spPr/>
      <dgm:t>
        <a:bodyPr/>
        <a:lstStyle/>
        <a:p>
          <a:endParaRPr lang="pl-PL"/>
        </a:p>
      </dgm:t>
    </dgm:pt>
    <dgm:pt modelId="{2AA41865-4444-42F8-B60E-C5EE0F4CFDF9}">
      <dgm:prSet custT="1"/>
      <dgm:spPr/>
      <dgm:t>
        <a:bodyPr/>
        <a:lstStyle/>
        <a:p>
          <a:pPr algn="just"/>
          <a:r>
            <a:rPr lang="pl-PL" sz="1100"/>
            <a:t>zapewnienie udziału społeczeństwa – konsultacje społeczne,</a:t>
          </a:r>
        </a:p>
      </dgm:t>
    </dgm:pt>
    <dgm:pt modelId="{1008D3A5-394E-4601-A83A-29FF52926248}" type="parTrans" cxnId="{F9C7728A-C209-4F9C-ABFC-3DDB9623A624}">
      <dgm:prSet/>
      <dgm:spPr/>
      <dgm:t>
        <a:bodyPr/>
        <a:lstStyle/>
        <a:p>
          <a:endParaRPr lang="pl-PL"/>
        </a:p>
      </dgm:t>
    </dgm:pt>
    <dgm:pt modelId="{EA99AA13-CD9E-436F-AF10-EDAA7CF00BB6}" type="sibTrans" cxnId="{F9C7728A-C209-4F9C-ABFC-3DDB9623A624}">
      <dgm:prSet/>
      <dgm:spPr/>
      <dgm:t>
        <a:bodyPr/>
        <a:lstStyle/>
        <a:p>
          <a:endParaRPr lang="pl-PL"/>
        </a:p>
      </dgm:t>
    </dgm:pt>
    <dgm:pt modelId="{8A98A031-489A-45FF-A69B-E51D74DB59B6}">
      <dgm:prSet custT="1"/>
      <dgm:spPr/>
      <dgm:t>
        <a:bodyPr/>
        <a:lstStyle/>
        <a:p>
          <a:pPr algn="just"/>
          <a:r>
            <a:rPr lang="pl-PL" sz="1100"/>
            <a:t>sporządzenie podsumowania strategicznej oceny oddziaływania na środowisko,</a:t>
          </a:r>
        </a:p>
      </dgm:t>
    </dgm:pt>
    <dgm:pt modelId="{24A91A2B-26AC-4848-8035-B037EA3BA513}" type="parTrans" cxnId="{EFB4E971-4B12-46A4-A42D-8F3B297261BE}">
      <dgm:prSet/>
      <dgm:spPr/>
      <dgm:t>
        <a:bodyPr/>
        <a:lstStyle/>
        <a:p>
          <a:endParaRPr lang="pl-PL"/>
        </a:p>
      </dgm:t>
    </dgm:pt>
    <dgm:pt modelId="{7E1AA296-1783-4C67-9FE1-6079AAC726E1}" type="sibTrans" cxnId="{EFB4E971-4B12-46A4-A42D-8F3B297261BE}">
      <dgm:prSet/>
      <dgm:spPr/>
      <dgm:t>
        <a:bodyPr/>
        <a:lstStyle/>
        <a:p>
          <a:endParaRPr lang="pl-PL"/>
        </a:p>
      </dgm:t>
    </dgm:pt>
    <dgm:pt modelId="{5486AE21-BA4C-4219-925E-ECDFB0FD4060}">
      <dgm:prSet custT="1"/>
      <dgm:spPr/>
      <dgm:t>
        <a:bodyPr/>
        <a:lstStyle/>
        <a:p>
          <a:pPr algn="just"/>
          <a:r>
            <a:rPr lang="pl-PL" sz="1100"/>
            <a:t>przyjęcie dokumentu Uchwałą Rady Miejskiej oraz przekazanie przyjętego Uchwałą dokumentu wraz z podsumowaniem strategicznej oceny oddziaływania na środowisko do RDOŚ i PWIS.</a:t>
          </a:r>
        </a:p>
      </dgm:t>
    </dgm:pt>
    <dgm:pt modelId="{29D46334-DE6F-4DEA-94B1-6C1BAD47C752}" type="parTrans" cxnId="{B39F8BA8-D70E-429A-9E89-4B00257970D7}">
      <dgm:prSet/>
      <dgm:spPr/>
      <dgm:t>
        <a:bodyPr/>
        <a:lstStyle/>
        <a:p>
          <a:endParaRPr lang="pl-PL"/>
        </a:p>
      </dgm:t>
    </dgm:pt>
    <dgm:pt modelId="{F24D7890-A263-47D5-AF9D-9DFC63BBFCAB}" type="sibTrans" cxnId="{B39F8BA8-D70E-429A-9E89-4B00257970D7}">
      <dgm:prSet/>
      <dgm:spPr/>
      <dgm:t>
        <a:bodyPr/>
        <a:lstStyle/>
        <a:p>
          <a:endParaRPr lang="pl-PL"/>
        </a:p>
      </dgm:t>
    </dgm:pt>
    <dgm:pt modelId="{C017D857-BB98-4E9F-BA41-6EF40159C023}" type="pres">
      <dgm:prSet presAssocID="{FEB9E897-C347-4307-A176-1B7A06FEC345}" presName="linear" presStyleCnt="0">
        <dgm:presLayoutVars>
          <dgm:animLvl val="lvl"/>
          <dgm:resizeHandles val="exact"/>
        </dgm:presLayoutVars>
      </dgm:prSet>
      <dgm:spPr/>
      <dgm:t>
        <a:bodyPr/>
        <a:lstStyle/>
        <a:p>
          <a:endParaRPr lang="pl-PL"/>
        </a:p>
      </dgm:t>
    </dgm:pt>
    <dgm:pt modelId="{BA9EA47D-400C-4043-9BEE-C65E346E7DA1}" type="pres">
      <dgm:prSet presAssocID="{B740BFD8-F86D-41F3-BC64-651A2010C87F}" presName="parentText" presStyleLbl="node1" presStyleIdx="0" presStyleCnt="2" custScaleX="94444" custLinFactY="-14932" custLinFactNeighborY="-100000">
        <dgm:presLayoutVars>
          <dgm:chMax val="0"/>
          <dgm:bulletEnabled val="1"/>
        </dgm:presLayoutVars>
      </dgm:prSet>
      <dgm:spPr/>
      <dgm:t>
        <a:bodyPr/>
        <a:lstStyle/>
        <a:p>
          <a:endParaRPr lang="pl-PL"/>
        </a:p>
      </dgm:t>
    </dgm:pt>
    <dgm:pt modelId="{23AECFB8-0739-4806-B412-57FEEFECED56}" type="pres">
      <dgm:prSet presAssocID="{1F3AE36C-0A6C-46B1-9A19-3D91445E5EEB}" presName="spacer" presStyleCnt="0"/>
      <dgm:spPr/>
    </dgm:pt>
    <dgm:pt modelId="{A13D7BFF-26F3-4FD4-81D9-1BA91F448F01}" type="pres">
      <dgm:prSet presAssocID="{34146602-1EF5-46F3-94F7-F8A9B4C21A1D}" presName="parentText" presStyleLbl="node1" presStyleIdx="1" presStyleCnt="2" custScaleX="83681" custScaleY="82686" custLinFactNeighborY="-7463">
        <dgm:presLayoutVars>
          <dgm:chMax val="0"/>
          <dgm:bulletEnabled val="1"/>
        </dgm:presLayoutVars>
      </dgm:prSet>
      <dgm:spPr/>
      <dgm:t>
        <a:bodyPr/>
        <a:lstStyle/>
        <a:p>
          <a:endParaRPr lang="pl-PL"/>
        </a:p>
      </dgm:t>
    </dgm:pt>
    <dgm:pt modelId="{58A00502-663C-4C96-9B45-15D89A237A78}" type="pres">
      <dgm:prSet presAssocID="{34146602-1EF5-46F3-94F7-F8A9B4C21A1D}" presName="childText" presStyleLbl="revTx" presStyleIdx="0" presStyleCnt="1" custAng="0" custScaleX="96181" custScaleY="94699">
        <dgm:presLayoutVars>
          <dgm:bulletEnabled val="1"/>
        </dgm:presLayoutVars>
      </dgm:prSet>
      <dgm:spPr/>
      <dgm:t>
        <a:bodyPr/>
        <a:lstStyle/>
        <a:p>
          <a:endParaRPr lang="pl-PL"/>
        </a:p>
      </dgm:t>
    </dgm:pt>
  </dgm:ptLst>
  <dgm:cxnLst>
    <dgm:cxn modelId="{40198AFF-AF24-44BA-9683-96D150321C52}" srcId="{34146602-1EF5-46F3-94F7-F8A9B4C21A1D}" destId="{23E818AB-8D86-48D0-9E31-6FA9AD30EF05}" srcOrd="3" destOrd="0" parTransId="{CD51AC02-F47A-409C-A972-443279F68A66}" sibTransId="{5745773E-EF6A-4538-B2D4-66E504A53915}"/>
    <dgm:cxn modelId="{F9C7728A-C209-4F9C-ABFC-3DDB9623A624}" srcId="{34146602-1EF5-46F3-94F7-F8A9B4C21A1D}" destId="{2AA41865-4444-42F8-B60E-C5EE0F4CFDF9}" srcOrd="4" destOrd="0" parTransId="{1008D3A5-394E-4601-A83A-29FF52926248}" sibTransId="{EA99AA13-CD9E-436F-AF10-EDAA7CF00BB6}"/>
    <dgm:cxn modelId="{117BDE8A-5332-487E-83F9-9A64845371D7}" type="presOf" srcId="{7F5029B7-51BF-44E8-A063-394B9355C5E4}" destId="{58A00502-663C-4C96-9B45-15D89A237A78}" srcOrd="0" destOrd="2" presId="urn:microsoft.com/office/officeart/2005/8/layout/vList2"/>
    <dgm:cxn modelId="{B405DB05-5558-44D8-BA7D-3E52DEC5F9B9}" type="presOf" srcId="{34146602-1EF5-46F3-94F7-F8A9B4C21A1D}" destId="{A13D7BFF-26F3-4FD4-81D9-1BA91F448F01}" srcOrd="0" destOrd="0" presId="urn:microsoft.com/office/officeart/2005/8/layout/vList2"/>
    <dgm:cxn modelId="{1DA76D0B-0CBB-4B61-A02B-4B81FB7630CF}" srcId="{34146602-1EF5-46F3-94F7-F8A9B4C21A1D}" destId="{6835FD2B-DB26-4485-9BAE-948C3D35C2FA}" srcOrd="0" destOrd="0" parTransId="{87392DB0-807E-4802-95CA-EA6DD979C396}" sibTransId="{E564A6F7-7DA7-42EB-B657-F4A31EAFE18A}"/>
    <dgm:cxn modelId="{C5F60BBB-A0BF-4451-BFA3-4C19BDFB4F2B}" type="presOf" srcId="{6835FD2B-DB26-4485-9BAE-948C3D35C2FA}" destId="{58A00502-663C-4C96-9B45-15D89A237A78}" srcOrd="0" destOrd="0" presId="urn:microsoft.com/office/officeart/2005/8/layout/vList2"/>
    <dgm:cxn modelId="{1E7A4A0C-A9E6-4D20-AEB5-96B295937F98}" srcId="{FEB9E897-C347-4307-A176-1B7A06FEC345}" destId="{34146602-1EF5-46F3-94F7-F8A9B4C21A1D}" srcOrd="1" destOrd="0" parTransId="{C9D38C8A-AFC7-40E6-94E4-50865B0DBCE9}" sibTransId="{6DCAE4EB-7D22-40A9-924C-D29357807413}"/>
    <dgm:cxn modelId="{F11FCC22-9A0A-40BD-A83E-D06E99F5FDBD}" srcId="{34146602-1EF5-46F3-94F7-F8A9B4C21A1D}" destId="{48442E98-DFF5-4035-A4B4-14F159E9E730}" srcOrd="1" destOrd="0" parTransId="{C70D0551-8CAD-47EA-8F55-5BB607800E74}" sibTransId="{43B67DAB-C072-40A2-81E4-4C83365FB236}"/>
    <dgm:cxn modelId="{9DC30C02-C8BA-4B79-BE33-832869C57561}" type="presOf" srcId="{23E818AB-8D86-48D0-9E31-6FA9AD30EF05}" destId="{58A00502-663C-4C96-9B45-15D89A237A78}" srcOrd="0" destOrd="3" presId="urn:microsoft.com/office/officeart/2005/8/layout/vList2"/>
    <dgm:cxn modelId="{EFB4E971-4B12-46A4-A42D-8F3B297261BE}" srcId="{34146602-1EF5-46F3-94F7-F8A9B4C21A1D}" destId="{8A98A031-489A-45FF-A69B-E51D74DB59B6}" srcOrd="5" destOrd="0" parTransId="{24A91A2B-26AC-4848-8035-B037EA3BA513}" sibTransId="{7E1AA296-1783-4C67-9FE1-6079AAC726E1}"/>
    <dgm:cxn modelId="{B3FC2C42-3558-4F9E-B448-9CCF16C6B029}" type="presOf" srcId="{FEB9E897-C347-4307-A176-1B7A06FEC345}" destId="{C017D857-BB98-4E9F-BA41-6EF40159C023}" srcOrd="0" destOrd="0" presId="urn:microsoft.com/office/officeart/2005/8/layout/vList2"/>
    <dgm:cxn modelId="{2F88A8BB-3680-4D78-BB82-7D993031E107}" type="presOf" srcId="{2AA41865-4444-42F8-B60E-C5EE0F4CFDF9}" destId="{58A00502-663C-4C96-9B45-15D89A237A78}" srcOrd="0" destOrd="4" presId="urn:microsoft.com/office/officeart/2005/8/layout/vList2"/>
    <dgm:cxn modelId="{C4A43B23-385C-410A-89EB-CFFCF1AE23E7}" type="presOf" srcId="{5486AE21-BA4C-4219-925E-ECDFB0FD4060}" destId="{58A00502-663C-4C96-9B45-15D89A237A78}" srcOrd="0" destOrd="6" presId="urn:microsoft.com/office/officeart/2005/8/layout/vList2"/>
    <dgm:cxn modelId="{5A46705A-B305-4702-98CA-5C49F729D52B}" type="presOf" srcId="{8A98A031-489A-45FF-A69B-E51D74DB59B6}" destId="{58A00502-663C-4C96-9B45-15D89A237A78}" srcOrd="0" destOrd="5" presId="urn:microsoft.com/office/officeart/2005/8/layout/vList2"/>
    <dgm:cxn modelId="{692F0D1F-791B-4ADD-8179-3965A3A717EE}" srcId="{34146602-1EF5-46F3-94F7-F8A9B4C21A1D}" destId="{7F5029B7-51BF-44E8-A063-394B9355C5E4}" srcOrd="2" destOrd="0" parTransId="{966733C8-69F7-4317-9D56-148D43D1B9E6}" sibTransId="{EE69A20E-1AB5-4241-8BA5-9BC39D5BE93C}"/>
    <dgm:cxn modelId="{E9BA4520-B866-4032-A681-5EB4F2966B8D}" srcId="{FEB9E897-C347-4307-A176-1B7A06FEC345}" destId="{B740BFD8-F86D-41F3-BC64-651A2010C87F}" srcOrd="0" destOrd="0" parTransId="{5BB1C0AF-AEBE-46F1-83EF-FD918EF86EAA}" sibTransId="{1F3AE36C-0A6C-46B1-9A19-3D91445E5EEB}"/>
    <dgm:cxn modelId="{594A2D4F-902D-4AE8-8919-EF2BF1C72D34}" type="presOf" srcId="{48442E98-DFF5-4035-A4B4-14F159E9E730}" destId="{58A00502-663C-4C96-9B45-15D89A237A78}" srcOrd="0" destOrd="1" presId="urn:microsoft.com/office/officeart/2005/8/layout/vList2"/>
    <dgm:cxn modelId="{B39F8BA8-D70E-429A-9E89-4B00257970D7}" srcId="{34146602-1EF5-46F3-94F7-F8A9B4C21A1D}" destId="{5486AE21-BA4C-4219-925E-ECDFB0FD4060}" srcOrd="6" destOrd="0" parTransId="{29D46334-DE6F-4DEA-94B1-6C1BAD47C752}" sibTransId="{F24D7890-A263-47D5-AF9D-9DFC63BBFCAB}"/>
    <dgm:cxn modelId="{CED55C0E-3E71-4256-AF05-72E562371FD1}" type="presOf" srcId="{B740BFD8-F86D-41F3-BC64-651A2010C87F}" destId="{BA9EA47D-400C-4043-9BEE-C65E346E7DA1}" srcOrd="0" destOrd="0" presId="urn:microsoft.com/office/officeart/2005/8/layout/vList2"/>
    <dgm:cxn modelId="{DB0FD826-D3A3-46EC-A724-E027DFC675D8}" type="presParOf" srcId="{C017D857-BB98-4E9F-BA41-6EF40159C023}" destId="{BA9EA47D-400C-4043-9BEE-C65E346E7DA1}" srcOrd="0" destOrd="0" presId="urn:microsoft.com/office/officeart/2005/8/layout/vList2"/>
    <dgm:cxn modelId="{B7E565B4-EBF6-492F-8571-C451E17A6585}" type="presParOf" srcId="{C017D857-BB98-4E9F-BA41-6EF40159C023}" destId="{23AECFB8-0739-4806-B412-57FEEFECED56}" srcOrd="1" destOrd="0" presId="urn:microsoft.com/office/officeart/2005/8/layout/vList2"/>
    <dgm:cxn modelId="{8BB4B412-AC50-4861-84E5-6DE12C36678D}" type="presParOf" srcId="{C017D857-BB98-4E9F-BA41-6EF40159C023}" destId="{A13D7BFF-26F3-4FD4-81D9-1BA91F448F01}" srcOrd="2" destOrd="0" presId="urn:microsoft.com/office/officeart/2005/8/layout/vList2"/>
    <dgm:cxn modelId="{BDEFE7BE-076A-4AAF-A6C9-717F433743FC}" type="presParOf" srcId="{C017D857-BB98-4E9F-BA41-6EF40159C023}" destId="{58A00502-663C-4C96-9B45-15D89A237A78}" srcOrd="3" destOrd="0" presId="urn:microsoft.com/office/officeart/2005/8/layout/vList2"/>
  </dgm:cxnLst>
  <dgm:bg>
    <a:solidFill>
      <a:schemeClr val="bg1">
        <a:lumMod val="85000"/>
      </a:schemeClr>
    </a:solidFill>
  </dgm:bg>
  <dgm:whole/>
</dgm:dataModel>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BE802-01E7-44A4-BEB6-41D10E7F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123</Pages>
  <Words>34440</Words>
  <Characters>206643</Characters>
  <Application>Microsoft Office Word</Application>
  <DocSecurity>0</DocSecurity>
  <Lines>1722</Lines>
  <Paragraphs>481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240602</CharactersWithSpaces>
  <SharedDoc>false</SharedDoc>
  <HLinks>
    <vt:vector size="156" baseType="variant">
      <vt:variant>
        <vt:i4>3801137</vt:i4>
      </vt:variant>
      <vt:variant>
        <vt:i4>138</vt:i4>
      </vt:variant>
      <vt:variant>
        <vt:i4>0</vt:i4>
      </vt:variant>
      <vt:variant>
        <vt:i4>5</vt:i4>
      </vt:variant>
      <vt:variant>
        <vt:lpwstr>http://www.stat.gov.pl/</vt:lpwstr>
      </vt:variant>
      <vt:variant>
        <vt:lpwstr/>
      </vt:variant>
      <vt:variant>
        <vt:i4>3801137</vt:i4>
      </vt:variant>
      <vt:variant>
        <vt:i4>135</vt:i4>
      </vt:variant>
      <vt:variant>
        <vt:i4>0</vt:i4>
      </vt:variant>
      <vt:variant>
        <vt:i4>5</vt:i4>
      </vt:variant>
      <vt:variant>
        <vt:lpwstr>http://www.stat.gov.pl/</vt:lpwstr>
      </vt:variant>
      <vt:variant>
        <vt:lpwstr/>
      </vt:variant>
      <vt:variant>
        <vt:i4>3801137</vt:i4>
      </vt:variant>
      <vt:variant>
        <vt:i4>132</vt:i4>
      </vt:variant>
      <vt:variant>
        <vt:i4>0</vt:i4>
      </vt:variant>
      <vt:variant>
        <vt:i4>5</vt:i4>
      </vt:variant>
      <vt:variant>
        <vt:lpwstr>http://www.stat.gov.pl/</vt:lpwstr>
      </vt:variant>
      <vt:variant>
        <vt:lpwstr/>
      </vt:variant>
      <vt:variant>
        <vt:i4>3801137</vt:i4>
      </vt:variant>
      <vt:variant>
        <vt:i4>129</vt:i4>
      </vt:variant>
      <vt:variant>
        <vt:i4>0</vt:i4>
      </vt:variant>
      <vt:variant>
        <vt:i4>5</vt:i4>
      </vt:variant>
      <vt:variant>
        <vt:lpwstr>http://www.stat.gov.pl/</vt:lpwstr>
      </vt:variant>
      <vt:variant>
        <vt:lpwstr/>
      </vt:variant>
      <vt:variant>
        <vt:i4>3801137</vt:i4>
      </vt:variant>
      <vt:variant>
        <vt:i4>126</vt:i4>
      </vt:variant>
      <vt:variant>
        <vt:i4>0</vt:i4>
      </vt:variant>
      <vt:variant>
        <vt:i4>5</vt:i4>
      </vt:variant>
      <vt:variant>
        <vt:lpwstr>http://www.stat.gov.pl/</vt:lpwstr>
      </vt:variant>
      <vt:variant>
        <vt:lpwstr/>
      </vt:variant>
      <vt:variant>
        <vt:i4>3801137</vt:i4>
      </vt:variant>
      <vt:variant>
        <vt:i4>123</vt:i4>
      </vt:variant>
      <vt:variant>
        <vt:i4>0</vt:i4>
      </vt:variant>
      <vt:variant>
        <vt:i4>5</vt:i4>
      </vt:variant>
      <vt:variant>
        <vt:lpwstr>http://www.stat.gov.pl/</vt:lpwstr>
      </vt:variant>
      <vt:variant>
        <vt:lpwstr/>
      </vt:variant>
      <vt:variant>
        <vt:i4>2031671</vt:i4>
      </vt:variant>
      <vt:variant>
        <vt:i4>116</vt:i4>
      </vt:variant>
      <vt:variant>
        <vt:i4>0</vt:i4>
      </vt:variant>
      <vt:variant>
        <vt:i4>5</vt:i4>
      </vt:variant>
      <vt:variant>
        <vt:lpwstr/>
      </vt:variant>
      <vt:variant>
        <vt:lpwstr>_Toc264873656</vt:lpwstr>
      </vt:variant>
      <vt:variant>
        <vt:i4>2031671</vt:i4>
      </vt:variant>
      <vt:variant>
        <vt:i4>110</vt:i4>
      </vt:variant>
      <vt:variant>
        <vt:i4>0</vt:i4>
      </vt:variant>
      <vt:variant>
        <vt:i4>5</vt:i4>
      </vt:variant>
      <vt:variant>
        <vt:lpwstr/>
      </vt:variant>
      <vt:variant>
        <vt:lpwstr>_Toc264873655</vt:lpwstr>
      </vt:variant>
      <vt:variant>
        <vt:i4>2031671</vt:i4>
      </vt:variant>
      <vt:variant>
        <vt:i4>104</vt:i4>
      </vt:variant>
      <vt:variant>
        <vt:i4>0</vt:i4>
      </vt:variant>
      <vt:variant>
        <vt:i4>5</vt:i4>
      </vt:variant>
      <vt:variant>
        <vt:lpwstr/>
      </vt:variant>
      <vt:variant>
        <vt:lpwstr>_Toc264873654</vt:lpwstr>
      </vt:variant>
      <vt:variant>
        <vt:i4>2031671</vt:i4>
      </vt:variant>
      <vt:variant>
        <vt:i4>98</vt:i4>
      </vt:variant>
      <vt:variant>
        <vt:i4>0</vt:i4>
      </vt:variant>
      <vt:variant>
        <vt:i4>5</vt:i4>
      </vt:variant>
      <vt:variant>
        <vt:lpwstr/>
      </vt:variant>
      <vt:variant>
        <vt:lpwstr>_Toc264873653</vt:lpwstr>
      </vt:variant>
      <vt:variant>
        <vt:i4>2031671</vt:i4>
      </vt:variant>
      <vt:variant>
        <vt:i4>92</vt:i4>
      </vt:variant>
      <vt:variant>
        <vt:i4>0</vt:i4>
      </vt:variant>
      <vt:variant>
        <vt:i4>5</vt:i4>
      </vt:variant>
      <vt:variant>
        <vt:lpwstr/>
      </vt:variant>
      <vt:variant>
        <vt:lpwstr>_Toc264873652</vt:lpwstr>
      </vt:variant>
      <vt:variant>
        <vt:i4>2031671</vt:i4>
      </vt:variant>
      <vt:variant>
        <vt:i4>86</vt:i4>
      </vt:variant>
      <vt:variant>
        <vt:i4>0</vt:i4>
      </vt:variant>
      <vt:variant>
        <vt:i4>5</vt:i4>
      </vt:variant>
      <vt:variant>
        <vt:lpwstr/>
      </vt:variant>
      <vt:variant>
        <vt:lpwstr>_Toc264873651</vt:lpwstr>
      </vt:variant>
      <vt:variant>
        <vt:i4>2031671</vt:i4>
      </vt:variant>
      <vt:variant>
        <vt:i4>80</vt:i4>
      </vt:variant>
      <vt:variant>
        <vt:i4>0</vt:i4>
      </vt:variant>
      <vt:variant>
        <vt:i4>5</vt:i4>
      </vt:variant>
      <vt:variant>
        <vt:lpwstr/>
      </vt:variant>
      <vt:variant>
        <vt:lpwstr>_Toc264873650</vt:lpwstr>
      </vt:variant>
      <vt:variant>
        <vt:i4>1966135</vt:i4>
      </vt:variant>
      <vt:variant>
        <vt:i4>74</vt:i4>
      </vt:variant>
      <vt:variant>
        <vt:i4>0</vt:i4>
      </vt:variant>
      <vt:variant>
        <vt:i4>5</vt:i4>
      </vt:variant>
      <vt:variant>
        <vt:lpwstr/>
      </vt:variant>
      <vt:variant>
        <vt:lpwstr>_Toc264873649</vt:lpwstr>
      </vt:variant>
      <vt:variant>
        <vt:i4>1966135</vt:i4>
      </vt:variant>
      <vt:variant>
        <vt:i4>68</vt:i4>
      </vt:variant>
      <vt:variant>
        <vt:i4>0</vt:i4>
      </vt:variant>
      <vt:variant>
        <vt:i4>5</vt:i4>
      </vt:variant>
      <vt:variant>
        <vt:lpwstr/>
      </vt:variant>
      <vt:variant>
        <vt:lpwstr>_Toc264873648</vt:lpwstr>
      </vt:variant>
      <vt:variant>
        <vt:i4>1966135</vt:i4>
      </vt:variant>
      <vt:variant>
        <vt:i4>62</vt:i4>
      </vt:variant>
      <vt:variant>
        <vt:i4>0</vt:i4>
      </vt:variant>
      <vt:variant>
        <vt:i4>5</vt:i4>
      </vt:variant>
      <vt:variant>
        <vt:lpwstr/>
      </vt:variant>
      <vt:variant>
        <vt:lpwstr>_Toc264873647</vt:lpwstr>
      </vt:variant>
      <vt:variant>
        <vt:i4>1966135</vt:i4>
      </vt:variant>
      <vt:variant>
        <vt:i4>56</vt:i4>
      </vt:variant>
      <vt:variant>
        <vt:i4>0</vt:i4>
      </vt:variant>
      <vt:variant>
        <vt:i4>5</vt:i4>
      </vt:variant>
      <vt:variant>
        <vt:lpwstr/>
      </vt:variant>
      <vt:variant>
        <vt:lpwstr>_Toc264873646</vt:lpwstr>
      </vt:variant>
      <vt:variant>
        <vt:i4>1966135</vt:i4>
      </vt:variant>
      <vt:variant>
        <vt:i4>50</vt:i4>
      </vt:variant>
      <vt:variant>
        <vt:i4>0</vt:i4>
      </vt:variant>
      <vt:variant>
        <vt:i4>5</vt:i4>
      </vt:variant>
      <vt:variant>
        <vt:lpwstr/>
      </vt:variant>
      <vt:variant>
        <vt:lpwstr>_Toc264873645</vt:lpwstr>
      </vt:variant>
      <vt:variant>
        <vt:i4>1966135</vt:i4>
      </vt:variant>
      <vt:variant>
        <vt:i4>44</vt:i4>
      </vt:variant>
      <vt:variant>
        <vt:i4>0</vt:i4>
      </vt:variant>
      <vt:variant>
        <vt:i4>5</vt:i4>
      </vt:variant>
      <vt:variant>
        <vt:lpwstr/>
      </vt:variant>
      <vt:variant>
        <vt:lpwstr>_Toc264873644</vt:lpwstr>
      </vt:variant>
      <vt:variant>
        <vt:i4>1966135</vt:i4>
      </vt:variant>
      <vt:variant>
        <vt:i4>38</vt:i4>
      </vt:variant>
      <vt:variant>
        <vt:i4>0</vt:i4>
      </vt:variant>
      <vt:variant>
        <vt:i4>5</vt:i4>
      </vt:variant>
      <vt:variant>
        <vt:lpwstr/>
      </vt:variant>
      <vt:variant>
        <vt:lpwstr>_Toc264873643</vt:lpwstr>
      </vt:variant>
      <vt:variant>
        <vt:i4>1966135</vt:i4>
      </vt:variant>
      <vt:variant>
        <vt:i4>32</vt:i4>
      </vt:variant>
      <vt:variant>
        <vt:i4>0</vt:i4>
      </vt:variant>
      <vt:variant>
        <vt:i4>5</vt:i4>
      </vt:variant>
      <vt:variant>
        <vt:lpwstr/>
      </vt:variant>
      <vt:variant>
        <vt:lpwstr>_Toc264873642</vt:lpwstr>
      </vt:variant>
      <vt:variant>
        <vt:i4>1966135</vt:i4>
      </vt:variant>
      <vt:variant>
        <vt:i4>26</vt:i4>
      </vt:variant>
      <vt:variant>
        <vt:i4>0</vt:i4>
      </vt:variant>
      <vt:variant>
        <vt:i4>5</vt:i4>
      </vt:variant>
      <vt:variant>
        <vt:lpwstr/>
      </vt:variant>
      <vt:variant>
        <vt:lpwstr>_Toc264873641</vt:lpwstr>
      </vt:variant>
      <vt:variant>
        <vt:i4>1966135</vt:i4>
      </vt:variant>
      <vt:variant>
        <vt:i4>20</vt:i4>
      </vt:variant>
      <vt:variant>
        <vt:i4>0</vt:i4>
      </vt:variant>
      <vt:variant>
        <vt:i4>5</vt:i4>
      </vt:variant>
      <vt:variant>
        <vt:lpwstr/>
      </vt:variant>
      <vt:variant>
        <vt:lpwstr>_Toc264873640</vt:lpwstr>
      </vt:variant>
      <vt:variant>
        <vt:i4>1638455</vt:i4>
      </vt:variant>
      <vt:variant>
        <vt:i4>14</vt:i4>
      </vt:variant>
      <vt:variant>
        <vt:i4>0</vt:i4>
      </vt:variant>
      <vt:variant>
        <vt:i4>5</vt:i4>
      </vt:variant>
      <vt:variant>
        <vt:lpwstr/>
      </vt:variant>
      <vt:variant>
        <vt:lpwstr>_Toc264873639</vt:lpwstr>
      </vt:variant>
      <vt:variant>
        <vt:i4>1638455</vt:i4>
      </vt:variant>
      <vt:variant>
        <vt:i4>8</vt:i4>
      </vt:variant>
      <vt:variant>
        <vt:i4>0</vt:i4>
      </vt:variant>
      <vt:variant>
        <vt:i4>5</vt:i4>
      </vt:variant>
      <vt:variant>
        <vt:lpwstr/>
      </vt:variant>
      <vt:variant>
        <vt:lpwstr>_Toc264873638</vt:lpwstr>
      </vt:variant>
      <vt:variant>
        <vt:i4>1638455</vt:i4>
      </vt:variant>
      <vt:variant>
        <vt:i4>2</vt:i4>
      </vt:variant>
      <vt:variant>
        <vt:i4>0</vt:i4>
      </vt:variant>
      <vt:variant>
        <vt:i4>5</vt:i4>
      </vt:variant>
      <vt:variant>
        <vt:lpwstr/>
      </vt:variant>
      <vt:variant>
        <vt:lpwstr>_Toc264873637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BASZ</dc:creator>
  <cp:lastModifiedBy>basz12345@outlook.com</cp:lastModifiedBy>
  <cp:revision>6</cp:revision>
  <cp:lastPrinted>2020-02-25T11:52:00Z</cp:lastPrinted>
  <dcterms:created xsi:type="dcterms:W3CDTF">2020-05-11T05:41:00Z</dcterms:created>
  <dcterms:modified xsi:type="dcterms:W3CDTF">2020-05-11T05:59:00Z</dcterms:modified>
</cp:coreProperties>
</file>