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podstawowy31"/>
        <w:spacing w:before="60" w:after="60"/>
        <w:contextualSpacing/>
        <w:rPr>
          <w:szCs w:val="24"/>
        </w:rPr>
      </w:pPr>
      <w:r>
        <w:rPr>
          <w:szCs w:val="24"/>
        </w:rPr>
        <w:t>Z A R Z Ą D Z E N I E   Nr  94/2021</w:t>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 xml:space="preserve">Burmistrza Miasta i Gminy Połaniec </w:t>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z dnia 19 sierpnia 2021 roku</w:t>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Tretekstu"/>
        <w:spacing w:before="0" w:after="200"/>
        <w:contextualSpacing/>
        <w:rPr>
          <w:rFonts w:ascii="Times New Roman" w:hAnsi="Times New Roman"/>
          <w:b/>
          <w:b/>
          <w:spacing w:val="-8"/>
          <w:szCs w:val="24"/>
        </w:rPr>
      </w:pPr>
      <w:r>
        <w:rPr>
          <w:rFonts w:ascii="Times New Roman" w:hAnsi="Times New Roman"/>
          <w:b/>
          <w:szCs w:val="24"/>
        </w:rPr>
        <w:t xml:space="preserve">w sprawie ogłoszenia pierwszego przetargu pisemnego nieograniczonego </w:t>
      </w:r>
      <w:r>
        <w:rPr>
          <w:rFonts w:ascii="Times New Roman" w:hAnsi="Times New Roman"/>
          <w:b/>
          <w:bCs/>
          <w:szCs w:val="24"/>
        </w:rPr>
        <w:t xml:space="preserve">na </w:t>
      </w:r>
      <w:r>
        <w:rPr>
          <w:rFonts w:ascii="Times New Roman" w:hAnsi="Times New Roman"/>
          <w:b/>
          <w:spacing w:val="-2"/>
          <w:szCs w:val="24"/>
        </w:rPr>
        <w:t xml:space="preserve">sprzedaż nieza-budowanej nieruchomości gruntowej, obszaru inwestycyjnego III o powierzchni 0,5491 ha, stanowiącej własność Gminy Połaniec, położonej </w:t>
      </w:r>
      <w:r>
        <w:rPr>
          <w:rFonts w:ascii="Times New Roman" w:hAnsi="Times New Roman"/>
          <w:b/>
          <w:spacing w:val="-8"/>
          <w:szCs w:val="24"/>
        </w:rPr>
        <w:t>w Połańcu przy ulicy Wyzwolenia, w obrębie Strefy  Inwestycyjnej B.</w:t>
      </w:r>
    </w:p>
    <w:p>
      <w:pPr>
        <w:pStyle w:val="Tretekstu"/>
        <w:spacing w:before="0" w:after="200"/>
        <w:contextualSpacing/>
        <w:rPr>
          <w:rFonts w:ascii="Times New Roman" w:hAnsi="Times New Roman"/>
          <w:b/>
          <w:b/>
          <w:bCs/>
          <w:szCs w:val="24"/>
        </w:rPr>
      </w:pPr>
      <w:r>
        <w:rPr>
          <w:rFonts w:ascii="Times New Roman" w:hAnsi="Times New Roman"/>
          <w:b/>
          <w:bCs/>
          <w:szCs w:val="24"/>
        </w:rPr>
        <w:t xml:space="preserve"> </w:t>
      </w:r>
    </w:p>
    <w:p>
      <w:pPr>
        <w:pStyle w:val="Tretekstu"/>
        <w:spacing w:before="0" w:after="0"/>
        <w:ind w:firstLine="708"/>
        <w:contextualSpacing/>
        <w:rPr>
          <w:rFonts w:ascii="Times New Roman" w:hAnsi="Times New Roman"/>
          <w:spacing w:val="2"/>
          <w:szCs w:val="24"/>
        </w:rPr>
      </w:pPr>
      <w:r>
        <w:rPr>
          <w:rFonts w:ascii="Times New Roman" w:hAnsi="Times New Roman"/>
          <w:spacing w:val="2"/>
          <w:szCs w:val="24"/>
        </w:rPr>
        <w:t xml:space="preserve">Na podstawie art. 30 ust. 1 i 2 pkt 3 ustawy z dnia 8 marca 1990 roku o samorządzie gminnym (t.j. Dz. U. z 2020 r. poz. 1372 ze zm.), art. 28, art. 37 ust. 1, art. 38 oraz art. 40 ust. 1 pkt 3 ustawy </w:t>
        <w:br/>
        <w:t xml:space="preserve">z dnia 21 sierpnia 1997 roku o gospodarce nieruchomościami (t.j. Dz. U. z 2020 r. poz. 1990 ze zm.) oraz § 6 ust. 1, oraz § 8 ust. 1 i 2 oraz § 16 rozporządzenia Rady Ministrów z dnia 14 września 2004 roku w sprawie sposobu i trybu przeprowadzania przetargów oraz rokowań na zbycie nieruchomości (t.j. Dz. U. z 2014 r. poz. 1490 ze zm.), w wykonaniu uchwały Nr XXXIII/207/2020 Rady Miejskiej w Połańcu z dnia 23 września 2020 r. w sprawie sprzedaży nieruchomości gruntowych położonych </w:t>
        <w:br/>
        <w:t>w Połańcu, przy ulicy Wyzwolenia, w obrębie Strefy Inwestycyjnej B, w drodze przetargu</w:t>
      </w:r>
    </w:p>
    <w:p>
      <w:pPr>
        <w:pStyle w:val="Tekstpodstawowy31"/>
        <w:spacing w:before="0" w:after="200"/>
        <w:contextualSpacing/>
        <w:jc w:val="both"/>
        <w:rPr>
          <w:szCs w:val="24"/>
        </w:rPr>
      </w:pPr>
      <w:r>
        <w:rPr>
          <w:szCs w:val="24"/>
        </w:rPr>
      </w:r>
    </w:p>
    <w:p>
      <w:pPr>
        <w:pStyle w:val="Tekstpodstawowy31"/>
        <w:spacing w:before="0" w:after="200"/>
        <w:contextualSpacing/>
        <w:rPr>
          <w:szCs w:val="24"/>
        </w:rPr>
      </w:pPr>
      <w:r>
        <w:rPr>
          <w:szCs w:val="24"/>
        </w:rPr>
        <w:t>zarządza się, co następuje:</w:t>
      </w:r>
    </w:p>
    <w:p>
      <w:pPr>
        <w:pStyle w:val="Tekstpodstawowy31"/>
        <w:spacing w:before="0" w:after="200"/>
        <w:contextualSpacing/>
        <w:jc w:val="both"/>
        <w:rPr>
          <w:szCs w:val="24"/>
        </w:rPr>
      </w:pPr>
      <w:r>
        <w:rPr>
          <w:szCs w:val="24"/>
        </w:rPr>
      </w:r>
    </w:p>
    <w:p>
      <w:pPr>
        <w:pStyle w:val="Tekstpodstawowy31"/>
        <w:spacing w:before="0" w:after="0"/>
        <w:ind w:left="360" w:hanging="0"/>
        <w:contextualSpacing/>
        <w:rPr>
          <w:szCs w:val="24"/>
        </w:rPr>
      </w:pPr>
      <w:r>
        <w:rPr>
          <w:szCs w:val="24"/>
        </w:rPr>
        <w:t>§ 1</w:t>
      </w:r>
    </w:p>
    <w:p>
      <w:pPr>
        <w:pStyle w:val="Tretekstu"/>
        <w:numPr>
          <w:ilvl w:val="0"/>
          <w:numId w:val="2"/>
        </w:numPr>
        <w:spacing w:before="0" w:after="200"/>
        <w:ind w:left="284" w:hanging="284"/>
        <w:contextualSpacing/>
        <w:rPr>
          <w:rFonts w:ascii="Times New Roman" w:hAnsi="Times New Roman"/>
          <w:spacing w:val="-2"/>
          <w:szCs w:val="24"/>
        </w:rPr>
      </w:pPr>
      <w:r>
        <w:rPr>
          <w:rFonts w:ascii="Times New Roman" w:hAnsi="Times New Roman"/>
          <w:szCs w:val="24"/>
        </w:rPr>
        <w:t xml:space="preserve">Ogłasza się pierwszy przetarg pisemny nieograniczony na </w:t>
      </w:r>
      <w:r>
        <w:rPr>
          <w:rFonts w:ascii="Times New Roman" w:hAnsi="Times New Roman"/>
          <w:spacing w:val="-2"/>
          <w:szCs w:val="24"/>
        </w:rPr>
        <w:t xml:space="preserve">sprzedaż niezabudowanej nieruchomości gruntowej, obszaru inwestycyjnego III o powierzchni 0,5491 ha, składającego się z działek nr: 8613/1 o powierzchni 0,1499 ha oraz 8613/2 o powierzchni 0,3992 ha, stanowiącej własność Gminy Połaniec, położonej </w:t>
      </w:r>
      <w:r>
        <w:rPr>
          <w:rFonts w:ascii="Times New Roman" w:hAnsi="Times New Roman"/>
          <w:spacing w:val="-8"/>
          <w:szCs w:val="24"/>
        </w:rPr>
        <w:t>w  Połańcu przy ulicy Wyzwolenia, w obrębie Strefy Inwestycyjnej B</w:t>
      </w:r>
      <w:r>
        <w:rPr>
          <w:rFonts w:ascii="Times New Roman" w:hAnsi="Times New Roman"/>
          <w:szCs w:val="24"/>
        </w:rPr>
        <w:t>.</w:t>
      </w:r>
    </w:p>
    <w:p>
      <w:pPr>
        <w:pStyle w:val="Tretekstu"/>
        <w:spacing w:before="0" w:after="200"/>
        <w:ind w:left="284" w:hanging="0"/>
        <w:contextualSpacing/>
        <w:rPr>
          <w:rFonts w:ascii="Times New Roman" w:hAnsi="Times New Roman"/>
          <w:b/>
          <w:b/>
          <w:spacing w:val="-2"/>
          <w:szCs w:val="24"/>
        </w:rPr>
      </w:pPr>
      <w:r>
        <w:rPr>
          <w:rFonts w:ascii="Times New Roman" w:hAnsi="Times New Roman"/>
          <w:szCs w:val="24"/>
        </w:rPr>
        <w:t>Ogłoszenie przetargowe stanowi załącznik do niniejszego Zarządzenia.</w:t>
      </w:r>
    </w:p>
    <w:p>
      <w:pPr>
        <w:pStyle w:val="Tretekstu"/>
        <w:numPr>
          <w:ilvl w:val="0"/>
          <w:numId w:val="2"/>
        </w:numPr>
        <w:spacing w:before="0" w:after="200"/>
        <w:ind w:left="284" w:hanging="284"/>
        <w:contextualSpacing/>
        <w:rPr>
          <w:rFonts w:ascii="Times New Roman" w:hAnsi="Times New Roman"/>
          <w:szCs w:val="24"/>
        </w:rPr>
      </w:pPr>
      <w:r>
        <w:rPr>
          <w:rFonts w:ascii="Times New Roman" w:hAnsi="Times New Roman"/>
          <w:szCs w:val="24"/>
        </w:rPr>
        <w:t xml:space="preserve">Warunki przetargu na sprzedaż nieruchomości, o której mowa w ust. 1, zawiera załącznik  </w:t>
        <w:br/>
        <w:t>nr 1 do ogłoszenia przetargowego.</w:t>
      </w:r>
    </w:p>
    <w:p>
      <w:pPr>
        <w:pStyle w:val="Tretekstu"/>
        <w:numPr>
          <w:ilvl w:val="0"/>
          <w:numId w:val="2"/>
        </w:numPr>
        <w:spacing w:before="0" w:after="200"/>
        <w:ind w:left="284" w:hanging="284"/>
        <w:contextualSpacing/>
        <w:rPr>
          <w:rFonts w:ascii="Times New Roman" w:hAnsi="Times New Roman"/>
          <w:szCs w:val="24"/>
        </w:rPr>
      </w:pPr>
      <w:r>
        <w:rPr>
          <w:rFonts w:ascii="Times New Roman" w:hAnsi="Times New Roman"/>
          <w:szCs w:val="24"/>
        </w:rPr>
        <w:t>Ustala się regulamin przetargu na sprzedaż nieruchomości, o której mowa w ust. 1, stanowiący załącznik nr 2 do ogłoszenia przetargowego.</w:t>
      </w:r>
    </w:p>
    <w:p>
      <w:pPr>
        <w:pStyle w:val="Tretekstu"/>
        <w:spacing w:before="0" w:after="200"/>
        <w:contextualSpacing/>
        <w:rPr>
          <w:rFonts w:ascii="Times New Roman" w:hAnsi="Times New Roman"/>
          <w:b/>
          <w:b/>
          <w:szCs w:val="24"/>
        </w:rPr>
      </w:pPr>
      <w:r>
        <w:rPr>
          <w:rFonts w:ascii="Times New Roman" w:hAnsi="Times New Roman"/>
          <w:b/>
          <w:szCs w:val="24"/>
        </w:rPr>
      </w:r>
    </w:p>
    <w:p>
      <w:pPr>
        <w:pStyle w:val="Tretekstu"/>
        <w:spacing w:before="0" w:after="200"/>
        <w:contextualSpacing/>
        <w:jc w:val="center"/>
        <w:rPr>
          <w:rFonts w:ascii="Times New Roman" w:hAnsi="Times New Roman"/>
          <w:b/>
          <w:b/>
          <w:szCs w:val="24"/>
        </w:rPr>
      </w:pPr>
      <w:r>
        <w:rPr>
          <w:rFonts w:ascii="Times New Roman" w:hAnsi="Times New Roman"/>
          <w:b/>
          <w:szCs w:val="24"/>
        </w:rPr>
        <w:t>§ 2</w:t>
      </w:r>
    </w:p>
    <w:p>
      <w:pPr>
        <w:pStyle w:val="Tretekstu"/>
        <w:spacing w:before="0" w:after="200"/>
        <w:contextualSpacing/>
        <w:rPr>
          <w:rFonts w:ascii="Times New Roman" w:hAnsi="Times New Roman"/>
          <w:szCs w:val="24"/>
        </w:rPr>
      </w:pPr>
      <w:r>
        <w:rPr>
          <w:rFonts w:ascii="Times New Roman" w:hAnsi="Times New Roman"/>
          <w:spacing w:val="-2"/>
          <w:szCs w:val="24"/>
        </w:rPr>
        <w:t>W celu przeprowadzenia czynności przetargowych na sprzedaż nieruchomości</w:t>
      </w:r>
      <w:r>
        <w:rPr>
          <w:rFonts w:ascii="Times New Roman" w:hAnsi="Times New Roman"/>
          <w:szCs w:val="24"/>
        </w:rPr>
        <w:t xml:space="preserve">, o której mowa </w:t>
        <w:br/>
        <w:t>w § 1, powołuje się Komisję Przetargową, zwaną dalej Komisją, w następującym składzie:</w:t>
      </w:r>
    </w:p>
    <w:p>
      <w:pPr>
        <w:pStyle w:val="Tretekstu"/>
        <w:spacing w:before="0" w:after="200"/>
        <w:contextualSpacing/>
        <w:rPr>
          <w:rFonts w:ascii="Times New Roman" w:hAnsi="Times New Roman"/>
          <w:szCs w:val="24"/>
        </w:rPr>
      </w:pPr>
      <w:r>
        <w:rPr>
          <w:rFonts w:ascii="Times New Roman" w:hAnsi="Times New Roman"/>
          <w:szCs w:val="24"/>
        </w:rPr>
      </w:r>
    </w:p>
    <w:p>
      <w:pPr>
        <w:pStyle w:val="Tretekstu"/>
        <w:numPr>
          <w:ilvl w:val="0"/>
          <w:numId w:val="1"/>
        </w:numPr>
        <w:overflowPunct w:val="false"/>
        <w:spacing w:before="160" w:after="200"/>
        <w:ind w:left="426" w:hanging="426"/>
        <w:contextualSpacing/>
        <w:rPr>
          <w:rFonts w:ascii="Times New Roman" w:hAnsi="Times New Roman"/>
          <w:szCs w:val="24"/>
        </w:rPr>
      </w:pPr>
      <w:r>
        <w:rPr>
          <w:rFonts w:ascii="Times New Roman" w:hAnsi="Times New Roman"/>
          <w:szCs w:val="24"/>
        </w:rPr>
        <w:t>Stachowicz Robert                   –    Przewodniczący Komisji</w:t>
      </w:r>
    </w:p>
    <w:p>
      <w:pPr>
        <w:pStyle w:val="Tretekstu"/>
        <w:numPr>
          <w:ilvl w:val="0"/>
          <w:numId w:val="1"/>
        </w:numPr>
        <w:overflowPunct w:val="false"/>
        <w:spacing w:before="160" w:after="200"/>
        <w:ind w:left="426" w:hanging="426"/>
        <w:contextualSpacing/>
        <w:rPr>
          <w:rFonts w:ascii="Times New Roman" w:hAnsi="Times New Roman"/>
          <w:szCs w:val="24"/>
        </w:rPr>
      </w:pPr>
      <w:r>
        <w:rPr>
          <w:rFonts w:ascii="Times New Roman" w:hAnsi="Times New Roman"/>
          <w:szCs w:val="24"/>
        </w:rPr>
        <w:t>Parcheta Teresa                        –    Zastępca Przewodniczącego Komisji</w:t>
      </w:r>
    </w:p>
    <w:p>
      <w:pPr>
        <w:pStyle w:val="Tretekstu"/>
        <w:numPr>
          <w:ilvl w:val="0"/>
          <w:numId w:val="1"/>
        </w:numPr>
        <w:overflowPunct w:val="false"/>
        <w:spacing w:before="160" w:after="200"/>
        <w:ind w:left="426" w:hanging="426"/>
        <w:contextualSpacing/>
        <w:rPr>
          <w:rFonts w:ascii="Times New Roman" w:hAnsi="Times New Roman"/>
          <w:szCs w:val="24"/>
        </w:rPr>
      </w:pPr>
      <w:r>
        <w:rPr>
          <w:rFonts w:ascii="Times New Roman" w:hAnsi="Times New Roman"/>
          <w:szCs w:val="24"/>
        </w:rPr>
        <w:t xml:space="preserve">Pasek Agnieszka                      –    Członek </w:t>
      </w:r>
    </w:p>
    <w:p>
      <w:pPr>
        <w:pStyle w:val="Tretekstu"/>
        <w:numPr>
          <w:ilvl w:val="0"/>
          <w:numId w:val="1"/>
        </w:numPr>
        <w:overflowPunct w:val="false"/>
        <w:spacing w:before="0" w:after="200"/>
        <w:ind w:left="426" w:hanging="426"/>
        <w:contextualSpacing/>
        <w:rPr>
          <w:rFonts w:ascii="Times New Roman" w:hAnsi="Times New Roman"/>
          <w:szCs w:val="24"/>
        </w:rPr>
      </w:pPr>
      <w:r>
        <w:rPr>
          <w:rFonts w:ascii="Times New Roman" w:hAnsi="Times New Roman"/>
          <w:szCs w:val="24"/>
        </w:rPr>
        <w:t>Kruzel–Witek Małgorzata       –    Członek</w:t>
      </w:r>
    </w:p>
    <w:p>
      <w:pPr>
        <w:pStyle w:val="Tretekstu"/>
        <w:numPr>
          <w:ilvl w:val="0"/>
          <w:numId w:val="1"/>
        </w:numPr>
        <w:overflowPunct w:val="false"/>
        <w:spacing w:before="0" w:after="120"/>
        <w:ind w:left="426" w:hanging="426"/>
        <w:contextualSpacing/>
        <w:rPr>
          <w:rFonts w:ascii="Times New Roman" w:hAnsi="Times New Roman"/>
          <w:szCs w:val="24"/>
        </w:rPr>
      </w:pPr>
      <w:r>
        <w:rPr>
          <w:rFonts w:ascii="Times New Roman" w:hAnsi="Times New Roman"/>
          <w:szCs w:val="24"/>
        </w:rPr>
        <w:t xml:space="preserve">Przybyło Barbara                     –    Członek </w:t>
      </w:r>
    </w:p>
    <w:p>
      <w:pPr>
        <w:pStyle w:val="Tretekstu"/>
        <w:overflowPunct w:val="false"/>
        <w:spacing w:before="0" w:after="120"/>
        <w:ind w:left="992" w:hanging="0"/>
        <w:contextualSpacing/>
        <w:rPr>
          <w:rFonts w:ascii="Times New Roman" w:hAnsi="Times New Roman"/>
          <w:szCs w:val="24"/>
        </w:rPr>
      </w:pPr>
      <w:r>
        <w:rPr>
          <w:rFonts w:ascii="Times New Roman" w:hAnsi="Times New Roman"/>
          <w:szCs w:val="24"/>
        </w:rPr>
      </w:r>
    </w:p>
    <w:p>
      <w:pPr>
        <w:pStyle w:val="Tretekstu"/>
        <w:spacing w:before="0" w:after="200"/>
        <w:contextualSpacing/>
        <w:rPr>
          <w:rFonts w:ascii="Times New Roman" w:hAnsi="Times New Roman"/>
          <w:b/>
          <w:b/>
          <w:szCs w:val="24"/>
        </w:rPr>
      </w:pPr>
      <w:r>
        <w:rPr>
          <w:rFonts w:ascii="Times New Roman" w:hAnsi="Times New Roman"/>
          <w:spacing w:val="4"/>
          <w:szCs w:val="24"/>
        </w:rPr>
        <w:t>W przypadku nieobecności Przewodniczącego Komisji, czynności przetargowych dokona Zastępca Przewodniczącego Komisji, a w razie jego nieobecności – kolejny członek Komisji.</w:t>
      </w:r>
    </w:p>
    <w:p>
      <w:pPr>
        <w:pStyle w:val="Normal"/>
        <w:spacing w:lineRule="auto" w:line="240" w:before="120" w:after="0"/>
        <w:contextualSpacing/>
        <w:jc w:val="both"/>
        <w:rPr>
          <w:rFonts w:ascii="Times New Roman" w:hAnsi="Times New Roman" w:cs="Times New Roman"/>
          <w:spacing w:val="4"/>
          <w:sz w:val="24"/>
          <w:szCs w:val="24"/>
        </w:rPr>
      </w:pPr>
      <w:r>
        <w:rPr>
          <w:rFonts w:cs="Times New Roman" w:ascii="Times New Roman" w:hAnsi="Times New Roman"/>
          <w:spacing w:val="4"/>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 3</w:t>
      </w:r>
    </w:p>
    <w:p>
      <w:pPr>
        <w:pStyle w:val="Normal"/>
        <w:spacing w:lineRule="auto" w:line="240" w:before="0" w:after="360"/>
        <w:contextualSpacing/>
        <w:jc w:val="both"/>
        <w:rPr>
          <w:rFonts w:ascii="Times New Roman" w:hAnsi="Times New Roman" w:cs="Times New Roman"/>
          <w:sz w:val="24"/>
          <w:szCs w:val="24"/>
        </w:rPr>
      </w:pPr>
      <w:r>
        <w:rPr>
          <w:rFonts w:cs="Times New Roman" w:ascii="Times New Roman" w:hAnsi="Times New Roman"/>
          <w:sz w:val="24"/>
          <w:szCs w:val="24"/>
        </w:rPr>
        <w:t>Zarządzenie wchodzi w życie z dniem podjęcia i obowiązuje do czasu pozytywnego zakończenia przetargu.</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agwek2"/>
        <w:spacing w:before="0" w:after="0"/>
        <w:contextualSpacing/>
        <w:jc w:val="both"/>
        <w:rPr>
          <w:rFonts w:ascii="Times New Roman" w:hAnsi="Times New Roman" w:cs="Times New Roman"/>
          <w:b w:val="false"/>
          <w:b w:val="false"/>
          <w:i w:val="false"/>
          <w:i w:val="false"/>
          <w:sz w:val="20"/>
          <w:szCs w:val="20"/>
        </w:rPr>
      </w:pPr>
      <w:r>
        <w:rPr>
          <w:rFonts w:cs="Times New Roman" w:ascii="Times New Roman" w:hAnsi="Times New Roman"/>
          <w:i w:val="false"/>
          <w:sz w:val="24"/>
          <w:szCs w:val="24"/>
        </w:rPr>
        <w:t xml:space="preserve">                                                                                                             </w:t>
      </w:r>
      <w:r>
        <w:rPr>
          <w:rFonts w:cs="Times New Roman" w:ascii="Times New Roman" w:hAnsi="Times New Roman"/>
          <w:b w:val="false"/>
          <w:i w:val="false"/>
          <w:sz w:val="20"/>
          <w:szCs w:val="20"/>
        </w:rPr>
        <w:t>Załącznik  do Zarządzenia Nr 94/2021</w:t>
      </w:r>
    </w:p>
    <w:p>
      <w:pPr>
        <w:pStyle w:val="Normal"/>
        <w:spacing w:lineRule="auto" w:line="24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Burmistrza Miasta i Gminy Połaniec</w:t>
      </w:r>
    </w:p>
    <w:p>
      <w:pPr>
        <w:pStyle w:val="Normal"/>
        <w:spacing w:lineRule="auto" w:line="24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z dnia 19 sierpnia 2021 roku</w:t>
      </w:r>
    </w:p>
    <w:p>
      <w:pPr>
        <w:pStyle w:val="Normal"/>
        <w:spacing w:lineRule="auto" w:line="240" w:before="0" w:after="200"/>
        <w:contextualSpacing/>
        <w:jc w:val="center"/>
        <w:rPr>
          <w:rFonts w:ascii="Times New Roman" w:hAnsi="Times New Roman" w:cs="Times New Roman"/>
          <w:bCs/>
          <w:sz w:val="20"/>
          <w:szCs w:val="20"/>
        </w:rPr>
      </w:pPr>
      <w:r>
        <w:rPr>
          <w:rFonts w:cs="Times New Roman" w:ascii="Times New Roman" w:hAnsi="Times New Roman"/>
          <w:bCs/>
          <w:sz w:val="20"/>
          <w:szCs w:val="20"/>
        </w:rPr>
      </w:r>
    </w:p>
    <w:p>
      <w:pPr>
        <w:pStyle w:val="Normal"/>
        <w:spacing w:lineRule="auto" w:line="240" w:before="0" w:after="200"/>
        <w:contextualSpacing/>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b/>
          <w:bCs/>
          <w:sz w:val="24"/>
          <w:szCs w:val="24"/>
        </w:rPr>
        <w:t xml:space="preserve">BURMISTRZ MIASTA I GMINY POŁANIEC </w:t>
      </w:r>
    </w:p>
    <w:p>
      <w:pPr>
        <w:pStyle w:val="Normal"/>
        <w:tabs>
          <w:tab w:val="clear" w:pos="708"/>
          <w:tab w:val="left" w:pos="3420" w:leader="none"/>
          <w:tab w:val="center" w:pos="4986" w:leader="none"/>
        </w:tabs>
        <w:spacing w:lineRule="auto" w:line="240" w:before="0" w:after="200"/>
        <w:contextualSpacing/>
        <w:jc w:val="center"/>
        <w:rPr>
          <w:rFonts w:ascii="Times New Roman" w:hAnsi="Times New Roman" w:cs="Times New Roman"/>
          <w:b/>
          <w:b/>
          <w:bCs/>
          <w:sz w:val="24"/>
          <w:szCs w:val="24"/>
        </w:rPr>
      </w:pPr>
      <w:r>
        <w:rPr>
          <w:rFonts w:cs="Times New Roman" w:ascii="Times New Roman" w:hAnsi="Times New Roman"/>
          <w:b/>
          <w:bCs/>
          <w:sz w:val="24"/>
          <w:szCs w:val="24"/>
        </w:rPr>
        <w:t>ogłasza</w:t>
      </w:r>
    </w:p>
    <w:p>
      <w:pPr>
        <w:pStyle w:val="Normal"/>
        <w:spacing w:lineRule="auto" w:line="240" w:before="0" w:after="200"/>
        <w:contextualSpacing/>
        <w:jc w:val="center"/>
        <w:rPr>
          <w:rFonts w:ascii="Times New Roman" w:hAnsi="Times New Roman" w:cs="Times New Roman"/>
          <w:b/>
          <w:b/>
          <w:bCs/>
          <w:sz w:val="24"/>
          <w:szCs w:val="24"/>
        </w:rPr>
      </w:pPr>
      <w:r>
        <w:rPr>
          <w:rFonts w:cs="Times New Roman" w:ascii="Times New Roman" w:hAnsi="Times New Roman"/>
          <w:b/>
          <w:bCs/>
          <w:sz w:val="24"/>
          <w:szCs w:val="24"/>
        </w:rPr>
        <w:t>pierwszy przetarg pisemny nieograniczony</w:t>
      </w:r>
    </w:p>
    <w:p>
      <w:pPr>
        <w:pStyle w:val="Tretekstu"/>
        <w:spacing w:before="0" w:after="200"/>
        <w:contextualSpacing/>
        <w:rPr>
          <w:rFonts w:ascii="Times New Roman" w:hAnsi="Times New Roman"/>
          <w:b/>
          <w:b/>
          <w:spacing w:val="-2"/>
          <w:szCs w:val="24"/>
        </w:rPr>
      </w:pPr>
      <w:r>
        <w:rPr>
          <w:rFonts w:ascii="Times New Roman" w:hAnsi="Times New Roman"/>
          <w:b/>
          <w:spacing w:val="-2"/>
          <w:szCs w:val="24"/>
        </w:rPr>
        <w:t xml:space="preserve">na sprzedaż niezabudowanej nieruchomości gruntowej, obszaru inwestycyjnego III o powierzchni 0,5491 ha, stanowiącej własność Gminy Połaniec, położonej </w:t>
      </w:r>
      <w:r>
        <w:rPr>
          <w:rFonts w:ascii="Times New Roman" w:hAnsi="Times New Roman"/>
          <w:b/>
          <w:spacing w:val="-8"/>
          <w:szCs w:val="24"/>
        </w:rPr>
        <w:t xml:space="preserve">w Połańcu przy ulicy Wyzwolenia, </w:t>
        <w:br/>
        <w:t>w obrębie Strefy Inwestycyjnej B.</w:t>
      </w:r>
    </w:p>
    <w:p>
      <w:pPr>
        <w:pStyle w:val="Tretekstu"/>
        <w:spacing w:before="0" w:after="0"/>
        <w:contextualSpacing/>
        <w:rPr>
          <w:rFonts w:ascii="Times New Roman" w:hAnsi="Times New Roman"/>
          <w:b/>
          <w:b/>
          <w:bCs/>
          <w:szCs w:val="24"/>
        </w:rPr>
      </w:pPr>
      <w:r>
        <w:rPr>
          <w:rFonts w:ascii="Times New Roman" w:hAnsi="Times New Roman"/>
          <w:b/>
          <w:bCs/>
          <w:szCs w:val="24"/>
        </w:rPr>
      </w:r>
    </w:p>
    <w:p>
      <w:pPr>
        <w:pStyle w:val="Tretekstu"/>
        <w:overflowPunct w:val="false"/>
        <w:spacing w:before="0" w:after="0"/>
        <w:ind w:left="62" w:hanging="62"/>
        <w:contextualSpacing/>
        <w:rPr>
          <w:rFonts w:ascii="Times New Roman" w:hAnsi="Times New Roman"/>
          <w:bCs/>
          <w:szCs w:val="24"/>
        </w:rPr>
      </w:pPr>
      <w:r>
        <w:rPr>
          <w:rFonts w:ascii="Times New Roman" w:hAnsi="Times New Roman"/>
          <w:bCs/>
          <w:szCs w:val="24"/>
        </w:rPr>
        <w:t>Przedmiot ogłoszenia</w:t>
      </w:r>
    </w:p>
    <w:p>
      <w:pPr>
        <w:pStyle w:val="Tretekstu"/>
        <w:overflowPunct w:val="false"/>
        <w:spacing w:before="0" w:after="0"/>
        <w:contextualSpacing/>
        <w:rPr>
          <w:rFonts w:ascii="Times New Roman" w:hAnsi="Times New Roman"/>
          <w:b/>
          <w:b/>
          <w:bCs/>
          <w:szCs w:val="24"/>
        </w:rPr>
      </w:pPr>
      <w:r>
        <w:rPr>
          <w:rFonts w:ascii="Times New Roman" w:hAnsi="Times New Roman"/>
          <w:bCs/>
          <w:szCs w:val="24"/>
        </w:rPr>
        <w:t xml:space="preserve">Niezabudowana nieruchomość gruntowa położona w obrębie strefy inwestycyjnej B w Połańcu przy ulicy Wyzwolenia,  określona jako obszar </w:t>
      </w:r>
      <w:r>
        <w:rPr>
          <w:rFonts w:ascii="Times New Roman" w:hAnsi="Times New Roman"/>
          <w:b/>
          <w:bCs/>
          <w:szCs w:val="24"/>
        </w:rPr>
        <w:t>III</w:t>
      </w:r>
      <w:r>
        <w:rPr>
          <w:rFonts w:ascii="Times New Roman" w:hAnsi="Times New Roman"/>
          <w:bCs/>
          <w:szCs w:val="24"/>
        </w:rPr>
        <w:t xml:space="preserve"> </w:t>
      </w:r>
      <w:r>
        <w:rPr>
          <w:rFonts w:ascii="Times New Roman" w:hAnsi="Times New Roman"/>
          <w:b/>
          <w:bCs/>
          <w:szCs w:val="24"/>
        </w:rPr>
        <w:t>o powierzchni 0,5491 ha</w:t>
      </w:r>
      <w:r>
        <w:rPr>
          <w:rFonts w:ascii="Times New Roman" w:hAnsi="Times New Roman"/>
          <w:bCs/>
          <w:szCs w:val="24"/>
        </w:rPr>
        <w:t xml:space="preserve"> składa się z działek oznaczonych  w ewidencji gruntów obrębu 01 Połaniec numerami: </w:t>
      </w:r>
      <w:r>
        <w:rPr>
          <w:rFonts w:ascii="Times New Roman" w:hAnsi="Times New Roman"/>
          <w:b/>
          <w:bCs/>
          <w:szCs w:val="24"/>
        </w:rPr>
        <w:t>8613/1  o powierzchni  0,1499 ha</w:t>
      </w:r>
      <w:r>
        <w:rPr>
          <w:rFonts w:ascii="Times New Roman" w:hAnsi="Times New Roman"/>
          <w:bCs/>
          <w:szCs w:val="24"/>
        </w:rPr>
        <w:t xml:space="preserve"> i </w:t>
      </w:r>
      <w:r>
        <w:rPr>
          <w:rFonts w:ascii="Times New Roman" w:hAnsi="Times New Roman"/>
          <w:b/>
          <w:bCs/>
          <w:szCs w:val="24"/>
        </w:rPr>
        <w:t xml:space="preserve">8613/2 </w:t>
        <w:br/>
        <w:t>o powierzchni 0,3992 ha.</w:t>
      </w:r>
      <w:r>
        <w:rPr>
          <w:rFonts w:ascii="Times New Roman" w:hAnsi="Times New Roman"/>
          <w:bCs/>
          <w:szCs w:val="24"/>
        </w:rPr>
        <w:t xml:space="preserve"> </w:t>
      </w:r>
      <w:r>
        <w:rPr>
          <w:rFonts w:ascii="Times New Roman" w:hAnsi="Times New Roman"/>
          <w:szCs w:val="24"/>
        </w:rPr>
        <w:t xml:space="preserve">Działki te zostały </w:t>
      </w:r>
      <w:r>
        <w:rPr>
          <w:rFonts w:ascii="Times New Roman" w:hAnsi="Times New Roman"/>
          <w:bCs/>
          <w:szCs w:val="24"/>
        </w:rPr>
        <w:t xml:space="preserve">uregulowane w księdze wieczystej nr </w:t>
      </w:r>
      <w:r>
        <w:rPr>
          <w:rFonts w:ascii="Times New Roman" w:hAnsi="Times New Roman"/>
          <w:b/>
          <w:bCs/>
          <w:szCs w:val="24"/>
        </w:rPr>
        <w:t xml:space="preserve">KI1A/00017225/1 </w:t>
      </w:r>
      <w:r>
        <w:rPr>
          <w:rFonts w:ascii="Times New Roman" w:hAnsi="Times New Roman"/>
          <w:szCs w:val="24"/>
        </w:rPr>
        <w:t>prowadzonej w Sądzie Rejonowym w Staszowie.</w:t>
      </w:r>
    </w:p>
    <w:p>
      <w:pPr>
        <w:pStyle w:val="Tretekstu"/>
        <w:spacing w:before="0" w:after="0"/>
        <w:contextualSpacing/>
        <w:rPr>
          <w:rFonts w:ascii="Times New Roman" w:hAnsi="Times New Roman"/>
          <w:bCs/>
          <w:szCs w:val="24"/>
        </w:rPr>
      </w:pPr>
      <w:r>
        <w:rPr>
          <w:rFonts w:ascii="Times New Roman" w:hAnsi="Times New Roman"/>
          <w:szCs w:val="24"/>
        </w:rPr>
        <w:t>Nieruchomość ta nie jest obciążona żadnymi długami, zobowiązaniami bądź roszczeniami na rzecz osób trzecich.</w:t>
      </w:r>
    </w:p>
    <w:p>
      <w:pPr>
        <w:pStyle w:val="Tretekstu"/>
        <w:spacing w:before="0" w:after="0"/>
        <w:contextualSpacing/>
        <w:rPr>
          <w:rFonts w:ascii="Times New Roman" w:hAnsi="Times New Roman"/>
          <w:bCs/>
          <w:szCs w:val="24"/>
        </w:rPr>
      </w:pPr>
      <w:r>
        <w:rPr>
          <w:rFonts w:ascii="Times New Roman" w:hAnsi="Times New Roman"/>
          <w:szCs w:val="24"/>
        </w:rPr>
        <w:t>Z</w:t>
      </w:r>
      <w:r>
        <w:rPr>
          <w:rFonts w:ascii="Times New Roman" w:hAnsi="Times New Roman"/>
          <w:bCs/>
          <w:szCs w:val="24"/>
        </w:rPr>
        <w:t xml:space="preserve">godnie z miejscowym planem zagospodarowania przestrzennego miasta Połańca (część I obejmująca północną część miasta Połańca do rzeki Czarnej) uchwalonym Uchwałą Nr XXXII/231/05 Rady Miejskiej w Połańcu  z dnia 29 czerwca 2005 r. (Dz.Urz.Woj. Święt. z dnia 23 sierpnia 2005 r. nr 201 poz. 2379) wraz z jego zmianą uchwaloną Uchwałą Nr V/20/2015 Rady Miejskiej w Połańcu z dnia </w:t>
        <w:br/>
        <w:t xml:space="preserve">29 stycznia 2015 r. (Dz.Urz.Woj. Święt. z dnia 10 marca 2015 r. poz, 843) przedmiotowe działki nr </w:t>
      </w:r>
      <w:r>
        <w:rPr>
          <w:rFonts w:ascii="Times New Roman" w:hAnsi="Times New Roman"/>
          <w:b/>
          <w:bCs/>
          <w:szCs w:val="24"/>
        </w:rPr>
        <w:t>8613/1 i 8613/2</w:t>
      </w:r>
      <w:r>
        <w:rPr>
          <w:rFonts w:ascii="Times New Roman" w:hAnsi="Times New Roman"/>
          <w:bCs/>
          <w:szCs w:val="24"/>
        </w:rPr>
        <w:t xml:space="preserve">  znajdują się  na terenach zabudowy usługowej i obiektów produkcyjnych, składów </w:t>
        <w:br/>
        <w:t xml:space="preserve">i magazynów – symbol w </w:t>
      </w:r>
      <w:r>
        <w:rPr>
          <w:rFonts w:ascii="Times New Roman" w:hAnsi="Times New Roman"/>
          <w:b/>
          <w:bCs/>
          <w:szCs w:val="24"/>
        </w:rPr>
        <w:t>planie U/P-8.</w:t>
      </w:r>
      <w:r>
        <w:rPr>
          <w:rFonts w:ascii="Times New Roman" w:hAnsi="Times New Roman"/>
          <w:bCs/>
          <w:szCs w:val="24"/>
        </w:rPr>
        <w:t xml:space="preserve"> </w:t>
      </w:r>
    </w:p>
    <w:p>
      <w:pPr>
        <w:pStyle w:val="Tretekstu"/>
        <w:spacing w:before="0" w:after="0"/>
        <w:contextualSpacing/>
        <w:rPr>
          <w:rFonts w:ascii="Times New Roman" w:hAnsi="Times New Roman"/>
          <w:bCs/>
          <w:szCs w:val="24"/>
        </w:rPr>
      </w:pPr>
      <w:r>
        <w:rPr>
          <w:rFonts w:ascii="Times New Roman" w:hAnsi="Times New Roman"/>
          <w:bCs/>
          <w:szCs w:val="24"/>
        </w:rPr>
        <w:t xml:space="preserve">Zasady zabudowy i zagospodarowania tych działek zgodne z powołanym wyżej </w:t>
      </w:r>
      <w:r>
        <w:rPr>
          <w:rFonts w:ascii="Times New Roman" w:hAnsi="Times New Roman"/>
          <w:szCs w:val="24"/>
        </w:rPr>
        <w:t>miejscowym planem zagospodarowania przestrzennego</w:t>
      </w:r>
      <w:r>
        <w:rPr>
          <w:rFonts w:ascii="Times New Roman" w:hAnsi="Times New Roman"/>
          <w:bCs/>
          <w:szCs w:val="24"/>
        </w:rPr>
        <w:t>.</w:t>
      </w:r>
    </w:p>
    <w:p>
      <w:pPr>
        <w:pStyle w:val="Tretekstu"/>
        <w:overflowPunct w:val="false"/>
        <w:spacing w:before="0" w:after="0"/>
        <w:contextualSpacing/>
        <w:rPr/>
      </w:pPr>
      <w:r>
        <w:rPr>
          <w:rFonts w:ascii="Times New Roman" w:hAnsi="Times New Roman"/>
          <w:bCs/>
          <w:szCs w:val="24"/>
        </w:rPr>
        <w:t xml:space="preserve">Informacje wynikające z wyżej wymienionych uchwał można uzyskać na stronie internetowej: </w:t>
      </w:r>
      <w:hyperlink r:id="rId2">
        <w:r>
          <w:rPr>
            <w:rStyle w:val="Czeinternetowe"/>
            <w:rFonts w:ascii="Times New Roman" w:hAnsi="Times New Roman"/>
            <w:bCs/>
            <w:szCs w:val="24"/>
          </w:rPr>
          <w:t>www.bip.umig.polaniec.pl</w:t>
        </w:r>
      </w:hyperlink>
      <w:r>
        <w:rPr>
          <w:rFonts w:ascii="Times New Roman" w:hAnsi="Times New Roman"/>
          <w:bCs/>
          <w:szCs w:val="24"/>
        </w:rPr>
        <w:t xml:space="preserve"> – w zakładce „uchwały”.</w:t>
      </w:r>
    </w:p>
    <w:p>
      <w:pPr>
        <w:pStyle w:val="Tretekstu"/>
        <w:overflowPunct w:val="false"/>
        <w:spacing w:before="0" w:after="0"/>
        <w:contextualSpacing/>
        <w:rPr>
          <w:rFonts w:ascii="Times New Roman" w:hAnsi="Times New Roman"/>
          <w:szCs w:val="24"/>
        </w:rPr>
      </w:pPr>
      <w:r>
        <w:rPr>
          <w:rFonts w:ascii="Times New Roman" w:hAnsi="Times New Roman"/>
          <w:szCs w:val="24"/>
        </w:rPr>
      </w:r>
    </w:p>
    <w:p>
      <w:pPr>
        <w:pStyle w:val="Tretekstu"/>
        <w:overflowPunct w:val="false"/>
        <w:spacing w:before="0" w:after="0"/>
        <w:contextualSpacing/>
        <w:rPr>
          <w:rFonts w:ascii="Times New Roman" w:hAnsi="Times New Roman"/>
          <w:szCs w:val="24"/>
        </w:rPr>
      </w:pPr>
      <w:r>
        <w:rPr>
          <w:rFonts w:ascii="Times New Roman" w:hAnsi="Times New Roman"/>
          <w:szCs w:val="24"/>
        </w:rPr>
        <w:t xml:space="preserve">Zgodnie </w:t>
      </w:r>
      <w:r>
        <w:rPr>
          <w:rFonts w:ascii="Times New Roman" w:hAnsi="Times New Roman"/>
          <w:bCs/>
          <w:szCs w:val="24"/>
        </w:rPr>
        <w:t xml:space="preserve">z wyżej wymienionym </w:t>
      </w:r>
      <w:r>
        <w:rPr>
          <w:rFonts w:ascii="Times New Roman" w:hAnsi="Times New Roman"/>
          <w:szCs w:val="24"/>
        </w:rPr>
        <w:t>miejscowym planem zagospodarowania przestrzennego zostały ustalone z</w:t>
      </w:r>
      <w:r>
        <w:rPr>
          <w:rFonts w:ascii="Times New Roman" w:hAnsi="Times New Roman"/>
          <w:bCs/>
          <w:szCs w:val="24"/>
        </w:rPr>
        <w:t xml:space="preserve">asady zabudowy i zagospodarowania tej nieruchomości, które </w:t>
      </w:r>
      <w:r>
        <w:rPr>
          <w:rFonts w:ascii="Times New Roman" w:hAnsi="Times New Roman"/>
          <w:szCs w:val="24"/>
        </w:rPr>
        <w:t>określają między innymi:</w:t>
      </w:r>
    </w:p>
    <w:p>
      <w:pPr>
        <w:pStyle w:val="Tretekstu"/>
        <w:numPr>
          <w:ilvl w:val="0"/>
          <w:numId w:val="5"/>
        </w:numPr>
        <w:spacing w:before="0" w:after="0"/>
        <w:ind w:left="426" w:hanging="360"/>
        <w:contextualSpacing/>
        <w:rPr>
          <w:rFonts w:ascii="Times New Roman" w:hAnsi="Times New Roman"/>
          <w:bCs/>
          <w:szCs w:val="24"/>
        </w:rPr>
      </w:pPr>
      <w:r>
        <w:rPr>
          <w:rFonts w:ascii="Times New Roman" w:hAnsi="Times New Roman"/>
          <w:bCs/>
          <w:szCs w:val="24"/>
        </w:rPr>
        <w:t>wskaźnik powierzchni zabudowy nie może przekraczać 90%;</w:t>
      </w:r>
    </w:p>
    <w:p>
      <w:pPr>
        <w:pStyle w:val="Tretekstu"/>
        <w:numPr>
          <w:ilvl w:val="0"/>
          <w:numId w:val="5"/>
        </w:numPr>
        <w:spacing w:before="0" w:after="0"/>
        <w:ind w:left="426" w:hanging="360"/>
        <w:contextualSpacing/>
        <w:rPr>
          <w:rFonts w:ascii="Times New Roman" w:hAnsi="Times New Roman"/>
          <w:bCs/>
          <w:szCs w:val="24"/>
        </w:rPr>
      </w:pPr>
      <w:r>
        <w:rPr>
          <w:rFonts w:ascii="Times New Roman" w:hAnsi="Times New Roman"/>
          <w:bCs/>
          <w:szCs w:val="24"/>
        </w:rPr>
        <w:t>wskaźnik powierzchni biologicznie czynnej nie może być mniejszy niż 10%;</w:t>
      </w:r>
    </w:p>
    <w:p>
      <w:pPr>
        <w:pStyle w:val="Tretekstu"/>
        <w:numPr>
          <w:ilvl w:val="0"/>
          <w:numId w:val="5"/>
        </w:numPr>
        <w:spacing w:before="0" w:after="0"/>
        <w:ind w:left="426" w:hanging="360"/>
        <w:contextualSpacing/>
        <w:rPr>
          <w:rFonts w:ascii="Times New Roman" w:hAnsi="Times New Roman"/>
          <w:bCs/>
          <w:szCs w:val="24"/>
        </w:rPr>
      </w:pPr>
      <w:r>
        <w:rPr>
          <w:rFonts w:ascii="Times New Roman" w:hAnsi="Times New Roman"/>
          <w:bCs/>
          <w:szCs w:val="24"/>
        </w:rPr>
        <w:t>minimalna intensywność zabudowy 0,1;</w:t>
      </w:r>
    </w:p>
    <w:p>
      <w:pPr>
        <w:pStyle w:val="Tretekstu"/>
        <w:numPr>
          <w:ilvl w:val="0"/>
          <w:numId w:val="5"/>
        </w:numPr>
        <w:spacing w:before="0" w:after="0"/>
        <w:ind w:left="426" w:hanging="360"/>
        <w:contextualSpacing/>
        <w:rPr>
          <w:rFonts w:ascii="Times New Roman" w:hAnsi="Times New Roman"/>
          <w:bCs/>
          <w:szCs w:val="24"/>
        </w:rPr>
      </w:pPr>
      <w:r>
        <w:rPr>
          <w:rFonts w:ascii="Times New Roman" w:hAnsi="Times New Roman"/>
          <w:bCs/>
          <w:szCs w:val="24"/>
        </w:rPr>
        <w:t>maksymalna intensywność zabudowy 2,5;</w:t>
      </w:r>
    </w:p>
    <w:p>
      <w:pPr>
        <w:pStyle w:val="Tretekstu"/>
        <w:numPr>
          <w:ilvl w:val="0"/>
          <w:numId w:val="5"/>
        </w:numPr>
        <w:spacing w:before="0" w:after="0"/>
        <w:ind w:left="426" w:hanging="360"/>
        <w:contextualSpacing/>
        <w:rPr>
          <w:rFonts w:ascii="Times New Roman" w:hAnsi="Times New Roman"/>
          <w:bCs/>
          <w:szCs w:val="24"/>
        </w:rPr>
      </w:pPr>
      <w:r>
        <w:rPr>
          <w:rFonts w:ascii="Times New Roman" w:hAnsi="Times New Roman"/>
          <w:bCs/>
          <w:szCs w:val="24"/>
        </w:rPr>
        <w:t>dla obiektów budowlanych należy zapewnić miejsca postojowe, do których wlicza się miejsca na parkingach terenowych, miejsca w garażach podziemnych i garażach wielopoziomowych,  ustala się min. 1 miejsce parkingowe na 15 zatrudnionych pracowników;</w:t>
      </w:r>
    </w:p>
    <w:p>
      <w:pPr>
        <w:pStyle w:val="Tretekstu"/>
        <w:numPr>
          <w:ilvl w:val="0"/>
          <w:numId w:val="5"/>
        </w:numPr>
        <w:spacing w:before="0" w:after="0"/>
        <w:ind w:left="426" w:hanging="360"/>
        <w:contextualSpacing/>
        <w:rPr>
          <w:rFonts w:ascii="Times New Roman" w:hAnsi="Times New Roman"/>
          <w:bCs/>
          <w:szCs w:val="24"/>
        </w:rPr>
      </w:pPr>
      <w:r>
        <w:rPr>
          <w:rFonts w:ascii="Times New Roman" w:hAnsi="Times New Roman"/>
          <w:szCs w:val="24"/>
        </w:rPr>
        <w:t>forma architektoniczna budynków powinna spełniać następujące wymagania:</w:t>
      </w:r>
    </w:p>
    <w:p>
      <w:pPr>
        <w:pStyle w:val="Tretekstu"/>
        <w:numPr>
          <w:ilvl w:val="0"/>
          <w:numId w:val="6"/>
        </w:numPr>
        <w:spacing w:before="0" w:after="0"/>
        <w:ind w:left="709" w:hanging="283"/>
        <w:contextualSpacing/>
        <w:rPr>
          <w:rFonts w:ascii="Times New Roman" w:hAnsi="Times New Roman"/>
          <w:bCs/>
          <w:szCs w:val="24"/>
        </w:rPr>
      </w:pPr>
      <w:r>
        <w:rPr>
          <w:rFonts w:ascii="Times New Roman" w:hAnsi="Times New Roman"/>
          <w:bCs/>
          <w:szCs w:val="24"/>
        </w:rPr>
        <w:t>wysokość budynków nie może przekraczać 30 m; dopuszcza się większą wysokość budowli, obiektów i urządzeń np. masztów, instalacji itp., jeżeli wynika to z przyjętej technologii</w:t>
      </w:r>
    </w:p>
    <w:p>
      <w:pPr>
        <w:pStyle w:val="Tretekstu"/>
        <w:numPr>
          <w:ilvl w:val="0"/>
          <w:numId w:val="6"/>
        </w:numPr>
        <w:spacing w:before="0" w:after="0"/>
        <w:ind w:left="709" w:hanging="283"/>
        <w:contextualSpacing/>
        <w:rPr>
          <w:rFonts w:ascii="Times New Roman" w:hAnsi="Times New Roman"/>
          <w:bCs/>
          <w:szCs w:val="24"/>
        </w:rPr>
      </w:pPr>
      <w:r>
        <w:rPr>
          <w:rFonts w:ascii="Times New Roman" w:hAnsi="Times New Roman"/>
          <w:bCs/>
          <w:szCs w:val="24"/>
        </w:rPr>
        <w:t>dachy o kącie nachylenia połaci od 10</w:t>
      </w:r>
      <w:r>
        <w:rPr>
          <w:rFonts w:ascii="Times New Roman" w:hAnsi="Times New Roman"/>
          <w:bCs/>
          <w:szCs w:val="24"/>
          <w:vertAlign w:val="superscript"/>
        </w:rPr>
        <w:t xml:space="preserve">0 </w:t>
      </w:r>
      <w:r>
        <w:rPr>
          <w:rFonts w:ascii="Times New Roman" w:hAnsi="Times New Roman"/>
          <w:bCs/>
          <w:szCs w:val="24"/>
        </w:rPr>
        <w:t>do 35</w:t>
      </w:r>
      <w:r>
        <w:rPr>
          <w:rFonts w:ascii="Times New Roman" w:hAnsi="Times New Roman"/>
          <w:bCs/>
          <w:szCs w:val="24"/>
          <w:vertAlign w:val="superscript"/>
        </w:rPr>
        <w:t>0</w:t>
      </w:r>
      <w:r>
        <w:rPr>
          <w:rFonts w:ascii="Times New Roman" w:hAnsi="Times New Roman"/>
          <w:bCs/>
          <w:szCs w:val="24"/>
        </w:rPr>
        <w:t>; dopuszcza się dachy płaskie i o innym kącie  nachylenia, jeżeli wynika to z przyjętej technologii.</w:t>
      </w:r>
    </w:p>
    <w:p>
      <w:pPr>
        <w:pStyle w:val="Tretekstu"/>
        <w:spacing w:before="0" w:after="0"/>
        <w:contextualSpacing/>
        <w:rPr>
          <w:rFonts w:ascii="Times New Roman" w:hAnsi="Times New Roman"/>
          <w:bCs/>
          <w:szCs w:val="24"/>
        </w:rPr>
      </w:pPr>
      <w:r>
        <w:rPr>
          <w:rFonts w:ascii="Times New Roman" w:hAnsi="Times New Roman"/>
          <w:bCs/>
          <w:szCs w:val="24"/>
        </w:rPr>
        <w:t xml:space="preserve">Pozostałe informacje wynikające z powyższych uchwał można uzyskać na stronie internetowej: polaniec.bip.gov.pl – w zakładce „Rada Miejska”. </w:t>
      </w:r>
    </w:p>
    <w:p>
      <w:pPr>
        <w:pStyle w:val="Tretekstu"/>
        <w:spacing w:before="0" w:after="0"/>
        <w:contextualSpacing/>
        <w:rPr>
          <w:rFonts w:ascii="Times New Roman" w:hAnsi="Times New Roman"/>
          <w:bCs/>
          <w:szCs w:val="24"/>
        </w:rPr>
      </w:pPr>
      <w:r>
        <w:rPr>
          <w:rFonts w:ascii="Times New Roman" w:hAnsi="Times New Roman"/>
          <w:bCs/>
          <w:szCs w:val="24"/>
        </w:rPr>
        <w:t xml:space="preserve">Informuje się, iż Rada Miejska w Połańcu podjęła uchwałę Nr XIX/98/2019 z dnia 29 sierpnia 2019 r. </w:t>
        <w:br/>
        <w:t xml:space="preserve">w sprawie przystąpienia do opracowania zmiany miejscowego planu zagospodarowania przestrzennego miasta Połańca (część I obejmująca północną część miasta do rzeki Czarnej) uchwalonego uchwałą Nr XXXII/231/05 Rady Miejskiej w Połańcu z dnia 29 czerwca 2005 roku w sprawie uchwalenia miejscowego planu zagospodarowania przestrzennego miasta Połańca (część I obejmująca północną część miasta do rzeki Czarnej), ogłoszoną w Dzienniku Urzędowym Województwa Świętokrzyskiego </w:t>
        <w:br/>
        <w:t>z dnia 23 sierpnia 2005 r.  Nr 201, poz. 2379 ze zmianami.</w:t>
      </w:r>
    </w:p>
    <w:p>
      <w:pPr>
        <w:pStyle w:val="Tretekstu"/>
        <w:spacing w:before="0" w:after="0"/>
        <w:contextualSpacing/>
        <w:rPr>
          <w:rFonts w:ascii="Times New Roman" w:hAnsi="Times New Roman"/>
          <w:szCs w:val="24"/>
        </w:rPr>
      </w:pPr>
      <w:r>
        <w:rPr>
          <w:rFonts w:ascii="Times New Roman" w:hAnsi="Times New Roman"/>
          <w:szCs w:val="24"/>
        </w:rPr>
        <w:t xml:space="preserve">Rodzaj zamierzonej działalności pod względem uciążliwości winien uwzględniać uwarunkowania co do położenia nieruchomości w sąsiedztwie istniejącego osiedla mieszkaniowego jednorodzinnego. </w:t>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t xml:space="preserve">Nieruchomość posiada kompleksową infrastrukturę techniczną, tj. </w:t>
      </w:r>
      <w:r>
        <w:rPr>
          <w:rFonts w:ascii="Times New Roman" w:hAnsi="Times New Roman"/>
          <w:bCs/>
          <w:szCs w:val="24"/>
        </w:rPr>
        <w:t xml:space="preserve">energia elektryczna, wodociąg, kanalizacja sanitarna i deszczowa, kanalizacja teletechniczna, centralne ogrzewanie, gazociąg, wybudowaną w ramach Projektu nr WND-RPSW.02.04.00-26-003/10 pn.: „Tworzenie kompleksowych terenów inwestycyjnych na terenie Gminy Połaniec przeznaczonych w planach zagospodarowania przestrzennego pod usługi publiczne, obiekty produkcyjne, składy i magazyny - ETAP III” współfinansowanego z Europejskiego Funduszu Rozwoju Regionalnego w ramach Działania 2.4. „Tworzenie kompleksowych terenów inwestycyjnych” Osi 2 „Wsparcie innowacyjności, budowa społeczeństwa informacyjnego oraz wzrost potencjału inwestycyjnego regionu” Regionalnego Programu Operacyjnego Województwa Świętokrzyskiego na lata 2007 – 2013, </w:t>
      </w:r>
      <w:r>
        <w:rPr>
          <w:rFonts w:ascii="Times New Roman" w:hAnsi="Times New Roman"/>
          <w:b/>
          <w:bCs/>
          <w:szCs w:val="24"/>
        </w:rPr>
        <w:t>która pozostaje własnością Gminy Połaniec.</w:t>
      </w:r>
    </w:p>
    <w:p>
      <w:pPr>
        <w:pStyle w:val="Tretekstu"/>
        <w:spacing w:before="0" w:after="0"/>
        <w:contextualSpacing/>
        <w:rPr>
          <w:rFonts w:ascii="Times New Roman" w:hAnsi="Times New Roman"/>
          <w:bCs/>
          <w:iCs/>
          <w:szCs w:val="24"/>
        </w:rPr>
      </w:pPr>
      <w:r>
        <w:rPr>
          <w:rFonts w:ascii="Times New Roman" w:hAnsi="Times New Roman"/>
          <w:bCs/>
          <w:iCs/>
          <w:szCs w:val="24"/>
        </w:rPr>
        <w:t>W</w:t>
      </w:r>
      <w:r>
        <w:rPr>
          <w:rFonts w:ascii="Times New Roman" w:hAnsi="Times New Roman"/>
          <w:bCs/>
          <w:szCs w:val="24"/>
        </w:rPr>
        <w:t xml:space="preserve">arunki przyłączenia do poszczególnych sieci, nabywca zobowiązany będzie uzyskać </w:t>
      </w:r>
      <w:r>
        <w:rPr>
          <w:rFonts w:ascii="Times New Roman" w:hAnsi="Times New Roman"/>
          <w:bCs/>
          <w:iCs/>
          <w:szCs w:val="24"/>
        </w:rPr>
        <w:t xml:space="preserve">u  poszcze-gólnych dysponentów sieci. Warunki powyższe należy uzyskać staraniem własnym i na własny koszt. </w:t>
      </w:r>
      <w:r>
        <w:rPr>
          <w:rFonts w:ascii="Times New Roman" w:hAnsi="Times New Roman"/>
          <w:b/>
          <w:iCs/>
          <w:szCs w:val="24"/>
          <w:u w:val="single"/>
        </w:rPr>
        <w:t xml:space="preserve">Oferta powinna zawierać wysokość zapotrzebowania na te media. </w:t>
      </w:r>
      <w:r>
        <w:rPr>
          <w:rFonts w:ascii="Times New Roman" w:hAnsi="Times New Roman"/>
          <w:bCs/>
          <w:iCs/>
          <w:szCs w:val="24"/>
        </w:rPr>
        <w:t>Dokumentacja budowlana poszczególnych mediów jest w posiadaniu Urzędu Miasta i Gminy Połaniec.</w:t>
      </w:r>
    </w:p>
    <w:p>
      <w:pPr>
        <w:pStyle w:val="Tretekstu"/>
        <w:spacing w:before="0" w:after="0"/>
        <w:ind w:left="62" w:hanging="0"/>
        <w:contextualSpacing/>
        <w:rPr>
          <w:rFonts w:ascii="Times New Roman" w:hAnsi="Times New Roman"/>
          <w:bCs/>
          <w:iCs/>
          <w:szCs w:val="24"/>
        </w:rPr>
      </w:pPr>
      <w:r>
        <w:rPr>
          <w:rFonts w:ascii="Times New Roman" w:hAnsi="Times New Roman"/>
          <w:bCs/>
          <w:iCs/>
          <w:szCs w:val="24"/>
        </w:rPr>
      </w:r>
    </w:p>
    <w:p>
      <w:pPr>
        <w:pStyle w:val="Tretekstu"/>
        <w:spacing w:before="0" w:after="0"/>
        <w:contextualSpacing/>
        <w:rPr>
          <w:rFonts w:ascii="Times New Roman" w:hAnsi="Times New Roman"/>
          <w:bCs/>
          <w:szCs w:val="24"/>
        </w:rPr>
      </w:pPr>
      <w:r>
        <w:rPr>
          <w:rFonts w:ascii="Times New Roman" w:hAnsi="Times New Roman"/>
          <w:b/>
          <w:bCs/>
          <w:szCs w:val="24"/>
        </w:rPr>
        <w:t xml:space="preserve">Zakończenie budowy w ramach </w:t>
      </w:r>
      <w:r>
        <w:rPr>
          <w:rFonts w:ascii="Times New Roman" w:hAnsi="Times New Roman"/>
          <w:bCs/>
          <w:szCs w:val="24"/>
        </w:rPr>
        <w:t xml:space="preserve">planowanej inwestycji i </w:t>
      </w:r>
      <w:r>
        <w:rPr>
          <w:rFonts w:ascii="Times New Roman" w:hAnsi="Times New Roman"/>
          <w:b/>
          <w:bCs/>
          <w:szCs w:val="24"/>
        </w:rPr>
        <w:t xml:space="preserve">uruchomienie działalności gospodarczej    </w:t>
      </w:r>
      <w:r>
        <w:rPr>
          <w:rFonts w:ascii="Times New Roman" w:hAnsi="Times New Roman"/>
          <w:bCs/>
          <w:szCs w:val="24"/>
        </w:rPr>
        <w:t xml:space="preserve">winno nastąpić w terminie </w:t>
      </w:r>
      <w:r>
        <w:rPr>
          <w:rFonts w:ascii="Times New Roman" w:hAnsi="Times New Roman"/>
          <w:b/>
          <w:bCs/>
          <w:szCs w:val="24"/>
          <w:u w:val="single"/>
        </w:rPr>
        <w:t xml:space="preserve">5 lat </w:t>
      </w:r>
      <w:r>
        <w:rPr>
          <w:rFonts w:ascii="Times New Roman" w:hAnsi="Times New Roman"/>
          <w:bCs/>
          <w:szCs w:val="24"/>
        </w:rPr>
        <w:t xml:space="preserve">licząc od dnia zawarcia umowy notarialnej. </w:t>
      </w:r>
    </w:p>
    <w:p>
      <w:pPr>
        <w:pStyle w:val="Tretekstu"/>
        <w:spacing w:before="0" w:after="0"/>
        <w:contextualSpacing/>
        <w:rPr>
          <w:rFonts w:ascii="Times New Roman" w:hAnsi="Times New Roman"/>
          <w:bCs/>
          <w:szCs w:val="24"/>
        </w:rPr>
      </w:pPr>
      <w:r>
        <w:rPr>
          <w:rFonts w:ascii="Times New Roman" w:hAnsi="Times New Roman"/>
          <w:b/>
          <w:szCs w:val="24"/>
        </w:rPr>
        <w:t>Za zakończenie budowy</w:t>
      </w:r>
      <w:r>
        <w:rPr>
          <w:rFonts w:ascii="Times New Roman" w:hAnsi="Times New Roman"/>
          <w:bCs/>
          <w:szCs w:val="24"/>
        </w:rPr>
        <w:t xml:space="preserve"> ogłaszający przetarg uznaje datę podpisania przez kierownika budowy oświadczenia o jej zakończeniu, zgodnie z obowiązującymi przepisami i uzyskanie – w razie takiego  prawnego wymogu – pozwolenia na użytkowanie obiektu. </w:t>
      </w:r>
    </w:p>
    <w:p>
      <w:pPr>
        <w:pStyle w:val="Tretekstu"/>
        <w:spacing w:before="0" w:after="0"/>
        <w:contextualSpacing/>
        <w:rPr>
          <w:rFonts w:ascii="Times New Roman" w:hAnsi="Times New Roman"/>
          <w:bCs/>
          <w:szCs w:val="24"/>
        </w:rPr>
      </w:pPr>
      <w:r>
        <w:rPr>
          <w:rFonts w:ascii="Times New Roman" w:hAnsi="Times New Roman"/>
          <w:b/>
          <w:bCs/>
          <w:szCs w:val="24"/>
        </w:rPr>
        <w:t xml:space="preserve">Przez uruchomienie działalności gospodarczej rozumie się </w:t>
      </w:r>
      <w:r>
        <w:rPr>
          <w:rFonts w:ascii="Times New Roman" w:hAnsi="Times New Roman"/>
          <w:bCs/>
          <w:szCs w:val="24"/>
        </w:rPr>
        <w:t xml:space="preserve">faktyczne wykorzystanie nabytej nieruchomości na prowadzenie określonej działalności gospodarczej i utworzenie nowych miejsc pracy. </w:t>
      </w:r>
    </w:p>
    <w:p>
      <w:pPr>
        <w:pStyle w:val="Tretekstu"/>
        <w:spacing w:before="0" w:after="0"/>
        <w:contextualSpacing/>
        <w:rPr>
          <w:rFonts w:ascii="Times New Roman" w:hAnsi="Times New Roman"/>
          <w:bCs/>
          <w:szCs w:val="24"/>
        </w:rPr>
      </w:pPr>
      <w:r>
        <w:rPr>
          <w:rFonts w:ascii="Times New Roman" w:hAnsi="Times New Roman"/>
          <w:b/>
          <w:bCs/>
          <w:szCs w:val="24"/>
        </w:rPr>
        <w:t xml:space="preserve">Przez utworzenie nowych miejsc pracy rozumie się </w:t>
      </w:r>
      <w:r>
        <w:rPr>
          <w:rFonts w:ascii="Times New Roman" w:hAnsi="Times New Roman"/>
          <w:bCs/>
          <w:szCs w:val="24"/>
        </w:rPr>
        <w:t xml:space="preserve">zatrudnienie minimum </w:t>
      </w:r>
      <w:r>
        <w:rPr>
          <w:rFonts w:ascii="Times New Roman" w:hAnsi="Times New Roman"/>
          <w:szCs w:val="24"/>
        </w:rPr>
        <w:t>zadeklarowanej</w:t>
        <w:br/>
        <w:t xml:space="preserve">w ofercie liczby </w:t>
      </w:r>
      <w:r>
        <w:rPr>
          <w:rFonts w:ascii="Times New Roman" w:hAnsi="Times New Roman"/>
          <w:bCs/>
          <w:szCs w:val="24"/>
        </w:rPr>
        <w:t>pracowników na stanowiskach pracy utworzonych w wyniku realizacji inwestycji, na przedmiotowej nieruchomości</w:t>
      </w:r>
      <w:r>
        <w:rPr>
          <w:rFonts w:ascii="Times New Roman" w:hAnsi="Times New Roman"/>
          <w:szCs w:val="24"/>
        </w:rPr>
        <w:t xml:space="preserve">, licząc od daty zakończenia </w:t>
      </w:r>
      <w:r>
        <w:rPr>
          <w:rFonts w:ascii="Times New Roman" w:hAnsi="Times New Roman"/>
          <w:bCs/>
          <w:szCs w:val="24"/>
        </w:rPr>
        <w:t xml:space="preserve">budowy planowanej </w:t>
      </w:r>
      <w:r>
        <w:rPr>
          <w:rFonts w:ascii="Times New Roman" w:hAnsi="Times New Roman"/>
          <w:szCs w:val="24"/>
        </w:rPr>
        <w:t xml:space="preserve">inwestycji, na pełny etat, na umowę o pracę i utrzymanie tego zatrudnienia przez okres min. 12 miesięcy. </w:t>
      </w:r>
    </w:p>
    <w:p>
      <w:pPr>
        <w:pStyle w:val="Tretekstu"/>
        <w:spacing w:before="0" w:after="0"/>
        <w:contextualSpacing/>
        <w:rPr>
          <w:rFonts w:ascii="Times New Roman" w:hAnsi="Times New Roman"/>
          <w:bCs/>
          <w:szCs w:val="24"/>
        </w:rPr>
      </w:pPr>
      <w:r>
        <w:rPr>
          <w:rFonts w:ascii="Times New Roman" w:hAnsi="Times New Roman"/>
          <w:b/>
          <w:szCs w:val="24"/>
        </w:rPr>
        <w:t>Termin</w:t>
      </w:r>
      <w:r>
        <w:rPr>
          <w:rFonts w:ascii="Times New Roman" w:hAnsi="Times New Roman"/>
          <w:bCs/>
          <w:szCs w:val="24"/>
        </w:rPr>
        <w:t xml:space="preserve"> zakończenia budowy planowanej inwestycji i uruchomienia działalności gospodarczej może ulec skróceniu.</w:t>
      </w:r>
    </w:p>
    <w:p>
      <w:pPr>
        <w:pStyle w:val="Tretekstu"/>
        <w:spacing w:before="0" w:after="0"/>
        <w:contextualSpacing/>
        <w:rPr>
          <w:rFonts w:ascii="Times New Roman" w:hAnsi="Times New Roman"/>
          <w:bCs/>
          <w:szCs w:val="24"/>
        </w:rPr>
      </w:pPr>
      <w:r>
        <w:rPr>
          <w:rFonts w:ascii="Times New Roman" w:hAnsi="Times New Roman"/>
          <w:bCs/>
          <w:spacing w:val="-4"/>
          <w:szCs w:val="24"/>
        </w:rPr>
        <w:t xml:space="preserve">Termin zakończenia budowy planowanej inwestycji i uruchomienia działalności gospodarczej może być przedłużony </w:t>
      </w:r>
      <w:r>
        <w:rPr>
          <w:rFonts w:ascii="Times New Roman" w:hAnsi="Times New Roman"/>
          <w:bCs/>
          <w:spacing w:val="-2"/>
          <w:szCs w:val="24"/>
        </w:rPr>
        <w:t>na wniosek nabywcy nieruchomości, jeżeli nie mógł być dotrzymany z przyczyn obiektywnych od niego niezależnych.</w:t>
      </w:r>
    </w:p>
    <w:p>
      <w:pPr>
        <w:pStyle w:val="Tretekstu"/>
        <w:spacing w:before="0" w:after="0"/>
        <w:contextualSpacing/>
        <w:rPr>
          <w:rFonts w:ascii="Times New Roman" w:hAnsi="Times New Roman"/>
          <w:bCs/>
          <w:szCs w:val="24"/>
        </w:rPr>
      </w:pPr>
      <w:r>
        <w:rPr>
          <w:rFonts w:ascii="Times New Roman" w:hAnsi="Times New Roman"/>
          <w:bCs/>
          <w:szCs w:val="24"/>
        </w:rPr>
        <w:t>Powyższe obwarowania zostaną wciągnięte jako zobowiązania nabywcy do treści notarialnej umowy sprzedaży.</w:t>
      </w:r>
    </w:p>
    <w:p>
      <w:pPr>
        <w:pStyle w:val="Tretekstu"/>
        <w:spacing w:before="0" w:after="0"/>
        <w:ind w:left="62" w:hanging="0"/>
        <w:contextualSpacing/>
        <w:rPr>
          <w:rFonts w:ascii="Times New Roman" w:hAnsi="Times New Roman"/>
          <w:szCs w:val="24"/>
        </w:rPr>
      </w:pPr>
      <w:r>
        <w:rPr>
          <w:rFonts w:ascii="Times New Roman" w:hAnsi="Times New Roman"/>
          <w:b/>
          <w:szCs w:val="24"/>
        </w:rPr>
        <w:t>Właściciel nieruchomości</w:t>
      </w:r>
      <w:r>
        <w:rPr>
          <w:rFonts w:ascii="Times New Roman" w:hAnsi="Times New Roman"/>
          <w:szCs w:val="24"/>
        </w:rPr>
        <w:t xml:space="preserve"> przy wyborze oferty będzie zwracał uwagę na:</w:t>
      </w:r>
    </w:p>
    <w:p>
      <w:pPr>
        <w:pStyle w:val="Tretekstu"/>
        <w:numPr>
          <w:ilvl w:val="0"/>
          <w:numId w:val="4"/>
        </w:numPr>
        <w:spacing w:before="0" w:after="0"/>
        <w:ind w:left="426" w:hanging="298"/>
        <w:contextualSpacing/>
        <w:rPr>
          <w:rFonts w:ascii="Times New Roman" w:hAnsi="Times New Roman"/>
          <w:b/>
          <w:b/>
          <w:szCs w:val="24"/>
        </w:rPr>
      </w:pPr>
      <w:r>
        <w:rPr>
          <w:rFonts w:ascii="Times New Roman" w:hAnsi="Times New Roman"/>
          <w:b/>
          <w:szCs w:val="24"/>
        </w:rPr>
        <w:t>oferowaną cenę nieruchomości,</w:t>
      </w:r>
    </w:p>
    <w:p>
      <w:pPr>
        <w:pStyle w:val="Tretekstu"/>
        <w:numPr>
          <w:ilvl w:val="0"/>
          <w:numId w:val="4"/>
        </w:numPr>
        <w:spacing w:before="0" w:after="0"/>
        <w:ind w:left="426" w:hanging="298"/>
        <w:contextualSpacing/>
        <w:rPr>
          <w:rFonts w:ascii="Times New Roman" w:hAnsi="Times New Roman"/>
          <w:b/>
          <w:b/>
          <w:strike/>
          <w:szCs w:val="24"/>
        </w:rPr>
      </w:pPr>
      <w:r>
        <w:rPr>
          <w:rFonts w:ascii="Times New Roman" w:hAnsi="Times New Roman"/>
          <w:b/>
          <w:szCs w:val="24"/>
        </w:rPr>
        <w:t>liczbę nowych miejsc pracy utworzonych w związku z realizacją inwestycji, na przedmiotowej nieruchomości,</w:t>
      </w:r>
    </w:p>
    <w:p>
      <w:pPr>
        <w:pStyle w:val="Tretekstu"/>
        <w:numPr>
          <w:ilvl w:val="0"/>
          <w:numId w:val="4"/>
        </w:numPr>
        <w:spacing w:before="0" w:after="0"/>
        <w:ind w:left="426" w:hanging="298"/>
        <w:contextualSpacing/>
        <w:rPr>
          <w:rFonts w:ascii="Times New Roman" w:hAnsi="Times New Roman"/>
          <w:b/>
          <w:b/>
          <w:szCs w:val="24"/>
        </w:rPr>
      </w:pPr>
      <w:r>
        <w:rPr>
          <w:rFonts w:ascii="Times New Roman" w:hAnsi="Times New Roman"/>
          <w:b/>
          <w:spacing w:val="-2"/>
          <w:szCs w:val="24"/>
        </w:rPr>
        <w:t>wielkość przedsięwzięcia wyrażoną wysokością deklarowanych nakładów inwestycyjnych.</w:t>
      </w:r>
    </w:p>
    <w:p>
      <w:pPr>
        <w:pStyle w:val="Tretekstu"/>
        <w:spacing w:before="0" w:after="0"/>
        <w:contextualSpacing/>
        <w:rPr>
          <w:rFonts w:ascii="Times New Roman" w:hAnsi="Times New Roman"/>
          <w:szCs w:val="24"/>
        </w:rPr>
      </w:pPr>
      <w:r>
        <w:rPr>
          <w:rFonts w:ascii="Times New Roman" w:hAnsi="Times New Roman"/>
          <w:b/>
          <w:szCs w:val="24"/>
        </w:rPr>
        <w:t>Zasady oceny ofert</w:t>
      </w:r>
      <w:r>
        <w:rPr>
          <w:rFonts w:ascii="Times New Roman" w:hAnsi="Times New Roman"/>
          <w:szCs w:val="24"/>
        </w:rPr>
        <w:t xml:space="preserve"> są szczegółowo przedstawione w regulaminie do niniejszego przetargu. </w:t>
      </w:r>
    </w:p>
    <w:p>
      <w:pPr>
        <w:pStyle w:val="Tretekstu"/>
        <w:spacing w:before="0" w:after="0"/>
        <w:contextualSpacing/>
        <w:rPr>
          <w:rFonts w:ascii="Times New Roman" w:hAnsi="Times New Roman"/>
          <w:szCs w:val="24"/>
        </w:rPr>
      </w:pPr>
      <w:r>
        <w:rPr>
          <w:rFonts w:ascii="Times New Roman" w:hAnsi="Times New Roman"/>
          <w:szCs w:val="24"/>
        </w:rPr>
        <w:t>W razie niedotrzymania deklarowanych: wielkości przedsięwzięcia wyrażonej wysokością dekla-rowanych nakładów inwestycyjnych oraz liczby nowych miejsc pracy utworzonych w wyniku inwestycji</w:t>
      </w:r>
      <w:r>
        <w:rPr>
          <w:rFonts w:ascii="Times New Roman" w:hAnsi="Times New Roman"/>
          <w:bCs/>
          <w:i/>
          <w:szCs w:val="24"/>
        </w:rPr>
        <w:t xml:space="preserve">, </w:t>
      </w:r>
      <w:r>
        <w:rPr>
          <w:rFonts w:ascii="Times New Roman" w:hAnsi="Times New Roman"/>
          <w:bCs/>
          <w:szCs w:val="24"/>
        </w:rPr>
        <w:t>nabywca będzie zobowiązany do zapłaty na rzecz Gminy Połaniec kwoty w wysokości stanowiącej różnicę pomiędzy najwyższą ceną zaoferowaną za nieruchomość a ceną zaoferowaną przez nabywcę nieruchomości, a w przypadku złożenia tylko jednej oferty – w wysokości wniesionego wadium (kara umowna).</w:t>
      </w:r>
    </w:p>
    <w:p>
      <w:pPr>
        <w:pStyle w:val="Tretekstu"/>
        <w:spacing w:before="0" w:after="0"/>
        <w:contextualSpacing/>
        <w:rPr>
          <w:rFonts w:ascii="Times New Roman" w:hAnsi="Times New Roman"/>
          <w:bCs/>
          <w:szCs w:val="24"/>
        </w:rPr>
      </w:pPr>
      <w:r>
        <w:rPr>
          <w:rFonts w:ascii="Times New Roman" w:hAnsi="Times New Roman"/>
          <w:b/>
          <w:bCs/>
          <w:szCs w:val="24"/>
        </w:rPr>
        <w:t>Nabywca nieruchomości przyjmie zobowiązanie</w:t>
      </w:r>
      <w:r>
        <w:rPr>
          <w:rFonts w:ascii="Times New Roman" w:hAnsi="Times New Roman"/>
          <w:bCs/>
          <w:szCs w:val="24"/>
        </w:rPr>
        <w:t xml:space="preserve">, iż podane w ofercie </w:t>
      </w:r>
      <w:r>
        <w:rPr>
          <w:rFonts w:ascii="Times New Roman" w:hAnsi="Times New Roman"/>
          <w:b/>
          <w:bCs/>
          <w:szCs w:val="24"/>
        </w:rPr>
        <w:t xml:space="preserve">zasady zabudowy nieruchomości i profil (charakter) działalności gospodarczej </w:t>
      </w:r>
      <w:r>
        <w:rPr>
          <w:rFonts w:ascii="Times New Roman" w:hAnsi="Times New Roman"/>
          <w:bCs/>
          <w:szCs w:val="24"/>
        </w:rPr>
        <w:t xml:space="preserve">oraz </w:t>
      </w:r>
      <w:r>
        <w:rPr>
          <w:rFonts w:ascii="Times New Roman" w:hAnsi="Times New Roman"/>
          <w:b/>
          <w:bCs/>
          <w:szCs w:val="24"/>
        </w:rPr>
        <w:t xml:space="preserve">wyżej wymieniona kara umowna </w:t>
      </w:r>
      <w:r>
        <w:rPr>
          <w:rFonts w:ascii="Times New Roman" w:hAnsi="Times New Roman"/>
          <w:iCs/>
          <w:szCs w:val="24"/>
        </w:rPr>
        <w:t>z</w:t>
      </w:r>
      <w:r>
        <w:rPr>
          <w:rFonts w:ascii="Times New Roman" w:hAnsi="Times New Roman"/>
          <w:bCs/>
          <w:szCs w:val="24"/>
        </w:rPr>
        <w:t xml:space="preserve">ostaną zapisane </w:t>
      </w:r>
      <w:r>
        <w:rPr>
          <w:rFonts w:ascii="Times New Roman" w:hAnsi="Times New Roman"/>
          <w:b/>
          <w:bCs/>
          <w:szCs w:val="24"/>
        </w:rPr>
        <w:t>w umowie notarialnej</w:t>
      </w:r>
      <w:r>
        <w:rPr>
          <w:rFonts w:ascii="Times New Roman" w:hAnsi="Times New Roman"/>
          <w:bCs/>
          <w:szCs w:val="24"/>
        </w:rPr>
        <w:t xml:space="preserve"> i będą wiążące dla następców prawnych nabywcy nieru-chomości. </w:t>
      </w:r>
    </w:p>
    <w:p>
      <w:pPr>
        <w:pStyle w:val="Tretekstu"/>
        <w:spacing w:before="0" w:after="0"/>
        <w:contextualSpacing/>
        <w:rPr>
          <w:rFonts w:ascii="Times New Roman" w:hAnsi="Times New Roman"/>
          <w:bCs/>
          <w:szCs w:val="24"/>
        </w:rPr>
      </w:pPr>
      <w:r>
        <w:rPr>
          <w:rFonts w:ascii="Times New Roman" w:hAnsi="Times New Roman"/>
          <w:bCs/>
          <w:szCs w:val="24"/>
        </w:rPr>
        <w:t>Powyższe zadeklarowane w ofercie zasady zabudowy nabywanej nieruchomości mogłyby ulec zmianie po zawarciu notarialnej umowy sprzedaży wyłącznie w przypadku zmiany obowiązujących przepisów prawa, w tym z zakresu zagospodarowania przestrzennego, a ich dokonanie wymagałoby aneksu do umowy sprzedaży bądź zawarcia odrębnego porozumienia.</w:t>
      </w:r>
    </w:p>
    <w:p>
      <w:pPr>
        <w:pStyle w:val="Tretekstu"/>
        <w:spacing w:before="0" w:after="0"/>
        <w:contextualSpacing/>
        <w:rPr>
          <w:rFonts w:ascii="Times New Roman" w:hAnsi="Times New Roman"/>
          <w:bCs/>
          <w:szCs w:val="24"/>
        </w:rPr>
      </w:pPr>
      <w:r>
        <w:rPr>
          <w:rFonts w:ascii="Times New Roman" w:hAnsi="Times New Roman"/>
          <w:bCs/>
          <w:szCs w:val="24"/>
        </w:rPr>
        <w:t>Preferowany rodzaj działalności gospodarczej to: produkcja, usługi.</w:t>
      </w:r>
    </w:p>
    <w:p>
      <w:pPr>
        <w:pStyle w:val="Tretekstu"/>
        <w:spacing w:before="240" w:after="240"/>
        <w:contextualSpacing/>
        <w:rPr>
          <w:rFonts w:ascii="Times New Roman" w:hAnsi="Times New Roman"/>
          <w:b/>
          <w:b/>
          <w:bCs/>
          <w:iCs/>
          <w:szCs w:val="24"/>
        </w:rPr>
      </w:pPr>
      <w:r>
        <w:rPr>
          <w:rFonts w:ascii="Times New Roman" w:hAnsi="Times New Roman"/>
          <w:b/>
          <w:bCs/>
          <w:iCs/>
          <w:szCs w:val="24"/>
        </w:rPr>
      </w:r>
    </w:p>
    <w:p>
      <w:pPr>
        <w:pStyle w:val="Tretekstu"/>
        <w:spacing w:before="240" w:after="240"/>
        <w:contextualSpacing/>
        <w:rPr>
          <w:rFonts w:ascii="Times New Roman" w:hAnsi="Times New Roman"/>
          <w:b/>
          <w:b/>
          <w:bCs/>
          <w:iCs/>
          <w:szCs w:val="24"/>
        </w:rPr>
      </w:pPr>
      <w:r>
        <w:rPr>
          <w:rFonts w:ascii="Times New Roman" w:hAnsi="Times New Roman"/>
          <w:b/>
          <w:bCs/>
          <w:iCs/>
          <w:szCs w:val="24"/>
        </w:rPr>
        <w:t>Cena wywoławcza nieruchomości  wynosi   – 186 694 ,00zł + VAT</w:t>
      </w:r>
    </w:p>
    <w:p>
      <w:pPr>
        <w:pStyle w:val="Tretekstu"/>
        <w:spacing w:before="240" w:after="240"/>
        <w:contextualSpacing/>
        <w:rPr>
          <w:rFonts w:ascii="Times New Roman" w:hAnsi="Times New Roman"/>
          <w:b/>
          <w:b/>
          <w:bCs/>
          <w:iCs/>
          <w:szCs w:val="24"/>
        </w:rPr>
      </w:pPr>
      <w:r>
        <w:rPr>
          <w:rFonts w:ascii="Times New Roman" w:hAnsi="Times New Roman"/>
          <w:b/>
          <w:bCs/>
          <w:iCs/>
          <w:szCs w:val="24"/>
        </w:rPr>
        <w:t xml:space="preserve">Wadium wynosi                                              –   20 000 ,00 zł </w:t>
      </w:r>
    </w:p>
    <w:p>
      <w:pPr>
        <w:pStyle w:val="Tretekstu"/>
        <w:spacing w:before="0" w:after="0"/>
        <w:contextualSpacing/>
        <w:rPr>
          <w:rFonts w:ascii="Times New Roman" w:hAnsi="Times New Roman"/>
          <w:bCs/>
          <w:iCs/>
          <w:szCs w:val="24"/>
        </w:rPr>
      </w:pPr>
      <w:r>
        <w:rPr>
          <w:rFonts w:ascii="Times New Roman" w:hAnsi="Times New Roman"/>
          <w:bCs/>
          <w:iCs/>
          <w:szCs w:val="24"/>
        </w:rPr>
      </w:r>
    </w:p>
    <w:p>
      <w:pPr>
        <w:pStyle w:val="Tretekstu"/>
        <w:spacing w:before="0" w:after="0"/>
        <w:contextualSpacing/>
        <w:rPr>
          <w:rFonts w:ascii="Times New Roman" w:hAnsi="Times New Roman"/>
          <w:bCs/>
          <w:iCs/>
          <w:szCs w:val="24"/>
        </w:rPr>
      </w:pPr>
      <w:r>
        <w:rPr>
          <w:rFonts w:ascii="Times New Roman" w:hAnsi="Times New Roman"/>
          <w:bCs/>
          <w:iCs/>
          <w:szCs w:val="24"/>
        </w:rPr>
        <w:t>Wadium może być wnoszone wyłącznie w pieniądzu, w walucie polskiej, w wysokości</w:t>
      </w:r>
      <w:r>
        <w:rPr>
          <w:rFonts w:ascii="Times New Roman" w:hAnsi="Times New Roman"/>
          <w:b/>
          <w:bCs/>
          <w:iCs/>
          <w:szCs w:val="24"/>
        </w:rPr>
        <w:t>  20 000,00 PLN</w:t>
      </w:r>
      <w:r>
        <w:rPr>
          <w:rFonts w:ascii="Times New Roman" w:hAnsi="Times New Roman"/>
          <w:bCs/>
          <w:iCs/>
          <w:szCs w:val="24"/>
        </w:rPr>
        <w:t xml:space="preserve">(słownie złotych: dwadzieścia tysięcy 00/100) w formie przelewu bankowego na konto Urzędu Miasta i Gminy Połaniec </w:t>
      </w:r>
      <w:r>
        <w:rPr>
          <w:rFonts w:ascii="Times New Roman" w:hAnsi="Times New Roman"/>
          <w:b/>
          <w:bCs/>
          <w:iCs/>
          <w:szCs w:val="24"/>
        </w:rPr>
        <w:t xml:space="preserve">Nr </w:t>
      </w:r>
      <w:r>
        <w:rPr>
          <w:rFonts w:ascii="Times New Roman" w:hAnsi="Times New Roman"/>
          <w:b/>
          <w:bCs/>
          <w:iCs/>
          <w:spacing w:val="14"/>
          <w:szCs w:val="24"/>
        </w:rPr>
        <w:t xml:space="preserve">80 9425 0008 0000 2349 2006 0008 </w:t>
      </w:r>
      <w:r>
        <w:rPr>
          <w:rFonts w:ascii="Times New Roman" w:hAnsi="Times New Roman"/>
          <w:bCs/>
          <w:iCs/>
          <w:szCs w:val="24"/>
        </w:rPr>
        <w:t xml:space="preserve">w BS Połaniec, w terminie do dnia </w:t>
      </w:r>
      <w:r>
        <w:rPr>
          <w:rFonts w:ascii="Times New Roman" w:hAnsi="Times New Roman"/>
          <w:b/>
          <w:bCs/>
          <w:iCs/>
          <w:szCs w:val="24"/>
          <w:u w:val="single"/>
        </w:rPr>
        <w:t xml:space="preserve">21 września 2021 roku włącznie do godz. 15:00 </w:t>
      </w:r>
      <w:r>
        <w:rPr>
          <w:rFonts w:ascii="Times New Roman" w:hAnsi="Times New Roman"/>
          <w:bCs/>
          <w:iCs/>
          <w:szCs w:val="24"/>
        </w:rPr>
        <w:t xml:space="preserve">z zaznaczeniem </w:t>
      </w:r>
      <w:r>
        <w:rPr>
          <w:rFonts w:ascii="Times New Roman" w:hAnsi="Times New Roman"/>
          <w:szCs w:val="24"/>
        </w:rPr>
        <w:t>tytułu wpłaty oraz – oddzielnie na formularzu oświadczenia stanowiącym Załącznik Nr 1 do Warunków przetargu – podaniem numeru konta, na które ewentualnie ma zostać zwrócone wadium.</w:t>
      </w:r>
    </w:p>
    <w:p>
      <w:pPr>
        <w:pStyle w:val="Tretekstu"/>
        <w:spacing w:before="0" w:after="0"/>
        <w:contextualSpacing/>
        <w:rPr>
          <w:rFonts w:ascii="Times New Roman" w:hAnsi="Times New Roman"/>
          <w:szCs w:val="24"/>
        </w:rPr>
      </w:pPr>
      <w:r>
        <w:rPr>
          <w:rFonts w:ascii="Times New Roman" w:hAnsi="Times New Roman"/>
          <w:bCs/>
          <w:iCs/>
          <w:szCs w:val="24"/>
        </w:rPr>
        <w:t xml:space="preserve">Za datę wpłaty wadium uznaje się dzień wpływu środków pieniężnych na rachunek </w:t>
      </w:r>
      <w:r>
        <w:rPr>
          <w:rFonts w:ascii="Times New Roman" w:hAnsi="Times New Roman"/>
          <w:bCs/>
          <w:szCs w:val="24"/>
        </w:rPr>
        <w:t>bankowy Urzędu Miasta i Gminy Połaniec. Dok</w:t>
      </w:r>
      <w:r>
        <w:rPr>
          <w:rFonts w:ascii="Times New Roman" w:hAnsi="Times New Roman"/>
          <w:szCs w:val="24"/>
        </w:rPr>
        <w:t>ument wpłaty wadium powinien zawierać dane uczestnika przetargu, tj. w przypadku osób fizycznych imię i nazwisko lub nazwiska oraz w przypadku osoby prawnej / jednostki organizacyjnej nieposiadającej osobowości prawnej jej pełną nazwę /firmę oraz adres siedziby.</w:t>
      </w:r>
    </w:p>
    <w:p>
      <w:pPr>
        <w:pStyle w:val="Tretekstu"/>
        <w:spacing w:before="0" w:after="0"/>
        <w:contextualSpacing/>
        <w:rPr>
          <w:rStyle w:val="Wyrnienie"/>
          <w:rFonts w:ascii="Times New Roman" w:hAnsi="Times New Roman"/>
          <w:i w:val="false"/>
          <w:i w:val="false"/>
          <w:szCs w:val="24"/>
        </w:rPr>
      </w:pPr>
      <w:r>
        <w:rPr>
          <w:rFonts w:ascii="Times New Roman" w:hAnsi="Times New Roman"/>
          <w:szCs w:val="24"/>
        </w:rPr>
        <w:t>Wadium wniesione w pieniądzu</w:t>
      </w:r>
      <w:r>
        <w:rPr>
          <w:rFonts w:ascii="Times New Roman" w:hAnsi="Times New Roman"/>
          <w:i/>
          <w:szCs w:val="24"/>
        </w:rPr>
        <w:t xml:space="preserve"> </w:t>
      </w:r>
      <w:r>
        <w:rPr>
          <w:rStyle w:val="Wyrnienie"/>
          <w:rFonts w:ascii="Times New Roman" w:hAnsi="Times New Roman"/>
          <w:i w:val="false"/>
          <w:szCs w:val="24"/>
        </w:rPr>
        <w:t xml:space="preserve">przez podmiot ustalony w wyniku przetargu </w:t>
      </w:r>
      <w:r>
        <w:rPr>
          <w:rFonts w:ascii="Times New Roman" w:hAnsi="Times New Roman"/>
          <w:szCs w:val="24"/>
        </w:rPr>
        <w:t>jako</w:t>
      </w:r>
      <w:r>
        <w:rPr>
          <w:rFonts w:ascii="Times New Roman" w:hAnsi="Times New Roman"/>
          <w:i/>
          <w:szCs w:val="24"/>
        </w:rPr>
        <w:t xml:space="preserve"> </w:t>
      </w:r>
      <w:r>
        <w:rPr>
          <w:rFonts w:ascii="Times New Roman" w:hAnsi="Times New Roman"/>
          <w:szCs w:val="24"/>
        </w:rPr>
        <w:t>nabywca nieruchomości zalicza się na poczet ceny nabycia</w:t>
      </w:r>
      <w:r>
        <w:rPr>
          <w:rStyle w:val="Wyrnienie"/>
          <w:rFonts w:ascii="Times New Roman" w:hAnsi="Times New Roman"/>
          <w:szCs w:val="24"/>
        </w:rPr>
        <w:t>.</w:t>
      </w:r>
    </w:p>
    <w:p>
      <w:pPr>
        <w:pStyle w:val="Tretekstu"/>
        <w:spacing w:before="0" w:after="0"/>
        <w:contextualSpacing/>
        <w:rPr>
          <w:rFonts w:ascii="Times New Roman" w:hAnsi="Times New Roman"/>
          <w:szCs w:val="24"/>
        </w:rPr>
      </w:pPr>
      <w:r>
        <w:rPr>
          <w:rFonts w:ascii="Times New Roman" w:hAnsi="Times New Roman"/>
          <w:szCs w:val="24"/>
        </w:rPr>
        <w:t xml:space="preserve">Zwrot wadium osobom, które przetargu nie wygrały, nastąpi niezwłocznie po odwołaniu albo zamknięciu przetargu, jednak nie później niż przed upływem </w:t>
      </w:r>
      <w:r>
        <w:rPr>
          <w:rFonts w:ascii="Times New Roman" w:hAnsi="Times New Roman"/>
          <w:b/>
          <w:szCs w:val="24"/>
        </w:rPr>
        <w:t>3 dni</w:t>
      </w:r>
      <w:r>
        <w:rPr>
          <w:rFonts w:ascii="Times New Roman" w:hAnsi="Times New Roman"/>
          <w:szCs w:val="24"/>
        </w:rPr>
        <w:t xml:space="preserve"> od dnia odwołania, zamknięcia, unieważnienia lub zakończenia przetargu wynikiem negatywnym. </w:t>
      </w:r>
    </w:p>
    <w:p>
      <w:pPr>
        <w:pStyle w:val="Tretekstu"/>
        <w:spacing w:before="0" w:after="0"/>
        <w:contextualSpacing/>
        <w:rPr>
          <w:rFonts w:ascii="Times New Roman" w:hAnsi="Times New Roman"/>
          <w:szCs w:val="24"/>
        </w:rPr>
      </w:pPr>
      <w:r>
        <w:rPr>
          <w:rFonts w:ascii="Times New Roman" w:hAnsi="Times New Roman"/>
          <w:szCs w:val="24"/>
        </w:rPr>
        <w:t>Osoby, którym przysługuje prawo do rekompensaty z tytułu pozostawienia nieruchomości poza obecnymi granicami Rzeczypospolitej Polskiej w wyniku wypędzenia z byłego terytorium Rzeczypospolitej Polskiej lub jego opuszczenia w związku z wojną rozpoczętą w 1939 roku, zwalnia się z obowiązku wniesienia wadium  wyznaczonym w ogłoszeniu o przetargu terminie, jeżeli zgłoszą uczestnictwo w przetargu,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w:t>
      </w:r>
    </w:p>
    <w:p>
      <w:pPr>
        <w:pStyle w:val="Tretekstu"/>
        <w:spacing w:before="0" w:after="0"/>
        <w:contextualSpacing/>
        <w:rPr>
          <w:rFonts w:ascii="Times New Roman" w:hAnsi="Times New Roman"/>
          <w:szCs w:val="24"/>
        </w:rPr>
      </w:pPr>
      <w:r>
        <w:rPr>
          <w:rFonts w:ascii="Times New Roman" w:hAnsi="Times New Roman"/>
          <w:szCs w:val="24"/>
        </w:rPr>
        <w:t>W razie braku odmiennych zastrzeżeń postanowienia niniejszego ogłoszenia dotyczące osób prawnych stosuje się odpowiednio do jednostek organizacyjnych nieposiadających osobowości prawnej.</w:t>
      </w:r>
    </w:p>
    <w:p>
      <w:pPr>
        <w:pStyle w:val="Tretekstu"/>
        <w:spacing w:before="0" w:after="0"/>
        <w:contextualSpacing/>
        <w:rPr>
          <w:rFonts w:ascii="Times New Roman" w:hAnsi="Times New Roman"/>
          <w:bCs/>
          <w:iCs/>
          <w:szCs w:val="24"/>
        </w:rPr>
      </w:pPr>
      <w:r>
        <w:rPr>
          <w:rFonts w:ascii="Times New Roman" w:hAnsi="Times New Roman"/>
          <w:bCs/>
          <w:iCs/>
          <w:szCs w:val="24"/>
        </w:rPr>
        <w:t xml:space="preserve">Oferent może działać osobiście bądź przez upoważnionego pełnomocnika (w przypadku oferentów pozostających w związku małżeńskim zgodnie z obowiązującym ustrojem majątkowym małżeńskim; </w:t>
        <w:br/>
        <w:t xml:space="preserve">w razie wspólności ustawowej pełnomocnictwo winno pochodzić od obydwojga małżonków, chyba że pełnomocnik będzie działał wyłącznie w imieniu jednego z małżonków przy osobistym udziale drugiego). </w:t>
      </w:r>
    </w:p>
    <w:p>
      <w:pPr>
        <w:pStyle w:val="Tretekstu"/>
        <w:spacing w:before="0" w:after="0"/>
        <w:contextualSpacing/>
        <w:rPr>
          <w:rFonts w:ascii="Times New Roman" w:hAnsi="Times New Roman"/>
          <w:bCs/>
          <w:iCs/>
          <w:szCs w:val="24"/>
        </w:rPr>
      </w:pPr>
      <w:r>
        <w:rPr>
          <w:rFonts w:ascii="Times New Roman" w:hAnsi="Times New Roman"/>
          <w:bCs/>
          <w:iCs/>
          <w:szCs w:val="24"/>
        </w:rPr>
        <w:t xml:space="preserve">Udzielone pełnomocnictwo winno mieć formę aktu notarialnego, chyba że reprezentacja przez pełnomocnika wynika z właściwego rejestru. </w:t>
      </w:r>
    </w:p>
    <w:p>
      <w:pPr>
        <w:pStyle w:val="Tretekstu"/>
        <w:spacing w:before="0" w:after="0"/>
        <w:contextualSpacing/>
        <w:rPr>
          <w:rFonts w:ascii="Times New Roman" w:hAnsi="Times New Roman"/>
          <w:b/>
          <w:b/>
          <w:iCs/>
          <w:szCs w:val="24"/>
        </w:rPr>
      </w:pPr>
      <w:r>
        <w:rPr>
          <w:rFonts w:ascii="Times New Roman" w:hAnsi="Times New Roman"/>
          <w:bCs/>
          <w:iCs/>
          <w:spacing w:val="-2"/>
          <w:szCs w:val="24"/>
        </w:rPr>
        <w:t xml:space="preserve">Osiągniętą w wyniku przetargu cenę gruntu powiększoną </w:t>
      </w:r>
      <w:r>
        <w:rPr>
          <w:rFonts w:ascii="Times New Roman" w:hAnsi="Times New Roman"/>
          <w:b/>
          <w:bCs/>
          <w:iCs/>
          <w:spacing w:val="-2"/>
          <w:szCs w:val="24"/>
        </w:rPr>
        <w:t>o podatek VAT</w:t>
      </w:r>
      <w:r>
        <w:rPr>
          <w:rFonts w:ascii="Times New Roman" w:hAnsi="Times New Roman"/>
          <w:bCs/>
          <w:iCs/>
          <w:spacing w:val="-2"/>
          <w:szCs w:val="24"/>
        </w:rPr>
        <w:t xml:space="preserve"> w wysokości wynikającej </w:t>
        <w:br/>
        <w:t>z przepisów prawa, pomniejszoną</w:t>
      </w:r>
      <w:r>
        <w:rPr>
          <w:rFonts w:ascii="Times New Roman" w:hAnsi="Times New Roman"/>
          <w:bCs/>
          <w:iCs/>
          <w:szCs w:val="24"/>
        </w:rPr>
        <w:t xml:space="preserve"> o kwotę wadium, należy wpłacić przelewem na konto Urzędu Miasta </w:t>
        <w:br/>
        <w:t xml:space="preserve">i Gminy Połaniec: </w:t>
      </w:r>
      <w:r>
        <w:rPr>
          <w:rFonts w:ascii="Times New Roman" w:hAnsi="Times New Roman"/>
          <w:b/>
          <w:bCs/>
          <w:iCs/>
          <w:szCs w:val="24"/>
        </w:rPr>
        <w:t xml:space="preserve">Nr </w:t>
      </w:r>
      <w:r>
        <w:rPr>
          <w:rFonts w:ascii="Times New Roman" w:hAnsi="Times New Roman"/>
          <w:b/>
          <w:bCs/>
          <w:iCs/>
          <w:spacing w:val="14"/>
          <w:szCs w:val="24"/>
        </w:rPr>
        <w:t xml:space="preserve">42 9425 0008 0000 2349 2006 0013 </w:t>
      </w:r>
      <w:r>
        <w:rPr>
          <w:rFonts w:ascii="Times New Roman" w:hAnsi="Times New Roman"/>
          <w:bCs/>
          <w:iCs/>
          <w:szCs w:val="24"/>
        </w:rPr>
        <w:t xml:space="preserve">w Banku Spółdzielczym w Połańcu </w:t>
      </w:r>
      <w:r>
        <w:rPr>
          <w:rFonts w:ascii="Times New Roman" w:hAnsi="Times New Roman"/>
          <w:b/>
          <w:iCs/>
          <w:szCs w:val="24"/>
        </w:rPr>
        <w:t>najpóźniej na jeden dzień przed podpisaniem notarialnej umowy sprzedaży.</w:t>
      </w:r>
    </w:p>
    <w:p>
      <w:pPr>
        <w:pStyle w:val="Tretekstu"/>
        <w:spacing w:before="0" w:after="0"/>
        <w:contextualSpacing/>
        <w:rPr>
          <w:rFonts w:ascii="Times New Roman" w:hAnsi="Times New Roman"/>
          <w:b/>
          <w:b/>
          <w:iCs/>
          <w:szCs w:val="24"/>
        </w:rPr>
      </w:pPr>
      <w:r>
        <w:rPr>
          <w:rFonts w:ascii="Times New Roman" w:hAnsi="Times New Roman"/>
          <w:b/>
          <w:iCs/>
          <w:szCs w:val="24"/>
        </w:rPr>
        <w:t>Brak wpłaty w powyższym terminie może być uznany za uchylenie się przez uczestnika przetargu od zawarcia umowy notarialnej i może skutkować utratą wadium.</w:t>
      </w:r>
    </w:p>
    <w:p>
      <w:pPr>
        <w:pStyle w:val="Tretekstu"/>
        <w:spacing w:before="0" w:after="0"/>
        <w:ind w:left="62" w:hanging="0"/>
        <w:contextualSpacing/>
        <w:rPr>
          <w:rFonts w:ascii="Times New Roman" w:hAnsi="Times New Roman"/>
          <w:b/>
          <w:b/>
          <w:iCs/>
          <w:szCs w:val="24"/>
        </w:rPr>
      </w:pPr>
      <w:r>
        <w:rPr>
          <w:rFonts w:ascii="Times New Roman" w:hAnsi="Times New Roman"/>
          <w:b/>
          <w:iCs/>
          <w:szCs w:val="24"/>
        </w:rPr>
      </w:r>
    </w:p>
    <w:p>
      <w:pPr>
        <w:pStyle w:val="Tretekstu"/>
        <w:spacing w:before="0" w:after="120"/>
        <w:contextualSpacing/>
        <w:rPr>
          <w:rFonts w:ascii="Times New Roman" w:hAnsi="Times New Roman"/>
          <w:bCs/>
          <w:iCs/>
          <w:szCs w:val="24"/>
        </w:rPr>
      </w:pPr>
      <w:r>
        <w:rPr>
          <w:rFonts w:ascii="Times New Roman" w:hAnsi="Times New Roman"/>
          <w:b/>
          <w:iCs/>
          <w:szCs w:val="24"/>
        </w:rPr>
        <w:t>Pisemną ofertę</w:t>
      </w:r>
      <w:r>
        <w:rPr>
          <w:rFonts w:ascii="Times New Roman" w:hAnsi="Times New Roman"/>
          <w:bCs/>
          <w:iCs/>
          <w:szCs w:val="24"/>
        </w:rPr>
        <w:t xml:space="preserve"> należy złożyć w zamkniętej kopercie z opisem:</w:t>
      </w:r>
    </w:p>
    <w:p>
      <w:pPr>
        <w:pStyle w:val="Tretekstu"/>
        <w:spacing w:before="0" w:after="200"/>
        <w:contextualSpacing/>
        <w:rPr>
          <w:rFonts w:ascii="Times New Roman" w:hAnsi="Times New Roman"/>
          <w:b/>
          <w:b/>
          <w:i/>
          <w:i/>
          <w:spacing w:val="-2"/>
          <w:szCs w:val="24"/>
        </w:rPr>
      </w:pPr>
      <w:r>
        <w:rPr>
          <w:rFonts w:ascii="Times New Roman" w:hAnsi="Times New Roman"/>
          <w:b/>
          <w:bCs/>
          <w:i/>
          <w:iCs/>
          <w:szCs w:val="24"/>
        </w:rPr>
        <w:t>„</w:t>
      </w:r>
      <w:r>
        <w:rPr>
          <w:rFonts w:ascii="Times New Roman" w:hAnsi="Times New Roman"/>
          <w:b/>
          <w:bCs/>
          <w:i/>
          <w:iCs/>
          <w:szCs w:val="24"/>
        </w:rPr>
        <w:t>Przetarg</w:t>
      </w:r>
      <w:r>
        <w:rPr>
          <w:rFonts w:ascii="Times New Roman" w:hAnsi="Times New Roman"/>
          <w:b/>
          <w:i/>
          <w:spacing w:val="-2"/>
          <w:szCs w:val="24"/>
        </w:rPr>
        <w:t xml:space="preserve"> na sprzedaż niezabudowanej nieruchomości gruntowej, obszaru inwestycyjnego III </w:t>
        <w:br/>
        <w:t xml:space="preserve">o powierzchni 0,5491 ha, stanowiącej własność Gminy Połaniec, położonej </w:t>
      </w:r>
      <w:r>
        <w:rPr>
          <w:rFonts w:ascii="Times New Roman" w:hAnsi="Times New Roman"/>
          <w:b/>
          <w:i/>
          <w:spacing w:val="-8"/>
          <w:szCs w:val="24"/>
        </w:rPr>
        <w:t>w Połańcu przy ulicy Wyzwolenia, w obrębie Strefy Inwestycyjnej B</w:t>
      </w:r>
      <w:r>
        <w:rPr>
          <w:rFonts w:ascii="Times New Roman" w:hAnsi="Times New Roman"/>
          <w:b/>
          <w:i/>
          <w:szCs w:val="24"/>
        </w:rPr>
        <w:t xml:space="preserve">” </w:t>
      </w:r>
      <w:r>
        <w:rPr>
          <w:rFonts w:ascii="Times New Roman" w:hAnsi="Times New Roman"/>
          <w:bCs/>
          <w:iCs/>
          <w:spacing w:val="-2"/>
          <w:szCs w:val="24"/>
        </w:rPr>
        <w:t xml:space="preserve">najpóźniej do dnia </w:t>
      </w:r>
      <w:r>
        <w:rPr>
          <w:rFonts w:ascii="Times New Roman" w:hAnsi="Times New Roman"/>
          <w:b/>
          <w:bCs/>
          <w:iCs/>
          <w:spacing w:val="-2"/>
          <w:szCs w:val="24"/>
          <w:u w:val="single"/>
        </w:rPr>
        <w:t>21 września 2021 roku do godz. 15:00</w:t>
      </w:r>
      <w:r>
        <w:rPr>
          <w:rFonts w:ascii="Times New Roman" w:hAnsi="Times New Roman"/>
          <w:bCs/>
          <w:iCs/>
          <w:spacing w:val="-2"/>
          <w:szCs w:val="24"/>
        </w:rPr>
        <w:t xml:space="preserve"> </w:t>
        <w:br/>
        <w:t>w Urzędzie Miasta i Gminy w Połańcu, ul. Ruszczańska 27 lub przesłać pocztą, przy czym znaczenie ma data wpływu do Urzędu Miasta i Gminy w Połańcu (a nie data nadania).</w:t>
      </w:r>
    </w:p>
    <w:p>
      <w:pPr>
        <w:pStyle w:val="Tretekstu"/>
        <w:spacing w:before="0" w:after="0"/>
        <w:contextualSpacing/>
        <w:rPr>
          <w:rFonts w:ascii="Times New Roman" w:hAnsi="Times New Roman"/>
          <w:b/>
          <w:b/>
          <w:iCs/>
          <w:szCs w:val="24"/>
        </w:rPr>
      </w:pPr>
      <w:r>
        <w:rPr>
          <w:rFonts w:ascii="Times New Roman" w:hAnsi="Times New Roman"/>
          <w:b/>
          <w:iCs/>
          <w:szCs w:val="24"/>
        </w:rPr>
        <w:t>Pisemna oferta powinna zawierać:</w:t>
      </w:r>
    </w:p>
    <w:p>
      <w:pPr>
        <w:pStyle w:val="Tretekstu"/>
        <w:numPr>
          <w:ilvl w:val="0"/>
          <w:numId w:val="3"/>
        </w:numPr>
        <w:spacing w:before="0" w:after="0"/>
        <w:ind w:left="426" w:hanging="360"/>
        <w:contextualSpacing/>
        <w:rPr>
          <w:rFonts w:ascii="Times New Roman" w:hAnsi="Times New Roman"/>
          <w:iCs/>
          <w:szCs w:val="24"/>
        </w:rPr>
      </w:pPr>
      <w:r>
        <w:rPr>
          <w:rFonts w:ascii="Times New Roman" w:hAnsi="Times New Roman"/>
          <w:iCs/>
          <w:szCs w:val="24"/>
        </w:rPr>
        <w:t>imię, nazwisko i adres oferenta będącego osobą fizyczną albo nazwę lub firmę oraz siedzibę (w tym adres), jeżeli Oferentem jest osoba prawna,</w:t>
      </w:r>
    </w:p>
    <w:p>
      <w:pPr>
        <w:pStyle w:val="Tretekstu"/>
        <w:numPr>
          <w:ilvl w:val="0"/>
          <w:numId w:val="3"/>
        </w:numPr>
        <w:spacing w:before="0" w:after="0"/>
        <w:ind w:left="426" w:hanging="360"/>
        <w:contextualSpacing/>
        <w:rPr>
          <w:rFonts w:ascii="Times New Roman" w:hAnsi="Times New Roman"/>
          <w:iCs/>
          <w:szCs w:val="24"/>
        </w:rPr>
      </w:pPr>
      <w:r>
        <w:rPr>
          <w:rFonts w:ascii="Times New Roman" w:hAnsi="Times New Roman"/>
          <w:iCs/>
          <w:szCs w:val="24"/>
        </w:rPr>
        <w:t>dokumenty potwierdzające status prawny Oferenta, jeżeli nie jest osobą fizyczną, w tym odpowiednio aktualny wypis (wydruk) z odpowiedniego rejestru, właściwe pełnomocnictwo oraz dowód (kserokopia poświadczona przez Oferenta) tożsamości osoby reprezentującej podmiot,</w:t>
      </w:r>
    </w:p>
    <w:p>
      <w:pPr>
        <w:pStyle w:val="Tretekstu"/>
        <w:numPr>
          <w:ilvl w:val="0"/>
          <w:numId w:val="3"/>
        </w:numPr>
        <w:spacing w:before="0" w:after="0"/>
        <w:ind w:left="426" w:hanging="360"/>
        <w:contextualSpacing/>
        <w:rPr>
          <w:rFonts w:ascii="Times New Roman" w:hAnsi="Times New Roman"/>
          <w:iCs/>
          <w:szCs w:val="24"/>
        </w:rPr>
      </w:pPr>
      <w:r>
        <w:rPr>
          <w:rFonts w:ascii="Times New Roman" w:hAnsi="Times New Roman"/>
          <w:iCs/>
          <w:szCs w:val="24"/>
        </w:rPr>
        <w:t>datę sporządzenia oferty,</w:t>
      </w:r>
    </w:p>
    <w:p>
      <w:pPr>
        <w:pStyle w:val="Tretekstu"/>
        <w:numPr>
          <w:ilvl w:val="0"/>
          <w:numId w:val="3"/>
        </w:numPr>
        <w:spacing w:before="0" w:after="0"/>
        <w:ind w:left="426" w:hanging="360"/>
        <w:contextualSpacing/>
        <w:rPr>
          <w:rFonts w:ascii="Times New Roman" w:hAnsi="Times New Roman"/>
          <w:iCs/>
          <w:szCs w:val="24"/>
        </w:rPr>
      </w:pPr>
      <w:r>
        <w:rPr>
          <w:rFonts w:ascii="Times New Roman" w:hAnsi="Times New Roman"/>
          <w:iCs/>
          <w:szCs w:val="24"/>
        </w:rPr>
        <w:t>oświadczenie, że Oferent zapoznał się z warunkami i regulaminem przetargu i przyjmuje je bez zastrzeżeń,</w:t>
      </w:r>
    </w:p>
    <w:p>
      <w:pPr>
        <w:pStyle w:val="Tretekstu"/>
        <w:numPr>
          <w:ilvl w:val="0"/>
          <w:numId w:val="3"/>
        </w:numPr>
        <w:spacing w:before="0" w:after="0"/>
        <w:ind w:left="426" w:hanging="360"/>
        <w:contextualSpacing/>
        <w:rPr>
          <w:rFonts w:ascii="Times New Roman" w:hAnsi="Times New Roman"/>
          <w:iCs/>
          <w:spacing w:val="-2"/>
          <w:szCs w:val="24"/>
        </w:rPr>
      </w:pPr>
      <w:r>
        <w:rPr>
          <w:rFonts w:ascii="Times New Roman" w:hAnsi="Times New Roman"/>
          <w:iCs/>
          <w:spacing w:val="-2"/>
          <w:szCs w:val="24"/>
        </w:rPr>
        <w:t xml:space="preserve">oferowaną cenę, wyższą od ceny wywoławczej </w:t>
      </w:r>
      <w:r>
        <w:rPr>
          <w:rFonts w:ascii="Times New Roman" w:hAnsi="Times New Roman"/>
          <w:b/>
          <w:iCs/>
          <w:spacing w:val="-2"/>
          <w:szCs w:val="24"/>
        </w:rPr>
        <w:t>minimum 1% z zaokrągleniem w górę do pełnych dziesiątek złotych</w:t>
      </w:r>
      <w:r>
        <w:rPr>
          <w:rFonts w:ascii="Times New Roman" w:hAnsi="Times New Roman"/>
          <w:iCs/>
          <w:spacing w:val="-2"/>
          <w:szCs w:val="24"/>
        </w:rPr>
        <w:t>,</w:t>
      </w:r>
    </w:p>
    <w:p>
      <w:pPr>
        <w:pStyle w:val="Tretekstu"/>
        <w:numPr>
          <w:ilvl w:val="0"/>
          <w:numId w:val="3"/>
        </w:numPr>
        <w:spacing w:before="0" w:after="0"/>
        <w:ind w:left="426" w:hanging="360"/>
        <w:contextualSpacing/>
        <w:rPr>
          <w:rFonts w:ascii="Times New Roman" w:hAnsi="Times New Roman"/>
          <w:iCs/>
          <w:szCs w:val="24"/>
        </w:rPr>
      </w:pPr>
      <w:r>
        <w:rPr>
          <w:rFonts w:ascii="Times New Roman" w:hAnsi="Times New Roman"/>
          <w:iCs/>
          <w:szCs w:val="24"/>
        </w:rPr>
        <w:t xml:space="preserve">termin i sposób zagospodarowania nieruchomości zgodny z MPZP przedstawiony w formie koncepcji zagospodarowania terenu wraz z opisem oraz podaniem wysokości zapotrzebowania na poszczególne media, </w:t>
      </w:r>
      <w:r>
        <w:rPr>
          <w:rFonts w:ascii="Times New Roman" w:hAnsi="Times New Roman"/>
          <w:szCs w:val="24"/>
        </w:rPr>
        <w:t xml:space="preserve">oddziaływanie na środowisko, profil i charakter zamierzonej działalności, uciążliwość dla otoczenia, wizualizacja koncepcji zabudowy mając na uwadze estetykę </w:t>
        <w:br/>
        <w:t>i uwzględniając lokalizację planowanej inwestycji,</w:t>
      </w:r>
    </w:p>
    <w:p>
      <w:pPr>
        <w:pStyle w:val="Tretekstu"/>
        <w:numPr>
          <w:ilvl w:val="0"/>
          <w:numId w:val="3"/>
        </w:numPr>
        <w:spacing w:before="0" w:after="0"/>
        <w:ind w:left="426" w:hanging="360"/>
        <w:contextualSpacing/>
        <w:rPr>
          <w:rFonts w:ascii="Times New Roman" w:hAnsi="Times New Roman"/>
          <w:iCs/>
          <w:szCs w:val="24"/>
        </w:rPr>
      </w:pPr>
      <w:r>
        <w:rPr>
          <w:rFonts w:ascii="Times New Roman" w:hAnsi="Times New Roman"/>
          <w:szCs w:val="24"/>
        </w:rPr>
        <w:t>oświadczenie Oferenta określające wielkość przedsięwzięcia, tj. nakłady inwestycyjne na przedsięwzięcie,</w:t>
      </w:r>
    </w:p>
    <w:p>
      <w:pPr>
        <w:pStyle w:val="Tretekstu"/>
        <w:numPr>
          <w:ilvl w:val="0"/>
          <w:numId w:val="3"/>
        </w:numPr>
        <w:spacing w:before="0" w:after="0"/>
        <w:ind w:left="426" w:hanging="360"/>
        <w:contextualSpacing/>
        <w:rPr>
          <w:rFonts w:ascii="Times New Roman" w:hAnsi="Times New Roman"/>
          <w:szCs w:val="24"/>
        </w:rPr>
      </w:pPr>
      <w:r>
        <w:rPr>
          <w:rFonts w:ascii="Times New Roman" w:hAnsi="Times New Roman"/>
          <w:szCs w:val="24"/>
        </w:rPr>
        <w:t>oświadczenie Oferenta liczbę nowych miejsc pracy utworzonych w wyniku inwestycji,</w:t>
      </w:r>
    </w:p>
    <w:p>
      <w:pPr>
        <w:pStyle w:val="Tretekstu"/>
        <w:numPr>
          <w:ilvl w:val="0"/>
          <w:numId w:val="3"/>
        </w:numPr>
        <w:spacing w:before="0" w:after="0"/>
        <w:ind w:left="426" w:hanging="360"/>
        <w:contextualSpacing/>
        <w:rPr>
          <w:rFonts w:ascii="Times New Roman" w:hAnsi="Times New Roman"/>
          <w:iCs/>
          <w:szCs w:val="24"/>
        </w:rPr>
      </w:pPr>
      <w:r>
        <w:rPr>
          <w:rFonts w:ascii="Times New Roman" w:hAnsi="Times New Roman"/>
          <w:iCs/>
          <w:szCs w:val="24"/>
        </w:rPr>
        <w:t>numer rachunku Oferenta,</w:t>
      </w:r>
    </w:p>
    <w:p>
      <w:pPr>
        <w:pStyle w:val="Tretekstu"/>
        <w:numPr>
          <w:ilvl w:val="0"/>
          <w:numId w:val="3"/>
        </w:numPr>
        <w:spacing w:before="0" w:after="0"/>
        <w:ind w:left="426" w:hanging="360"/>
        <w:contextualSpacing/>
        <w:rPr>
          <w:rFonts w:ascii="Times New Roman" w:hAnsi="Times New Roman"/>
          <w:iCs/>
          <w:szCs w:val="24"/>
        </w:rPr>
      </w:pPr>
      <w:r>
        <w:rPr>
          <w:rFonts w:ascii="Times New Roman" w:hAnsi="Times New Roman"/>
          <w:iCs/>
          <w:szCs w:val="24"/>
        </w:rPr>
        <w:t>d</w:t>
      </w:r>
      <w:r>
        <w:rPr>
          <w:rFonts w:ascii="Times New Roman" w:hAnsi="Times New Roman"/>
          <w:iCs/>
          <w:spacing w:val="4"/>
          <w:szCs w:val="24"/>
        </w:rPr>
        <w:t xml:space="preserve">o oferty </w:t>
      </w:r>
      <w:r>
        <w:rPr>
          <w:rFonts w:ascii="Times New Roman" w:hAnsi="Times New Roman"/>
          <w:b/>
          <w:bCs/>
          <w:iCs/>
          <w:spacing w:val="4"/>
          <w:szCs w:val="24"/>
        </w:rPr>
        <w:t>należy dołączyć</w:t>
      </w:r>
      <w:r>
        <w:rPr>
          <w:rFonts w:ascii="Times New Roman" w:hAnsi="Times New Roman"/>
          <w:iCs/>
          <w:spacing w:val="4"/>
          <w:szCs w:val="24"/>
        </w:rPr>
        <w:t xml:space="preserve"> kopię dowodu wniesienia wadium (potwierdzenia przelewu) lub dowody stanowiące podstawę do zwolnienia z tego obowiązku, w przypadku osób wymienionych w § 5 rozporządzenia Rady Ministrów z dnia 14 września 2004 roku w sprawie sposobu i trybu przeprowadzania przetargów oraz rokowań na zbycie nieruchomości (t.j. Dz. U. z 2014 r. poz. 1490 ze zm.),</w:t>
      </w:r>
    </w:p>
    <w:p>
      <w:pPr>
        <w:pStyle w:val="Tretekstu"/>
        <w:numPr>
          <w:ilvl w:val="0"/>
          <w:numId w:val="3"/>
        </w:numPr>
        <w:spacing w:before="0" w:after="0"/>
        <w:ind w:left="426" w:hanging="360"/>
        <w:contextualSpacing/>
        <w:rPr>
          <w:rFonts w:ascii="Times New Roman" w:hAnsi="Times New Roman"/>
          <w:iCs/>
          <w:szCs w:val="24"/>
        </w:rPr>
      </w:pPr>
      <w:r>
        <w:rPr>
          <w:rFonts w:ascii="Times New Roman" w:hAnsi="Times New Roman"/>
          <w:iCs/>
          <w:spacing w:val="4"/>
          <w:szCs w:val="24"/>
        </w:rPr>
        <w:t>w zależności od sposobu reprezentacji Oferenta/jego formy organizacyjno-prawnej, Jeżeli oferentem jest osoba prawna – oświadczenie (uchwałę) uprawnionego organu upoważniające do wzięcia udziału w przetargu i wyrażające zgodę na nabycie nieruchomości za oferowaną cenę na warunkach określonych w ogłoszeniu;</w:t>
      </w:r>
    </w:p>
    <w:p>
      <w:pPr>
        <w:pStyle w:val="Tretekstu"/>
        <w:numPr>
          <w:ilvl w:val="0"/>
          <w:numId w:val="3"/>
        </w:numPr>
        <w:spacing w:before="0" w:after="0"/>
        <w:ind w:left="426" w:hanging="360"/>
        <w:contextualSpacing/>
        <w:rPr>
          <w:rFonts w:ascii="Times New Roman" w:hAnsi="Times New Roman"/>
          <w:iCs/>
          <w:szCs w:val="24"/>
        </w:rPr>
      </w:pPr>
      <w:r>
        <w:rPr>
          <w:rFonts w:ascii="Times New Roman" w:hAnsi="Times New Roman"/>
          <w:iCs/>
          <w:szCs w:val="24"/>
        </w:rPr>
        <w:t>podpis Oferenta:</w:t>
      </w:r>
    </w:p>
    <w:p>
      <w:pPr>
        <w:pStyle w:val="Tretekstu"/>
        <w:numPr>
          <w:ilvl w:val="0"/>
          <w:numId w:val="7"/>
        </w:numPr>
        <w:spacing w:before="0" w:after="0"/>
        <w:contextualSpacing/>
        <w:rPr>
          <w:rFonts w:ascii="Times New Roman" w:hAnsi="Times New Roman"/>
          <w:iCs/>
          <w:szCs w:val="24"/>
        </w:rPr>
      </w:pPr>
      <w:r>
        <w:rPr>
          <w:rFonts w:ascii="Times New Roman" w:hAnsi="Times New Roman"/>
          <w:iCs/>
          <w:szCs w:val="24"/>
        </w:rPr>
        <w:t>* w przypadku osoby będącej w małżeńskiej wspólności majątkowej: podpisy obydwu małżonków,</w:t>
      </w:r>
    </w:p>
    <w:p>
      <w:pPr>
        <w:pStyle w:val="Tretekstu"/>
        <w:numPr>
          <w:ilvl w:val="0"/>
          <w:numId w:val="7"/>
        </w:numPr>
        <w:spacing w:before="0" w:after="0"/>
        <w:contextualSpacing/>
        <w:rPr>
          <w:rFonts w:ascii="Times New Roman" w:hAnsi="Times New Roman"/>
          <w:iCs/>
          <w:spacing w:val="-2"/>
          <w:szCs w:val="24"/>
        </w:rPr>
      </w:pPr>
      <w:r>
        <w:rPr>
          <w:rFonts w:ascii="Times New Roman" w:hAnsi="Times New Roman"/>
          <w:iCs/>
          <w:spacing w:val="-2"/>
          <w:szCs w:val="24"/>
        </w:rPr>
        <w:t>* w przypadku osób prawnych: podpisy osób reprezentujących zgodnie z wpisem do właściwego rejestru bądź zgodnie z pełnomocnictwem.</w:t>
      </w:r>
    </w:p>
    <w:p>
      <w:pPr>
        <w:pStyle w:val="Tretekstu"/>
        <w:spacing w:before="0" w:after="0"/>
        <w:contextualSpacing/>
        <w:rPr>
          <w:rFonts w:ascii="Times New Roman" w:hAnsi="Times New Roman"/>
          <w:iCs/>
          <w:spacing w:val="-2"/>
          <w:szCs w:val="24"/>
        </w:rPr>
      </w:pPr>
      <w:r>
        <w:rPr>
          <w:rFonts w:ascii="Times New Roman" w:hAnsi="Times New Roman"/>
          <w:iCs/>
          <w:spacing w:val="-2"/>
          <w:szCs w:val="24"/>
        </w:rPr>
        <w:t>Jeżeli oferentem jest osoba prawna, winna posiadać zezwolenie właściwego organu na nabycie nieruchomości, na którą oferent składa ofertę.</w:t>
      </w:r>
    </w:p>
    <w:p>
      <w:pPr>
        <w:pStyle w:val="Tretekstu"/>
        <w:spacing w:before="0" w:after="0"/>
        <w:contextualSpacing/>
        <w:rPr>
          <w:rFonts w:ascii="Times New Roman" w:hAnsi="Times New Roman"/>
          <w:iCs/>
          <w:spacing w:val="-2"/>
          <w:szCs w:val="24"/>
        </w:rPr>
      </w:pPr>
      <w:r>
        <w:rPr>
          <w:rFonts w:ascii="Times New Roman" w:hAnsi="Times New Roman"/>
          <w:iCs/>
          <w:spacing w:val="-2"/>
          <w:szCs w:val="24"/>
        </w:rPr>
      </w:r>
    </w:p>
    <w:p>
      <w:pPr>
        <w:pStyle w:val="Tretekstu"/>
        <w:spacing w:before="0" w:after="0"/>
        <w:contextualSpacing/>
        <w:rPr>
          <w:rFonts w:ascii="Times New Roman" w:hAnsi="Times New Roman"/>
          <w:b/>
          <w:b/>
          <w:szCs w:val="24"/>
        </w:rPr>
      </w:pPr>
      <w:r>
        <w:rPr>
          <w:rStyle w:val="Wyrnienie"/>
          <w:rFonts w:ascii="Times New Roman" w:hAnsi="Times New Roman"/>
          <w:b/>
          <w:i w:val="false"/>
          <w:szCs w:val="24"/>
        </w:rPr>
        <w:t xml:space="preserve">Przetarg </w:t>
      </w:r>
      <w:r>
        <w:rPr>
          <w:rFonts w:ascii="Times New Roman" w:hAnsi="Times New Roman"/>
          <w:b/>
          <w:i/>
          <w:szCs w:val="24"/>
        </w:rPr>
        <w:t>s</w:t>
      </w:r>
      <w:r>
        <w:rPr>
          <w:rFonts w:ascii="Times New Roman" w:hAnsi="Times New Roman"/>
          <w:b/>
          <w:szCs w:val="24"/>
        </w:rPr>
        <w:t xml:space="preserve">kłada się z </w:t>
      </w:r>
      <w:r>
        <w:rPr>
          <w:rFonts w:ascii="Times New Roman" w:hAnsi="Times New Roman"/>
          <w:b/>
          <w:szCs w:val="24"/>
          <w:u w:val="single"/>
        </w:rPr>
        <w:t>części jawnej</w:t>
      </w:r>
      <w:r>
        <w:rPr>
          <w:rFonts w:ascii="Times New Roman" w:hAnsi="Times New Roman"/>
          <w:b/>
          <w:szCs w:val="24"/>
        </w:rPr>
        <w:t xml:space="preserve"> i </w:t>
      </w:r>
      <w:r>
        <w:rPr>
          <w:rFonts w:ascii="Times New Roman" w:hAnsi="Times New Roman"/>
          <w:b/>
          <w:szCs w:val="24"/>
          <w:u w:val="single"/>
        </w:rPr>
        <w:t>niejawnej</w:t>
      </w:r>
      <w:r>
        <w:rPr>
          <w:rFonts w:ascii="Times New Roman" w:hAnsi="Times New Roman"/>
          <w:b/>
          <w:szCs w:val="24"/>
        </w:rPr>
        <w:t>.</w:t>
      </w:r>
    </w:p>
    <w:p>
      <w:pPr>
        <w:pStyle w:val="Tretekstu"/>
        <w:spacing w:before="0" w:after="0"/>
        <w:contextualSpacing/>
        <w:rPr>
          <w:rFonts w:ascii="Times New Roman" w:hAnsi="Times New Roman"/>
          <w:b/>
          <w:b/>
          <w:iCs/>
          <w:szCs w:val="24"/>
        </w:rPr>
      </w:pPr>
      <w:r>
        <w:rPr>
          <w:rFonts w:ascii="Times New Roman" w:hAnsi="Times New Roman"/>
          <w:bCs/>
          <w:iCs/>
          <w:spacing w:val="-6"/>
          <w:szCs w:val="24"/>
        </w:rPr>
        <w:t xml:space="preserve">Część jawna przetargu nastąpi </w:t>
      </w:r>
      <w:r>
        <w:rPr>
          <w:rFonts w:ascii="Times New Roman" w:hAnsi="Times New Roman"/>
          <w:b/>
          <w:iCs/>
          <w:spacing w:val="-6"/>
          <w:szCs w:val="24"/>
          <w:u w:val="single"/>
        </w:rPr>
        <w:t>w dniu 27 września 2021 roku o godz. 11:00</w:t>
      </w:r>
      <w:r>
        <w:rPr>
          <w:rFonts w:ascii="Times New Roman" w:hAnsi="Times New Roman"/>
          <w:b/>
          <w:iCs/>
          <w:spacing w:val="-6"/>
          <w:szCs w:val="24"/>
        </w:rPr>
        <w:t xml:space="preserve"> w Urzędzie Miasta i Gminy </w:t>
        <w:br/>
        <w:t>w Połańcu</w:t>
      </w:r>
      <w:r>
        <w:rPr>
          <w:rFonts w:ascii="Times New Roman" w:hAnsi="Times New Roman"/>
          <w:b/>
          <w:iCs/>
          <w:szCs w:val="24"/>
        </w:rPr>
        <w:t xml:space="preserve"> przy ul. Ruszczańskiej 27, 28-230 Połaniec, sala nr 129, z zachowaniem wymogów sanitarnych wynikających z obowiązujących przepisów prawa i przepisów wewnętrznych obowiązujących na terenie Urzędu Miasta i Gminy w Połańcu. </w:t>
      </w:r>
    </w:p>
    <w:p>
      <w:pPr>
        <w:pStyle w:val="Tretekstu"/>
        <w:spacing w:before="0" w:after="0"/>
        <w:ind w:left="62" w:hanging="0"/>
        <w:contextualSpacing/>
        <w:rPr>
          <w:rFonts w:ascii="Times New Roman" w:hAnsi="Times New Roman"/>
          <w:bCs/>
          <w:iCs/>
          <w:szCs w:val="24"/>
        </w:rPr>
      </w:pPr>
      <w:r>
        <w:rPr>
          <w:rFonts w:ascii="Times New Roman" w:hAnsi="Times New Roman"/>
          <w:bCs/>
          <w:iCs/>
          <w:szCs w:val="24"/>
        </w:rPr>
      </w:r>
    </w:p>
    <w:p>
      <w:pPr>
        <w:pStyle w:val="Tretekstu"/>
        <w:spacing w:before="0" w:after="0"/>
        <w:contextualSpacing/>
        <w:rPr>
          <w:rFonts w:ascii="Times New Roman" w:hAnsi="Times New Roman"/>
          <w:bCs/>
          <w:szCs w:val="24"/>
        </w:rPr>
      </w:pPr>
      <w:r>
        <w:rPr>
          <w:rFonts w:ascii="Times New Roman" w:hAnsi="Times New Roman"/>
          <w:bCs/>
          <w:iCs/>
          <w:szCs w:val="24"/>
        </w:rPr>
        <w:t xml:space="preserve">Przetarg może się odbyć chociażby wpłynęła tylko jedna oferta spełniająca warunki określone </w:t>
        <w:br/>
        <w:t xml:space="preserve">w niniejszym ogłoszeniu przetargowym. </w:t>
      </w:r>
      <w:r>
        <w:rPr>
          <w:rFonts w:ascii="Times New Roman" w:hAnsi="Times New Roman"/>
          <w:bCs/>
          <w:szCs w:val="24"/>
        </w:rPr>
        <w:t xml:space="preserve">O terminie i miejscu sporządzenia umowy notarialnej nabywca zostanie zawiadomiony w terminie </w:t>
      </w:r>
      <w:r>
        <w:rPr>
          <w:rFonts w:ascii="Times New Roman" w:hAnsi="Times New Roman"/>
          <w:b/>
          <w:bCs/>
          <w:szCs w:val="24"/>
        </w:rPr>
        <w:t xml:space="preserve">do 21 dni, </w:t>
      </w:r>
      <w:r>
        <w:rPr>
          <w:rFonts w:ascii="Times New Roman" w:hAnsi="Times New Roman"/>
          <w:bCs/>
          <w:szCs w:val="24"/>
        </w:rPr>
        <w:t>licząc od dnia rozstrzygnięcia przetargu.</w:t>
      </w:r>
    </w:p>
    <w:p>
      <w:pPr>
        <w:pStyle w:val="Tretekstu"/>
        <w:spacing w:before="0" w:after="0"/>
        <w:contextualSpacing/>
        <w:rPr>
          <w:rFonts w:ascii="Times New Roman" w:hAnsi="Times New Roman"/>
          <w:bCs/>
          <w:iCs/>
          <w:szCs w:val="24"/>
        </w:rPr>
      </w:pPr>
      <w:r>
        <w:rPr>
          <w:rFonts w:ascii="Times New Roman" w:hAnsi="Times New Roman"/>
          <w:bCs/>
          <w:szCs w:val="24"/>
        </w:rPr>
        <w:t>Jeżeli podmiot ustalony jako nabywca nie przystąpi bez usprawiedliwienia do zawarcia umowy notarialnej w ustalonym miejscu i terminie podanym w zawiadomieniu, organizator przetargu może odstąpić od zawarcia umowy, a wpłacone wadium nie podlega zwrotowi.</w:t>
      </w:r>
      <w:r>
        <w:rPr>
          <w:rFonts w:ascii="Times New Roman" w:hAnsi="Times New Roman"/>
          <w:bCs/>
          <w:iCs/>
          <w:szCs w:val="24"/>
        </w:rPr>
        <w:t xml:space="preserve"> Wszelkie koszty związane ze sporządzeniem umowy sprzedaży nieruchomości ponosi nabywca. </w:t>
      </w:r>
    </w:p>
    <w:p>
      <w:pPr>
        <w:pStyle w:val="Tretekstu"/>
        <w:spacing w:before="0" w:after="0"/>
        <w:contextualSpacing/>
        <w:rPr>
          <w:rFonts w:ascii="Times New Roman" w:hAnsi="Times New Roman"/>
          <w:bCs/>
          <w:iCs/>
          <w:spacing w:val="-2"/>
          <w:szCs w:val="24"/>
        </w:rPr>
      </w:pPr>
      <w:r>
        <w:rPr>
          <w:rFonts w:ascii="Times New Roman" w:hAnsi="Times New Roman"/>
          <w:bCs/>
          <w:iCs/>
          <w:spacing w:val="-2"/>
          <w:szCs w:val="24"/>
        </w:rPr>
        <w:t xml:space="preserve">Burmistrz Miasta i Gminy Połaniec zastrzega sobie prawo zamknięcia przetargu bez wybrania którejkolwiek z ofert. Zastrzega się prawo do odwołania przetargu jedynie z ważnych powodów, </w:t>
        <w:br/>
        <w:t>z podaniem przyczyny odwołania.</w:t>
      </w:r>
    </w:p>
    <w:p>
      <w:pPr>
        <w:pStyle w:val="Tretekstu"/>
        <w:spacing w:before="0" w:after="0"/>
        <w:contextualSpacing/>
        <w:rPr>
          <w:rFonts w:ascii="Times New Roman" w:hAnsi="Times New Roman"/>
          <w:szCs w:val="24"/>
        </w:rPr>
      </w:pPr>
      <w:r>
        <w:rPr>
          <w:rFonts w:ascii="Times New Roman" w:hAnsi="Times New Roman"/>
          <w:szCs w:val="24"/>
        </w:rPr>
        <w:t>Szczegółowe informacje w sprawie przetargu można uzyskać w Urzędzie Miasta i Gminy Połaniec,</w:t>
        <w:br/>
        <w:t>ul. Ruszczańska 27, 28-230 Połaniec, w godzinach pracy Urzędu, lub telefonicznie – tel. 15 865-03-73.</w:t>
      </w:r>
    </w:p>
    <w:p>
      <w:pPr>
        <w:pStyle w:val="Tretekstu"/>
        <w:spacing w:before="0" w:after="0"/>
        <w:contextualSpacing/>
        <w:rPr/>
      </w:pPr>
      <w:r>
        <w:rPr>
          <w:rFonts w:ascii="Times New Roman" w:hAnsi="Times New Roman"/>
          <w:bCs/>
          <w:szCs w:val="24"/>
        </w:rPr>
        <w:t xml:space="preserve">Niniejsze </w:t>
      </w:r>
      <w:r>
        <w:rPr>
          <w:rFonts w:ascii="Times New Roman" w:hAnsi="Times New Roman"/>
          <w:b/>
          <w:bCs/>
          <w:szCs w:val="24"/>
        </w:rPr>
        <w:t>ogłoszenie</w:t>
      </w:r>
      <w:r>
        <w:rPr>
          <w:rFonts w:ascii="Times New Roman" w:hAnsi="Times New Roman"/>
          <w:bCs/>
          <w:szCs w:val="24"/>
        </w:rPr>
        <w:t xml:space="preserve"> podlega podaniu do publicznej wiadomości poprzez wywieszenie na tablicy ogłoszeń w Urzędzie Miasta i Gminy Połaniec, a </w:t>
      </w:r>
      <w:r>
        <w:rPr>
          <w:rFonts w:ascii="Times New Roman" w:hAnsi="Times New Roman"/>
          <w:szCs w:val="24"/>
        </w:rPr>
        <w:t xml:space="preserve">także wraz z załącznikami na stronie internetowej </w:t>
      </w:r>
      <w:r>
        <w:rPr>
          <w:rFonts w:ascii="Times New Roman" w:hAnsi="Times New Roman"/>
          <w:bCs/>
          <w:iCs/>
          <w:szCs w:val="24"/>
        </w:rPr>
        <w:t xml:space="preserve">Urzędu Miasta i Gminy Połaniec: </w:t>
      </w:r>
      <w:hyperlink r:id="rId3">
        <w:r>
          <w:rPr>
            <w:rStyle w:val="Czeinternetowe"/>
            <w:rFonts w:ascii="Times New Roman" w:hAnsi="Times New Roman"/>
            <w:b/>
            <w:bCs/>
            <w:iCs/>
            <w:szCs w:val="24"/>
          </w:rPr>
          <w:t>www.portal.polaniec.eu</w:t>
        </w:r>
      </w:hyperlink>
      <w:r>
        <w:rPr/>
        <w:t xml:space="preserve"> </w:t>
      </w:r>
      <w:r>
        <w:rPr>
          <w:rFonts w:ascii="Times New Roman" w:hAnsi="Times New Roman"/>
          <w:bCs/>
          <w:iCs/>
          <w:szCs w:val="24"/>
        </w:rPr>
        <w:t xml:space="preserve">oraz Biuletynu Informacji Publicznej: </w:t>
      </w:r>
      <w:r>
        <w:rPr>
          <w:rFonts w:ascii="Times New Roman" w:hAnsi="Times New Roman"/>
          <w:b/>
          <w:bCs/>
          <w:iCs/>
          <w:szCs w:val="24"/>
          <w:u w:val="single"/>
        </w:rPr>
        <w:t>polaniec.bip.gov.pl</w:t>
      </w:r>
      <w:r>
        <w:rPr>
          <w:rFonts w:ascii="Times New Roman" w:hAnsi="Times New Roman"/>
          <w:bCs/>
          <w:iCs/>
          <w:szCs w:val="24"/>
        </w:rPr>
        <w:t xml:space="preserve"> w zakładce „Ogłoszenia” co najmniej na okres 30 dni przed wyznaczonym terminem przetargu, a ponadto </w:t>
      </w:r>
      <w:r>
        <w:rPr>
          <w:rFonts w:ascii="Times New Roman" w:hAnsi="Times New Roman"/>
          <w:b/>
          <w:bCs/>
          <w:iCs/>
          <w:szCs w:val="24"/>
        </w:rPr>
        <w:t>informację o ogłoszeniu</w:t>
      </w:r>
      <w:r>
        <w:rPr>
          <w:rFonts w:ascii="Times New Roman" w:hAnsi="Times New Roman"/>
          <w:bCs/>
          <w:iCs/>
          <w:szCs w:val="24"/>
        </w:rPr>
        <w:t xml:space="preserve"> tego przetargu podaje się do publicznej wiadomości </w:t>
      </w:r>
      <w:r>
        <w:rPr>
          <w:rFonts w:ascii="Times New Roman" w:hAnsi="Times New Roman"/>
          <w:bCs/>
          <w:iCs/>
          <w:sz w:val="22"/>
          <w:szCs w:val="24"/>
        </w:rPr>
        <w:t xml:space="preserve">na tablicy ogłoszeń </w:t>
      </w:r>
      <w:r>
        <w:rPr>
          <w:rFonts w:ascii="Times New Roman" w:hAnsi="Times New Roman"/>
          <w:bCs/>
          <w:iCs/>
          <w:szCs w:val="24"/>
        </w:rPr>
        <w:t>Urzędu Miasta i Gminy Połaniec, a także na</w:t>
      </w:r>
      <w:r>
        <w:rPr>
          <w:rFonts w:ascii="Times New Roman" w:hAnsi="Times New Roman"/>
          <w:szCs w:val="24"/>
        </w:rPr>
        <w:t xml:space="preserve"> stronie internetowej </w:t>
      </w:r>
      <w:r>
        <w:rPr>
          <w:rFonts w:ascii="Times New Roman" w:hAnsi="Times New Roman"/>
          <w:bCs/>
          <w:iCs/>
          <w:szCs w:val="24"/>
        </w:rPr>
        <w:t xml:space="preserve">Urzędu Miasta i Gminy Połaniec: </w:t>
      </w:r>
      <w:hyperlink r:id="rId4">
        <w:r>
          <w:rPr>
            <w:rStyle w:val="Czeinternetowe"/>
            <w:rFonts w:ascii="Times New Roman" w:hAnsi="Times New Roman"/>
            <w:b/>
            <w:bCs/>
            <w:iCs/>
            <w:szCs w:val="24"/>
          </w:rPr>
          <w:t>www.portal.polaniec.eu</w:t>
        </w:r>
      </w:hyperlink>
      <w:r>
        <w:rPr/>
        <w:t xml:space="preserve"> </w:t>
      </w:r>
      <w:r>
        <w:rPr>
          <w:rFonts w:ascii="Times New Roman" w:hAnsi="Times New Roman"/>
          <w:bCs/>
          <w:iCs/>
          <w:szCs w:val="24"/>
        </w:rPr>
        <w:t xml:space="preserve">oraz Biuletynu Informacji Publicznej: </w:t>
      </w:r>
      <w:r>
        <w:rPr>
          <w:rFonts w:ascii="Times New Roman" w:hAnsi="Times New Roman"/>
          <w:b/>
          <w:bCs/>
          <w:iCs/>
          <w:szCs w:val="24"/>
          <w:u w:val="single"/>
        </w:rPr>
        <w:t>polaniec.bip.gov.pl</w:t>
      </w:r>
      <w:r>
        <w:rPr>
          <w:rFonts w:ascii="Times New Roman" w:hAnsi="Times New Roman"/>
          <w:bCs/>
          <w:iCs/>
          <w:szCs w:val="24"/>
        </w:rPr>
        <w:t xml:space="preserve"> </w:t>
        <w:br/>
        <w:t>w zakładce „Ogłoszenia”.</w:t>
      </w:r>
    </w:p>
    <w:p>
      <w:pPr>
        <w:pStyle w:val="Tretekstu"/>
        <w:spacing w:before="0" w:after="0"/>
        <w:contextualSpacing/>
        <w:rPr>
          <w:rFonts w:ascii="Times New Roman" w:hAnsi="Times New Roman"/>
          <w:b/>
          <w:b/>
          <w:bCs/>
          <w:iCs/>
          <w:szCs w:val="24"/>
        </w:rPr>
      </w:pPr>
      <w:r>
        <w:rPr>
          <w:rFonts w:ascii="Times New Roman" w:hAnsi="Times New Roman"/>
          <w:b/>
          <w:bCs/>
          <w:iCs/>
          <w:szCs w:val="24"/>
        </w:rPr>
        <w:t xml:space="preserve">Wyciąg z ogłoszenia </w:t>
      </w:r>
      <w:r>
        <w:rPr>
          <w:rFonts w:ascii="Times New Roman" w:hAnsi="Times New Roman"/>
          <w:bCs/>
          <w:iCs/>
          <w:szCs w:val="24"/>
        </w:rPr>
        <w:t>o przetargu zamieszcza się w wydaniu świętokrzyskim Gazety Wyborczej na okres 30 dni przed wyznaczonym terminem przetargu.</w:t>
      </w:r>
    </w:p>
    <w:p>
      <w:pPr>
        <w:pStyle w:val="Tretekstu"/>
        <w:spacing w:before="0" w:after="0"/>
        <w:contextualSpacing/>
        <w:rPr>
          <w:rFonts w:ascii="Times New Roman" w:hAnsi="Times New Roman"/>
          <w:bCs/>
          <w:iCs/>
          <w:szCs w:val="24"/>
        </w:rPr>
      </w:pPr>
      <w:r>
        <w:rPr>
          <w:rFonts w:ascii="Times New Roman" w:hAnsi="Times New Roman"/>
          <w:bCs/>
          <w:iCs/>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t>Ponadto informuje się, iż skargę na czynności związane z przeprowadzeniem przetargu, uczestnik przetargu może złożyć do Burmistrza Miasta i Gminy Połaniec.</w:t>
      </w:r>
    </w:p>
    <w:p>
      <w:pPr>
        <w:pStyle w:val="Tretekstu"/>
        <w:spacing w:before="0" w:after="0"/>
        <w:contextualSpacing/>
        <w:rPr>
          <w:rFonts w:ascii="Times New Roman" w:hAnsi="Times New Roman"/>
          <w:szCs w:val="24"/>
        </w:rPr>
      </w:pPr>
      <w:r>
        <w:rPr>
          <w:rFonts w:ascii="Times New Roman" w:hAnsi="Times New Roman"/>
          <w:szCs w:val="24"/>
        </w:rPr>
        <w:t xml:space="preserve">W przypadku wniesienia skargi Burmistrz Miasta i Gminy Połaniec wstrzymuje czynności związane ze zbyciem nieruchomości i rozpatruje skargę w terminie </w:t>
      </w:r>
      <w:r>
        <w:rPr>
          <w:rFonts w:ascii="Times New Roman" w:hAnsi="Times New Roman"/>
          <w:b/>
          <w:szCs w:val="24"/>
        </w:rPr>
        <w:t>7 dni</w:t>
      </w:r>
      <w:r>
        <w:rPr>
          <w:rFonts w:ascii="Times New Roman" w:hAnsi="Times New Roman"/>
          <w:szCs w:val="24"/>
        </w:rPr>
        <w:t xml:space="preserve"> od daty jej otrzymania.</w:t>
      </w:r>
    </w:p>
    <w:p>
      <w:pPr>
        <w:pStyle w:val="Tretekstu"/>
        <w:spacing w:before="0" w:after="0"/>
        <w:contextualSpacing/>
        <w:rPr>
          <w:rFonts w:ascii="Times New Roman" w:hAnsi="Times New Roman"/>
          <w:szCs w:val="24"/>
        </w:rPr>
      </w:pPr>
      <w:r>
        <w:rPr>
          <w:rFonts w:ascii="Times New Roman" w:hAnsi="Times New Roman"/>
          <w:szCs w:val="24"/>
        </w:rPr>
        <w:t>Burmistrz Miasta i Gminy Połaniec może uznać skargę za zasadną i nakazać powtórzenie czynności przetargowych lub unieważnić przetarg albo uznać skargę za niezasadną.</w:t>
      </w:r>
    </w:p>
    <w:p>
      <w:pPr>
        <w:pStyle w:val="Tretekstu"/>
        <w:spacing w:before="0" w:after="0"/>
        <w:contextualSpacing/>
        <w:rPr>
          <w:rFonts w:ascii="Times New Roman" w:hAnsi="Times New Roman"/>
          <w:szCs w:val="24"/>
        </w:rPr>
      </w:pPr>
      <w:r>
        <w:rPr>
          <w:rFonts w:ascii="Times New Roman" w:hAnsi="Times New Roman"/>
          <w:spacing w:val="-4"/>
          <w:szCs w:val="24"/>
        </w:rPr>
        <w:t xml:space="preserve">Po rozpatrzeniu skargi o sposobie rozstrzygnięcia skargi zawiadamia się skarżącego oraz informację </w:t>
        <w:br/>
        <w:t xml:space="preserve">o sposobie rozstrzygnięcia skargi  wywiesza się niezwłocznie, na okres </w:t>
      </w:r>
      <w:r>
        <w:rPr>
          <w:rFonts w:ascii="Times New Roman" w:hAnsi="Times New Roman"/>
          <w:b/>
          <w:szCs w:val="24"/>
        </w:rPr>
        <w:t>7 dni</w:t>
      </w:r>
      <w:r>
        <w:rPr>
          <w:rFonts w:ascii="Times New Roman" w:hAnsi="Times New Roman"/>
          <w:szCs w:val="24"/>
        </w:rPr>
        <w:t xml:space="preserve">, na tablicy ogłoszeń </w:t>
        <w:br/>
        <w:t xml:space="preserve">w Urzędzie Miasta i Gminy Połaniec oraz zamieszcza w BIP na stronie podmiotowej Urzędu www. polaniec.bip.gov.pl w zakładce ”Ogłoszenia”.   </w:t>
      </w:r>
    </w:p>
    <w:p>
      <w:pPr>
        <w:pStyle w:val="Tretekstu"/>
        <w:spacing w:before="0" w:after="0"/>
        <w:contextualSpacing/>
        <w:rPr>
          <w:rFonts w:ascii="Times New Roman" w:hAnsi="Times New Roman"/>
          <w:spacing w:val="-2"/>
          <w:szCs w:val="24"/>
        </w:rPr>
      </w:pPr>
      <w:r>
        <w:rPr>
          <w:rFonts w:ascii="Times New Roman" w:hAnsi="Times New Roman"/>
          <w:spacing w:val="-2"/>
          <w:szCs w:val="24"/>
        </w:rPr>
        <w:t xml:space="preserve">W przypadku niezaskarżenia w wyznaczonym terminie czynności związanych z przeprowadzeniem przetargu albo w razie uznania skargi za niezasadną właściwy organ podaje do publicznej wiadomości, zamieszczając </w:t>
        <w:br/>
        <w:t xml:space="preserve">w Biuletynie Informacji Publicznej na stronie podmiotowej urzędu go obsługującego oraz wywieszając </w:t>
        <w:br/>
        <w:t xml:space="preserve">w swojej siedzibie, na okres co najmniej 7 dni, informację o wyniku przetargu. </w:t>
      </w:r>
    </w:p>
    <w:p>
      <w:pPr>
        <w:pStyle w:val="Tretekstu"/>
        <w:spacing w:before="0" w:after="0"/>
        <w:contextualSpacing/>
        <w:rPr>
          <w:rFonts w:ascii="Times New Roman" w:hAnsi="Times New Roman"/>
          <w:szCs w:val="24"/>
        </w:rPr>
      </w:pPr>
      <w:r>
        <w:rPr>
          <w:rFonts w:ascii="Times New Roman" w:hAnsi="Times New Roman"/>
          <w:spacing w:val="-2"/>
          <w:szCs w:val="24"/>
        </w:rPr>
        <w:t xml:space="preserve">Integralnym elementem niniejszego ogłoszenia jest klauzula informacyjna dotycząca zasad przetwarzania danych </w:t>
      </w:r>
      <w:r>
        <w:rPr>
          <w:rFonts w:ascii="Times New Roman" w:hAnsi="Times New Roman"/>
          <w:szCs w:val="24"/>
        </w:rPr>
        <w:t>osobowych obowiązujących w Urzędzie Miasta i Gminy Połaniec.</w:t>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Tretekstu"/>
        <w:spacing w:before="0" w:after="0"/>
        <w:contextualSpacing/>
        <w:rPr>
          <w:rFonts w:ascii="Times New Roman" w:hAnsi="Times New Roman"/>
          <w:szCs w:val="24"/>
        </w:rPr>
      </w:pPr>
      <w:r>
        <w:rPr>
          <w:rFonts w:ascii="Times New Roman" w:hAnsi="Times New Roman"/>
          <w:szCs w:val="24"/>
        </w:rPr>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t>KLAUZULA INFORMACYJNA</w:t>
      </w:r>
    </w:p>
    <w:p>
      <w:pPr>
        <w:pStyle w:val="Normal"/>
        <w:spacing w:lineRule="auto" w:line="240" w:before="0" w:after="200"/>
        <w:contextualSpacing/>
        <w:jc w:val="center"/>
        <w:rPr>
          <w:rFonts w:ascii="Times New Roman" w:hAnsi="Times New Roman" w:cs="Times New Roman"/>
          <w:b/>
          <w:b/>
        </w:rPr>
      </w:pPr>
      <w:r>
        <w:rPr>
          <w:rFonts w:cs="Times New Roman" w:ascii="Times New Roman" w:hAnsi="Times New Roman"/>
          <w:b/>
        </w:rPr>
        <w:t>w Urzędzie Miasta i Gminy w Połańcu dotycząca zasad przetwarzania danych osobowych</w:t>
      </w:r>
    </w:p>
    <w:p>
      <w:pPr>
        <w:pStyle w:val="Normal"/>
        <w:spacing w:lineRule="auto" w:line="240" w:before="0" w:after="0"/>
        <w:contextualSpacing/>
        <w:jc w:val="both"/>
        <w:rPr>
          <w:rFonts w:ascii="Times New Roman" w:hAnsi="Times New Roman" w:cs="Times New Roman"/>
        </w:rPr>
      </w:pPr>
      <w:r>
        <w:rPr>
          <w:rFonts w:cs="Times New Roman" w:ascii="Times New Roman" w:hAnsi="Times New Roman"/>
        </w:rPr>
        <w:t xml:space="preserve">W związku z realizacją wymogów Rozporządzenia Parlamentu Europejskiego i Rady (UE) 2016/679 </w:t>
        <w:br/>
        <w:t xml:space="preserve">z dnia 27 kwietnia 2016 r. w sprawie ochrony osób fizycznych w związku z przetwarzaniem danych osobowych </w:t>
        <w:br/>
        <w:t xml:space="preserve">i w sprawie swobodnego przepływu takich danych oraz uchylenia dyrektywy 95/46/WE (ogólne rozporządzenie o ochronie danych dalej "RODO"), informujemy o zasadach przetwarzania Państwa danych osobowych oraz </w:t>
        <w:br/>
        <w:t>o przysługujących Państwu prawach z tym związanych.</w:t>
      </w:r>
    </w:p>
    <w:p>
      <w:pPr>
        <w:pStyle w:val="ListParagraph"/>
        <w:numPr>
          <w:ilvl w:val="0"/>
          <w:numId w:val="10"/>
        </w:numPr>
        <w:jc w:val="both"/>
        <w:rPr>
          <w:sz w:val="22"/>
          <w:szCs w:val="22"/>
        </w:rPr>
      </w:pPr>
      <w:r>
        <w:rPr>
          <w:sz w:val="22"/>
          <w:szCs w:val="22"/>
        </w:rPr>
        <w:t xml:space="preserve">Administratorem Państwa danych osobowych przetwarzanych w Urzędzie Miasta i Gminy Połaniec </w:t>
        <w:br/>
        <w:t xml:space="preserve">z siedzibą przy ul. Ruszczańskiej 27, 28-230 Połaniec jest Burmistrz Miasta i Gminy Połaniec, </w:t>
        <w:br/>
        <w:t xml:space="preserve">tel. 15 865 03 05. </w:t>
      </w:r>
    </w:p>
    <w:p>
      <w:pPr>
        <w:pStyle w:val="ListParagraph"/>
        <w:numPr>
          <w:ilvl w:val="0"/>
          <w:numId w:val="10"/>
        </w:numPr>
        <w:jc w:val="both"/>
        <w:rPr/>
      </w:pPr>
      <w:r>
        <w:rPr>
          <w:sz w:val="22"/>
          <w:szCs w:val="22"/>
        </w:rPr>
        <w:t xml:space="preserve">Jeśli macie Państwo pytania dotyczące sposobu i zakresu przetwarzania Państwa danych osobowych </w:t>
        <w:br/>
        <w:t xml:space="preserve">w naszej jednostce, praw Państwu przysługujących prosimy o kontakt z Inspektorem Ochrony Danych Osobowych, którym jest Pan Andrzej Strycharz za pośrednictwem adresu: e-mail: </w:t>
      </w:r>
      <w:hyperlink r:id="rId5">
        <w:r>
          <w:rPr>
            <w:rStyle w:val="Czeinternetowe"/>
            <w:sz w:val="22"/>
            <w:szCs w:val="22"/>
          </w:rPr>
          <w:t>andrzej@e-direction.pl</w:t>
        </w:r>
      </w:hyperlink>
    </w:p>
    <w:p>
      <w:pPr>
        <w:pStyle w:val="ListParagraph"/>
        <w:numPr>
          <w:ilvl w:val="0"/>
          <w:numId w:val="10"/>
        </w:numPr>
        <w:jc w:val="both"/>
        <w:rPr>
          <w:sz w:val="22"/>
          <w:szCs w:val="22"/>
        </w:rPr>
      </w:pPr>
      <w:r>
        <w:rPr>
          <w:sz w:val="22"/>
          <w:szCs w:val="22"/>
        </w:rPr>
        <w:t xml:space="preserve">Państwa dane osobowe będą w celu udziału w postępowaniu przetargowym zgodnie z wymogami ustawy </w:t>
        <w:br/>
        <w:t>o gospodarce nieruchomościami z dnia 21 sierpnia 1997 roku (t.j. Dz. U. z 2020 r., poz. 1990 ze zm.) oraz rozporządzenia Rady Ministrów z dnia 14 września 2004 roku w sprawie sposobu i trybu przeprowadzania przetargów oraz rokowań na zbycie nieruchomości (t.j. Dz. U. z 2014 r., poz. 1490 ze zm.), na podstawie art. 6 ust. 1 lit. b, c i e RODO, tj.: podstawą przetwarzania jest:</w:t>
      </w:r>
    </w:p>
    <w:p>
      <w:pPr>
        <w:pStyle w:val="ListParagraph"/>
        <w:numPr>
          <w:ilvl w:val="0"/>
          <w:numId w:val="11"/>
        </w:numPr>
        <w:ind w:left="142" w:firstLine="142"/>
        <w:jc w:val="both"/>
        <w:rPr>
          <w:sz w:val="22"/>
          <w:szCs w:val="22"/>
        </w:rPr>
      </w:pPr>
      <w:r>
        <w:rPr>
          <w:sz w:val="22"/>
          <w:szCs w:val="22"/>
        </w:rPr>
        <w:t xml:space="preserve">przetwarzanie jest niezbędne do wykonania umowy, której stroną jest osoba, której dane    </w:t>
      </w:r>
    </w:p>
    <w:p>
      <w:pPr>
        <w:pStyle w:val="ListParagraph"/>
        <w:ind w:left="284" w:hanging="0"/>
        <w:jc w:val="both"/>
        <w:rPr>
          <w:sz w:val="22"/>
          <w:szCs w:val="22"/>
        </w:rPr>
      </w:pPr>
      <w:r>
        <w:rPr>
          <w:sz w:val="22"/>
          <w:szCs w:val="22"/>
        </w:rPr>
        <w:t>dotyczą, lub do podjęcia działań na żądanie osoby, której dane dotyczą, przed zawarciem umowy;</w:t>
      </w:r>
    </w:p>
    <w:p>
      <w:pPr>
        <w:pStyle w:val="ListParagraph"/>
        <w:numPr>
          <w:ilvl w:val="0"/>
          <w:numId w:val="11"/>
        </w:numPr>
        <w:ind w:left="284" w:hanging="0"/>
        <w:jc w:val="both"/>
        <w:rPr>
          <w:sz w:val="22"/>
          <w:szCs w:val="22"/>
        </w:rPr>
      </w:pPr>
      <w:r>
        <w:rPr>
          <w:sz w:val="22"/>
          <w:szCs w:val="22"/>
        </w:rPr>
        <w:t xml:space="preserve">przetwarzanie jest niezbędne do wypełnienia obowiązku prawnego, ciążącego na administratorze; </w:t>
      </w:r>
    </w:p>
    <w:p>
      <w:pPr>
        <w:pStyle w:val="ListParagraph"/>
        <w:numPr>
          <w:ilvl w:val="0"/>
          <w:numId w:val="11"/>
        </w:numPr>
        <w:ind w:left="142" w:firstLine="142"/>
        <w:jc w:val="both"/>
        <w:rPr>
          <w:sz w:val="22"/>
          <w:szCs w:val="22"/>
        </w:rPr>
      </w:pPr>
      <w:r>
        <w:rPr>
          <w:sz w:val="22"/>
          <w:szCs w:val="22"/>
        </w:rPr>
        <w:t xml:space="preserve">przetwarzanie jest niezbędne do wykonania zadania realizowanego w interesie publicznym lub </w:t>
        <w:br/>
        <w:t>w ramach sprawowania władzy publicznej powierzonej administratorowi;</w:t>
      </w:r>
    </w:p>
    <w:p>
      <w:pPr>
        <w:pStyle w:val="ListParagraph"/>
        <w:numPr>
          <w:ilvl w:val="0"/>
          <w:numId w:val="10"/>
        </w:numPr>
        <w:jc w:val="both"/>
        <w:rPr>
          <w:sz w:val="22"/>
          <w:szCs w:val="22"/>
        </w:rPr>
      </w:pPr>
      <w:r>
        <w:rPr>
          <w:sz w:val="22"/>
          <w:szCs w:val="22"/>
        </w:rPr>
        <w:t xml:space="preserve">Dane osobowe mogą być udostępniane innym podmiotom, uprawnionym do ich otrzymania na podstawie obowiązujących przepisów prawa oraz zawartych umów. </w:t>
      </w:r>
    </w:p>
    <w:p>
      <w:pPr>
        <w:pStyle w:val="ListParagraph"/>
        <w:numPr>
          <w:ilvl w:val="0"/>
          <w:numId w:val="10"/>
        </w:numPr>
        <w:jc w:val="both"/>
        <w:rPr>
          <w:sz w:val="22"/>
          <w:szCs w:val="22"/>
        </w:rPr>
      </w:pPr>
      <w:r>
        <w:rPr>
          <w:sz w:val="22"/>
          <w:szCs w:val="22"/>
        </w:rPr>
        <w:t xml:space="preserve">Państwa dane osobowe będą przetwarzane wyłącznie przez okres i w zakresie niezbędnym do realizacji celu przetwarzania. </w:t>
      </w:r>
    </w:p>
    <w:p>
      <w:pPr>
        <w:pStyle w:val="ListParagraph"/>
        <w:numPr>
          <w:ilvl w:val="0"/>
          <w:numId w:val="10"/>
        </w:numPr>
        <w:jc w:val="both"/>
        <w:rPr>
          <w:sz w:val="22"/>
          <w:szCs w:val="22"/>
        </w:rPr>
      </w:pPr>
      <w:r>
        <w:rPr>
          <w:sz w:val="22"/>
          <w:szCs w:val="22"/>
        </w:rPr>
        <w:t xml:space="preserve">Podanie danych osobowych jest wymogiem wynikającym z przepisów prawa oraz warunkiem wzięcia udziału w procedurze przetargowej i zawarcia umowy sprzedaży. Niepodanie danych w zakresie wymaganym przez administratora/żądanie ich usunięcia bądź ograniczenia przetwarzania będzie skutkować niedopuszczeniem do udziału w przetargu bądź niemożnością zawarcia umowy notarialnej, co będzie uznane w takim wypadku za leżące po stronie uczestnika przetargu uchylenie się od zawarcia umowy notarialnej </w:t>
        <w:br/>
        <w:t xml:space="preserve">i będzie skutkować utratą wadium. </w:t>
      </w:r>
    </w:p>
    <w:p>
      <w:pPr>
        <w:pStyle w:val="ListParagraph"/>
        <w:numPr>
          <w:ilvl w:val="0"/>
          <w:numId w:val="10"/>
        </w:numPr>
        <w:jc w:val="both"/>
        <w:rPr>
          <w:sz w:val="22"/>
          <w:szCs w:val="22"/>
        </w:rPr>
      </w:pPr>
      <w:r>
        <w:rPr>
          <w:sz w:val="22"/>
          <w:szCs w:val="22"/>
        </w:rPr>
        <w:t xml:space="preserve">Przysługuje Państwu prawo do: </w:t>
      </w:r>
    </w:p>
    <w:p>
      <w:pPr>
        <w:pStyle w:val="ListParagraph"/>
        <w:numPr>
          <w:ilvl w:val="0"/>
          <w:numId w:val="8"/>
        </w:numPr>
        <w:spacing w:before="0" w:after="200"/>
        <w:contextualSpacing/>
        <w:jc w:val="both"/>
        <w:rPr>
          <w:sz w:val="22"/>
          <w:szCs w:val="22"/>
        </w:rPr>
      </w:pPr>
      <w:r>
        <w:rPr>
          <w:sz w:val="22"/>
          <w:szCs w:val="22"/>
        </w:rPr>
        <w:t xml:space="preserve">dostępu do treści swoich danych (art. 15 RODO), </w:t>
      </w:r>
    </w:p>
    <w:p>
      <w:pPr>
        <w:pStyle w:val="ListParagraph"/>
        <w:numPr>
          <w:ilvl w:val="0"/>
          <w:numId w:val="8"/>
        </w:numPr>
        <w:jc w:val="both"/>
        <w:rPr>
          <w:sz w:val="22"/>
          <w:szCs w:val="22"/>
        </w:rPr>
      </w:pPr>
      <w:r>
        <w:rPr>
          <w:sz w:val="22"/>
          <w:szCs w:val="22"/>
        </w:rPr>
        <w:t xml:space="preserve">sprostowania danych osobowych (art. 16 RODO), </w:t>
      </w:r>
    </w:p>
    <w:p>
      <w:pPr>
        <w:pStyle w:val="Normal"/>
        <w:spacing w:lineRule="auto" w:line="240" w:before="0" w:after="200"/>
        <w:contextualSpacing/>
        <w:jc w:val="both"/>
        <w:rPr>
          <w:rFonts w:ascii="Times New Roman" w:hAnsi="Times New Roman" w:cs="Times New Roman"/>
        </w:rPr>
      </w:pPr>
      <w:r>
        <w:rPr>
          <w:rFonts w:cs="Times New Roman" w:ascii="Times New Roman" w:hAnsi="Times New Roman"/>
        </w:rPr>
        <w:t xml:space="preserve">ADO nie może usunąć danych osobowych, które wymagane są do realizacji nałożonych na niego obowiązków. </w:t>
        <w:br/>
        <w:t xml:space="preserve">Z tego tytułu oraz z uwagi na podstawę prawną dla przetwarzania ograniczone zostają prawa do: </w:t>
      </w:r>
    </w:p>
    <w:p>
      <w:pPr>
        <w:pStyle w:val="ListParagraph"/>
        <w:numPr>
          <w:ilvl w:val="0"/>
          <w:numId w:val="9"/>
        </w:numPr>
        <w:jc w:val="both"/>
        <w:rPr>
          <w:sz w:val="22"/>
          <w:szCs w:val="22"/>
        </w:rPr>
      </w:pPr>
      <w:r>
        <w:rPr>
          <w:sz w:val="22"/>
          <w:szCs w:val="22"/>
        </w:rPr>
        <w:t xml:space="preserve">ograniczenia przetwarzania (art. 18 RODO). </w:t>
      </w:r>
    </w:p>
    <w:p>
      <w:pPr>
        <w:pStyle w:val="ListParagraph"/>
        <w:numPr>
          <w:ilvl w:val="0"/>
          <w:numId w:val="9"/>
        </w:numPr>
        <w:spacing w:before="0" w:after="200"/>
        <w:contextualSpacing/>
        <w:jc w:val="both"/>
        <w:rPr>
          <w:sz w:val="22"/>
          <w:szCs w:val="22"/>
        </w:rPr>
      </w:pPr>
      <w:r>
        <w:rPr>
          <w:sz w:val="22"/>
          <w:szCs w:val="22"/>
        </w:rPr>
        <w:t xml:space="preserve">wniesienia sprzeciwu (art. 21 RODO), </w:t>
      </w:r>
    </w:p>
    <w:p>
      <w:pPr>
        <w:pStyle w:val="ListParagraph"/>
        <w:numPr>
          <w:ilvl w:val="0"/>
          <w:numId w:val="9"/>
        </w:numPr>
        <w:spacing w:before="0" w:after="200"/>
        <w:contextualSpacing/>
        <w:jc w:val="both"/>
        <w:rPr>
          <w:sz w:val="22"/>
          <w:szCs w:val="22"/>
        </w:rPr>
      </w:pPr>
      <w:r>
        <w:rPr>
          <w:sz w:val="22"/>
          <w:szCs w:val="22"/>
        </w:rPr>
        <w:t xml:space="preserve">przenoszenia danych (art. 20 RODO), </w:t>
      </w:r>
    </w:p>
    <w:p>
      <w:pPr>
        <w:pStyle w:val="ListParagraph"/>
        <w:numPr>
          <w:ilvl w:val="0"/>
          <w:numId w:val="9"/>
        </w:numPr>
        <w:spacing w:before="0" w:after="200"/>
        <w:contextualSpacing/>
        <w:jc w:val="both"/>
        <w:rPr>
          <w:sz w:val="22"/>
          <w:szCs w:val="22"/>
        </w:rPr>
      </w:pPr>
      <w:r>
        <w:rPr>
          <w:sz w:val="22"/>
          <w:szCs w:val="22"/>
        </w:rPr>
        <w:t xml:space="preserve">usunięcia danych (prawo do bycia zapomnianym) (art. 17 RODO). </w:t>
      </w:r>
    </w:p>
    <w:p>
      <w:pPr>
        <w:pStyle w:val="ListParagraph"/>
        <w:numPr>
          <w:ilvl w:val="0"/>
          <w:numId w:val="10"/>
        </w:numPr>
        <w:jc w:val="both"/>
        <w:rPr>
          <w:sz w:val="22"/>
          <w:szCs w:val="22"/>
        </w:rPr>
      </w:pPr>
      <w:r>
        <w:rPr>
          <w:sz w:val="22"/>
          <w:szCs w:val="22"/>
        </w:rPr>
        <w:t xml:space="preserve">Państwa dane nie będą przetwarzane w sposób zautomatyzowany i nie będą profilowane. </w:t>
      </w:r>
    </w:p>
    <w:p>
      <w:pPr>
        <w:pStyle w:val="ListParagraph"/>
        <w:numPr>
          <w:ilvl w:val="0"/>
          <w:numId w:val="10"/>
        </w:numPr>
        <w:jc w:val="both"/>
        <w:rPr>
          <w:sz w:val="22"/>
          <w:szCs w:val="22"/>
        </w:rPr>
      </w:pPr>
      <w:r>
        <w:rPr>
          <w:sz w:val="22"/>
          <w:szCs w:val="22"/>
        </w:rPr>
        <w:t>Państwa dane osobowe nie będą przekazywane do państwa trzeciego/organizacji międzynarodowej, chyba że prawo Unii Europejskiej będzie nakładało na ADO odpowiedni obowiązek.</w:t>
      </w:r>
    </w:p>
    <w:p>
      <w:pPr>
        <w:pStyle w:val="ListParagraph"/>
        <w:numPr>
          <w:ilvl w:val="0"/>
          <w:numId w:val="10"/>
        </w:numPr>
        <w:jc w:val="both"/>
        <w:rPr/>
      </w:pPr>
      <w:r>
        <w:rPr>
          <w:sz w:val="22"/>
          <w:szCs w:val="22"/>
        </w:rPr>
        <w:t xml:space="preserve">W przypadku przekonania o niezgodnym z prawem przetwarzaniu danych w naszej jednostce Państwa danych osobowych, przysługuje Państwu prawo wniesienia skargi do organu nadzorczego, którym jest Prezes Urzędu Ochrony Danych Osobowych w Warszawie, ul. Stawki 2, 00-193 Warszawa. Więcej informacji znajdziecie Państwo na stronach UODO </w:t>
      </w:r>
      <w:hyperlink r:id="rId6">
        <w:r>
          <w:rPr>
            <w:rStyle w:val="Czeinternetowe"/>
            <w:sz w:val="22"/>
            <w:szCs w:val="22"/>
          </w:rPr>
          <w:t>https://uodo.gov.pl</w:t>
        </w:r>
      </w:hyperlink>
      <w:r>
        <w:rPr>
          <w:sz w:val="22"/>
          <w:szCs w:val="22"/>
          <w:u w:val="single"/>
        </w:rPr>
        <w:t>.</w:t>
      </w:r>
    </w:p>
    <w:p>
      <w:pPr>
        <w:pStyle w:val="Nagwek2"/>
        <w:spacing w:before="0" w:after="0"/>
        <w:contextualSpacing/>
        <w:jc w:val="center"/>
        <w:rPr>
          <w:rFonts w:ascii="Times New Roman" w:hAnsi="Times New Roman" w:cs="Times New Roman"/>
          <w:b w:val="false"/>
          <w:b w:val="false"/>
          <w:bCs w:val="false"/>
          <w:i w:val="false"/>
          <w:i w:val="false"/>
          <w:iCs w:val="false"/>
          <w:sz w:val="20"/>
          <w:szCs w:val="20"/>
          <w:u w:val="single"/>
        </w:rPr>
      </w:pPr>
      <w:r>
        <w:br w:type="column"/>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val="false"/>
          <w:iCs w:val="false"/>
          <w:sz w:val="20"/>
          <w:szCs w:val="20"/>
        </w:rPr>
        <w:t>Załącznik Nr 1</w:t>
      </w:r>
    </w:p>
    <w:p>
      <w:pPr>
        <w:pStyle w:val="Normal"/>
        <w:spacing w:lineRule="auto" w:line="240" w:before="0" w:after="200"/>
        <w:ind w:left="7230" w:right="-2" w:hanging="0"/>
        <w:contextualSpacing/>
        <w:rPr>
          <w:rFonts w:ascii="Times New Roman" w:hAnsi="Times New Roman" w:cs="Times New Roman"/>
          <w:sz w:val="20"/>
          <w:szCs w:val="20"/>
        </w:rPr>
      </w:pPr>
      <w:r>
        <w:rPr>
          <w:rFonts w:cs="Times New Roman" w:ascii="Times New Roman" w:hAnsi="Times New Roman"/>
          <w:sz w:val="20"/>
          <w:szCs w:val="20"/>
        </w:rPr>
        <w:t>do Ogłoszenia przetargowego</w:t>
      </w:r>
    </w:p>
    <w:p>
      <w:pPr>
        <w:pStyle w:val="Normal"/>
        <w:spacing w:lineRule="auto" w:line="240" w:before="0" w:after="200"/>
        <w:ind w:left="7230" w:right="-2" w:hanging="0"/>
        <w:contextualSpacing/>
        <w:rPr>
          <w:rFonts w:ascii="Times New Roman" w:hAnsi="Times New Roman" w:cs="Times New Roman"/>
          <w:sz w:val="20"/>
          <w:szCs w:val="20"/>
        </w:rPr>
      </w:pPr>
      <w:r>
        <w:rPr>
          <w:rFonts w:cs="Times New Roman" w:ascii="Times New Roman" w:hAnsi="Times New Roman"/>
          <w:sz w:val="20"/>
          <w:szCs w:val="20"/>
        </w:rPr>
        <w:t>z dnia 19 sierpnia 2021 roku</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b/>
          <w:b/>
          <w:bCs/>
          <w:sz w:val="24"/>
          <w:szCs w:val="24"/>
        </w:rPr>
      </w:pPr>
      <w:r>
        <w:rPr>
          <w:rFonts w:cs="Times New Roman" w:ascii="Times New Roman" w:hAnsi="Times New Roman"/>
          <w:b/>
          <w:bCs/>
          <w:sz w:val="24"/>
          <w:szCs w:val="24"/>
        </w:rPr>
        <w:t>W A R U N K I      P R Z E T A R G U</w:t>
      </w:r>
    </w:p>
    <w:p>
      <w:pPr>
        <w:pStyle w:val="Tretekstu"/>
        <w:spacing w:before="0" w:after="200"/>
        <w:contextualSpacing/>
        <w:rPr>
          <w:rFonts w:ascii="Times New Roman" w:hAnsi="Times New Roman"/>
          <w:b/>
          <w:b/>
          <w:spacing w:val="-8"/>
          <w:szCs w:val="24"/>
        </w:rPr>
      </w:pPr>
      <w:r>
        <w:rPr>
          <w:rFonts w:ascii="Times New Roman" w:hAnsi="Times New Roman"/>
          <w:b/>
          <w:bCs/>
          <w:szCs w:val="24"/>
        </w:rPr>
        <w:t xml:space="preserve">na </w:t>
      </w:r>
      <w:r>
        <w:rPr>
          <w:rFonts w:ascii="Times New Roman" w:hAnsi="Times New Roman"/>
          <w:b/>
          <w:spacing w:val="-2"/>
          <w:szCs w:val="24"/>
        </w:rPr>
        <w:t xml:space="preserve">sprzedaż niezabudowanej nieruchomości gruntowej, obszaru inwestycyjnego III o powierzchni 0,5491 ha, stanowiącej własność Gminy Połaniec, położonej </w:t>
      </w:r>
      <w:r>
        <w:rPr>
          <w:rFonts w:ascii="Times New Roman" w:hAnsi="Times New Roman"/>
          <w:b/>
          <w:spacing w:val="-8"/>
          <w:szCs w:val="24"/>
        </w:rPr>
        <w:t xml:space="preserve">w Połańcu przy ulicy Wyzwolenia, </w:t>
        <w:br/>
        <w:t>w obrębie Strefy  Inwestycyjnej B.</w:t>
      </w:r>
    </w:p>
    <w:p>
      <w:pPr>
        <w:pStyle w:val="Tretekstu"/>
        <w:spacing w:before="0" w:after="200"/>
        <w:contextualSpacing/>
        <w:rPr>
          <w:rFonts w:ascii="Times New Roman" w:hAnsi="Times New Roman"/>
          <w:b/>
          <w:b/>
          <w:spacing w:val="-2"/>
          <w:szCs w:val="24"/>
        </w:rPr>
      </w:pPr>
      <w:r>
        <w:rPr>
          <w:rFonts w:ascii="Times New Roman" w:hAnsi="Times New Roman"/>
          <w:b/>
          <w:spacing w:val="-2"/>
          <w:szCs w:val="24"/>
        </w:rPr>
      </w:r>
    </w:p>
    <w:p>
      <w:pPr>
        <w:pStyle w:val="Tretekstu"/>
        <w:spacing w:before="0" w:after="200"/>
        <w:contextualSpacing/>
        <w:rPr>
          <w:rFonts w:ascii="Times New Roman" w:hAnsi="Times New Roman"/>
          <w:b/>
          <w:b/>
          <w:bCs/>
          <w:iCs/>
          <w:szCs w:val="24"/>
        </w:rPr>
      </w:pPr>
      <w:r>
        <w:rPr>
          <w:rFonts w:ascii="Times New Roman" w:hAnsi="Times New Roman"/>
          <w:bCs/>
          <w:iCs/>
          <w:szCs w:val="24"/>
        </w:rPr>
        <w:t xml:space="preserve">Do przetargu mogą przystąpić </w:t>
      </w:r>
      <w:r>
        <w:rPr>
          <w:rFonts w:ascii="Times New Roman" w:hAnsi="Times New Roman"/>
          <w:b/>
          <w:bCs/>
          <w:iCs/>
          <w:szCs w:val="24"/>
        </w:rPr>
        <w:t xml:space="preserve">osoby fizyczne, osoby prawne, jednostki organizacyjne posiadające </w:t>
        <w:br/>
        <w:t xml:space="preserve">w tym zakresie zdolność prawną – osobiście lub przez pełnomocnika. </w:t>
      </w:r>
      <w:r>
        <w:rPr>
          <w:rFonts w:ascii="Times New Roman" w:hAnsi="Times New Roman"/>
          <w:bCs/>
          <w:iCs/>
          <w:szCs w:val="24"/>
        </w:rPr>
        <w:t xml:space="preserve">Za każdym razem, gdy </w:t>
        <w:br/>
        <w:t>w niniejszych warunkach przetargu i regulaminie mowa jest o osobie prawnej rozumie się pod tym pojęciem również jednostkę organizacyjną.</w:t>
      </w:r>
    </w:p>
    <w:p>
      <w:pPr>
        <w:pStyle w:val="ListParagraph"/>
        <w:numPr>
          <w:ilvl w:val="0"/>
          <w:numId w:val="12"/>
        </w:numPr>
        <w:ind w:left="426" w:hanging="426"/>
        <w:jc w:val="both"/>
        <w:rPr>
          <w:bCs/>
          <w:iCs/>
        </w:rPr>
      </w:pPr>
      <w:r>
        <w:rPr/>
        <w:t>Warunkiem uczestnictwa w przetargu jest wpłacenie wadium w wysokości i terminie wyznaczonym w ogłoszeniu przetargowym oraz złożenie oferty przetargowej.</w:t>
      </w:r>
    </w:p>
    <w:p>
      <w:pPr>
        <w:pStyle w:val="ListParagraph"/>
        <w:numPr>
          <w:ilvl w:val="0"/>
          <w:numId w:val="12"/>
        </w:numPr>
        <w:ind w:left="426" w:hanging="426"/>
        <w:jc w:val="both"/>
        <w:rPr>
          <w:bCs/>
          <w:iCs/>
        </w:rPr>
      </w:pPr>
      <w:r>
        <w:rPr/>
        <w:t xml:space="preserve">Wadium należy wnieść w pieniądzu /PLN/ w formie przelewu bankowego na konto Urzędu Miasta i Gminy Połaniec Nr </w:t>
      </w:r>
      <w:r>
        <w:rPr>
          <w:b/>
          <w:bCs/>
          <w:iCs/>
          <w:spacing w:val="14"/>
        </w:rPr>
        <w:t xml:space="preserve">80 9425 0008 0000 2349 2006 0008 </w:t>
      </w:r>
      <w:r>
        <w:rPr>
          <w:bCs/>
          <w:iCs/>
        </w:rPr>
        <w:t>w BS Połaniec.</w:t>
      </w:r>
    </w:p>
    <w:p>
      <w:pPr>
        <w:pStyle w:val="ListParagraph"/>
        <w:numPr>
          <w:ilvl w:val="0"/>
          <w:numId w:val="12"/>
        </w:numPr>
        <w:ind w:left="426" w:hanging="426"/>
        <w:jc w:val="both"/>
        <w:rPr>
          <w:bCs/>
          <w:iCs/>
        </w:rPr>
      </w:pPr>
      <w:r>
        <w:rPr>
          <w:bCs/>
          <w:iCs/>
        </w:rPr>
        <w:t>Dowód wniesienia wadium przez uczestnika przetargu należy przedłożyć Komisji Przetargowej przed otwarciem przetargu wraz z podaniem numeru konta, na które ewentualnie ma zostać zwrócone wadium.</w:t>
      </w:r>
    </w:p>
    <w:p>
      <w:pPr>
        <w:pStyle w:val="ListParagraph"/>
        <w:numPr>
          <w:ilvl w:val="0"/>
          <w:numId w:val="12"/>
        </w:numPr>
        <w:ind w:left="426" w:hanging="426"/>
        <w:jc w:val="both"/>
        <w:rPr/>
      </w:pPr>
      <w:r>
        <w:rPr>
          <w:bCs/>
          <w:iCs/>
        </w:rPr>
        <w:t xml:space="preserve">Komisja przetargowa przed otwarciem przetargu, nie później niż </w:t>
      </w:r>
      <w:r>
        <w:rPr>
          <w:b/>
          <w:bCs/>
          <w:iCs/>
        </w:rPr>
        <w:t>3</w:t>
      </w:r>
      <w:r>
        <w:rPr>
          <w:bCs/>
          <w:iCs/>
        </w:rPr>
        <w:t xml:space="preserve"> dni przed tą datą, stwierdza prawidłowość wniesienia wadium oraz złożenia ofert przez poszczególnych uczestników przetargu.</w:t>
      </w:r>
    </w:p>
    <w:p>
      <w:pPr>
        <w:pStyle w:val="ListParagraph"/>
        <w:numPr>
          <w:ilvl w:val="0"/>
          <w:numId w:val="12"/>
        </w:numPr>
        <w:ind w:left="426" w:hanging="426"/>
        <w:jc w:val="both"/>
        <w:rPr/>
      </w:pPr>
      <w:r>
        <w:rPr>
          <w:bCs/>
          <w:iCs/>
        </w:rPr>
        <w:t>Wadium wpłacone przez uczestnika przetargu, który przetarg wygrał, zalicza się na poczet ceny nabycia nieruchomość, natomiast osobom, które nie wygrały przetargu wpłacone wadium zostanie zwrócone nie później ni z przed upływem 3 dni od dnia zakończenia przetargu.</w:t>
      </w:r>
    </w:p>
    <w:p>
      <w:pPr>
        <w:pStyle w:val="ListParagraph"/>
        <w:numPr>
          <w:ilvl w:val="0"/>
          <w:numId w:val="12"/>
        </w:numPr>
        <w:ind w:left="426" w:hanging="426"/>
        <w:jc w:val="both"/>
        <w:rPr/>
      </w:pPr>
      <w:r>
        <w:rPr/>
        <w:t xml:space="preserve">Warunkiem udziału w przetargu jest okazanie dowodu tożsamości (dowodu osobistego/paszportu), </w:t>
        <w:br/>
        <w:t xml:space="preserve">a w </w:t>
      </w:r>
      <w:r>
        <w:rPr>
          <w:bCs/>
          <w:iCs/>
        </w:rPr>
        <w:t>przypadku:</w:t>
      </w:r>
    </w:p>
    <w:p>
      <w:pPr>
        <w:pStyle w:val="ListParagraph"/>
        <w:numPr>
          <w:ilvl w:val="0"/>
          <w:numId w:val="13"/>
        </w:numPr>
        <w:jc w:val="both"/>
        <w:rPr>
          <w:bCs/>
        </w:rPr>
      </w:pPr>
      <w:r>
        <w:rPr>
          <w:b/>
          <w:iCs/>
        </w:rPr>
        <w:t>uczestnictwa w przetargu podmiotów innych niż osoby fizyczne</w:t>
      </w:r>
      <w:r>
        <w:rPr>
          <w:iCs/>
        </w:rPr>
        <w:t xml:space="preserve"> – dodatkowo złożenie aktualnego odpisu z Krajowego Rejestru Sądowego (wydruku z właściwej strony Ministerstwa Sprawiedliwości) – wystawionego nie później niż 3 miesiące  przed dniem przetargu, z którego wynika upoważnienie do reprezentowania tego podmiotu, a w przypadku reprezentowania osoby prawnej przez pełnomocnika nieujawnionego we właściwym rejestrze konieczne jest dodatkowo przedłożenie pełnomocnictwa w formie aktu notarialnego, upoważniającego do uczestnictwa </w:t>
        <w:br/>
        <w:t xml:space="preserve">w przetargu i nabycia </w:t>
      </w:r>
      <w:r>
        <w:rPr>
          <w:b/>
          <w:spacing w:val="-2"/>
        </w:rPr>
        <w:t xml:space="preserve">obszaru inwestycyjnego III o powierzchni 0,5491 ha, położonego </w:t>
        <w:br/>
        <w:t>w Połańcu przy ulicy Wyzwolenia, w obrębie Strefy Inwestycyjnej B,</w:t>
      </w:r>
    </w:p>
    <w:p>
      <w:pPr>
        <w:pStyle w:val="ListParagraph"/>
        <w:numPr>
          <w:ilvl w:val="0"/>
          <w:numId w:val="13"/>
        </w:numPr>
        <w:jc w:val="both"/>
        <w:rPr>
          <w:bCs/>
        </w:rPr>
      </w:pPr>
      <w:r>
        <w:rPr>
          <w:b/>
          <w:iCs/>
        </w:rPr>
        <w:t>uczestnictwa w przetargu jednego z małżonków</w:t>
      </w:r>
      <w:r>
        <w:rPr>
          <w:iCs/>
        </w:rPr>
        <w:t xml:space="preserve"> – dodatkowo przedłożenie pełnomocnictwa udzielonego przez współmałżonka w formie aktu notarialnego do reprezentowania go </w:t>
        <w:br/>
        <w:t xml:space="preserve">w przetargu przez drugiego współmałżonka/pełnomocnika i nabycia nieruchomości wchodzącej w skład  </w:t>
      </w:r>
      <w:r>
        <w:rPr>
          <w:b/>
          <w:spacing w:val="-2"/>
        </w:rPr>
        <w:t>obszaru inwestycyjnego III o powierzchni 0,5491 ha, położonego w Połańcu przy ulicy Wyzwolenia, w obrębie Strefy Inwestycyjnej B,</w:t>
      </w:r>
      <w:r>
        <w:rPr>
          <w:bCs/>
        </w:rPr>
        <w:t xml:space="preserve"> </w:t>
      </w:r>
      <w:r>
        <w:rPr>
          <w:iCs/>
        </w:rPr>
        <w:t xml:space="preserve">za środki pochodzące z majątku wspólnego, za wylicytowaną przez współmałżonka/pełnomocnika cenę, lub też złożenie przez osobę przystępującą do przetargu oświadczenia woli, że nabycie </w:t>
      </w:r>
      <w:r>
        <w:rPr>
          <w:b/>
          <w:spacing w:val="-2"/>
        </w:rPr>
        <w:t xml:space="preserve">obszaru inwestycyjnego III </w:t>
        <w:br/>
        <w:t xml:space="preserve">o powierzchni 0,5491 ha, położonego w  Połańcu przy ulicy Wyzwolenia, w obrębie Strefy Inwestycyjnej B </w:t>
      </w:r>
      <w:r>
        <w:rPr>
          <w:iCs/>
        </w:rPr>
        <w:t xml:space="preserve">nastąpi do majątku osobistego, potwierdzonego </w:t>
      </w:r>
      <w:r>
        <w:rPr/>
        <w:t xml:space="preserve">podpisem drugiego małżonka, lub złożenie </w:t>
      </w:r>
      <w:r>
        <w:rPr>
          <w:iCs/>
        </w:rPr>
        <w:t>przez osobę przystępującą do przetargu dokumentu świadczącego o istnieniu rozdzielności majątkowej pomiędzy małżonkami</w:t>
      </w:r>
      <w:r>
        <w:rPr>
          <w:iCs/>
          <w:spacing w:val="-2"/>
        </w:rPr>
        <w:t xml:space="preserve">, </w:t>
      </w:r>
    </w:p>
    <w:p>
      <w:pPr>
        <w:pStyle w:val="ListParagraph"/>
        <w:numPr>
          <w:ilvl w:val="0"/>
          <w:numId w:val="13"/>
        </w:numPr>
        <w:jc w:val="both"/>
        <w:rPr>
          <w:bCs/>
        </w:rPr>
      </w:pPr>
      <w:r>
        <w:rPr>
          <w:b/>
          <w:iCs/>
        </w:rPr>
        <w:t xml:space="preserve">uczestnictwa w przetargu pełnomocnika reprezentującego osobę fizyczną </w:t>
      </w:r>
      <w:r>
        <w:rPr>
          <w:iCs/>
        </w:rPr>
        <w:t xml:space="preserve">– poza przypadkami wyżej wskazanymi konieczne jest dodatkowo okazanie pełnomocnictwa </w:t>
        <w:br/>
        <w:t xml:space="preserve">w formie aktu notarialnego do uczestnictwa w przetargu i nabycia </w:t>
      </w:r>
      <w:r>
        <w:rPr>
          <w:b/>
          <w:iCs/>
        </w:rPr>
        <w:t xml:space="preserve">obszaru inwestycyjnego III </w:t>
      </w:r>
      <w:r>
        <w:rPr>
          <w:b/>
          <w:spacing w:val="-2"/>
        </w:rPr>
        <w:t xml:space="preserve">o powierzchni 0,5491 ha, położonego w Połańcu przy ulicy Wyzwolenia, w obrębie Strefy Inwestycyjnej B, </w:t>
      </w:r>
      <w:r>
        <w:rPr>
          <w:bCs/>
        </w:rPr>
        <w:t xml:space="preserve">na rzecz wskazanej w pełnomocnictwie osoby fizycznej lub prawnej </w:t>
        <w:br/>
        <w:t xml:space="preserve">za </w:t>
      </w:r>
      <w:r>
        <w:rPr>
          <w:iCs/>
        </w:rPr>
        <w:t>wylicytowaną przez niego cenę.</w:t>
      </w:r>
    </w:p>
    <w:p>
      <w:pPr>
        <w:pStyle w:val="ListParagraph"/>
        <w:numPr>
          <w:ilvl w:val="0"/>
          <w:numId w:val="12"/>
        </w:numPr>
        <w:ind w:left="426" w:hanging="426"/>
        <w:jc w:val="both"/>
        <w:rPr>
          <w:bCs/>
          <w:iCs/>
          <w:spacing w:val="-2"/>
        </w:rPr>
      </w:pPr>
      <w:r>
        <w:rPr>
          <w:spacing w:val="-2"/>
        </w:rPr>
        <w:t>Z</w:t>
      </w:r>
      <w:r>
        <w:rPr>
          <w:iCs/>
          <w:spacing w:val="-2"/>
        </w:rPr>
        <w:t xml:space="preserve">łożenie przez oferenta pisemnego oświadczenia o zapoznaniu się z warunkami przetargu i przyjęciu ich bez zastrzeżeń – na załączonym druku, stanowiącym </w:t>
      </w:r>
      <w:r>
        <w:rPr>
          <w:b/>
          <w:spacing w:val="-2"/>
        </w:rPr>
        <w:t>załącznik nr 1</w:t>
      </w:r>
      <w:r>
        <w:rPr>
          <w:iCs/>
          <w:spacing w:val="-2"/>
        </w:rPr>
        <w:t xml:space="preserve"> do warunków przetargu.</w:t>
      </w:r>
    </w:p>
    <w:p>
      <w:pPr>
        <w:pStyle w:val="ListParagraph"/>
        <w:numPr>
          <w:ilvl w:val="0"/>
          <w:numId w:val="12"/>
        </w:numPr>
        <w:ind w:left="426" w:hanging="426"/>
        <w:jc w:val="both"/>
        <w:rPr>
          <w:bCs/>
          <w:iCs/>
          <w:spacing w:val="-2"/>
        </w:rPr>
      </w:pPr>
      <w:r>
        <w:rPr>
          <w:iCs/>
          <w:spacing w:val="-2"/>
        </w:rPr>
        <w:t xml:space="preserve">Złożenie przez Oferenta pisemnego oświadczenia o zapoznaniu się z </w:t>
      </w:r>
      <w:r>
        <w:rPr>
          <w:spacing w:val="-2"/>
        </w:rPr>
        <w:t xml:space="preserve">klauzulą informacyjną </w:t>
        <w:br/>
        <w:t xml:space="preserve">o przetwarzaniu danych osobowych w Urzędzie Miasta i Gminy Połaniec w związku z udziałem w postępowaniu przetargowym zgodnie z wymogami ustawy z dnia 21 sierpnia 1997 roku o gospodarce nieruchomościami (t.j. Dz.U. z 2020 r., poz.1990 ze zm.) oraz rozporządzenia Rady Ministrów </w:t>
        <w:br/>
        <w:t xml:space="preserve">z dnia 14 września 2004 roku w sprawie sposobu i trybu przeprowadzania przetargów oraz rokowań na zbycie nieruchomości (t.j. Dz.U. z 2014 r., poz.1490 ze zm.) zgodnie z treścią klauzuli </w:t>
      </w:r>
      <w:r>
        <w:rPr/>
        <w:t>informacyjnej –</w:t>
      </w:r>
      <w:r>
        <w:rPr>
          <w:iCs/>
        </w:rPr>
        <w:t xml:space="preserve">na załączonym druku, stanowiącym </w:t>
      </w:r>
      <w:r>
        <w:rPr>
          <w:b/>
        </w:rPr>
        <w:t>załącznik nr 2</w:t>
      </w:r>
      <w:r>
        <w:rPr>
          <w:iCs/>
        </w:rPr>
        <w:t xml:space="preserve"> do warunków przetargu.</w:t>
      </w:r>
    </w:p>
    <w:p>
      <w:pPr>
        <w:pStyle w:val="ListParagraph"/>
        <w:numPr>
          <w:ilvl w:val="0"/>
          <w:numId w:val="12"/>
        </w:numPr>
        <w:ind w:left="426" w:hanging="426"/>
        <w:jc w:val="both"/>
        <w:rPr>
          <w:bCs/>
          <w:iCs/>
        </w:rPr>
      </w:pPr>
      <w:r>
        <w:rPr>
          <w:iCs/>
          <w:spacing w:val="-2"/>
        </w:rPr>
        <w:t xml:space="preserve">Złożenie pisemnego oświadczenia o zapoznaniu się ze stanem faktycznym i prawnym nieruchomości wchodzącej w skład  </w:t>
      </w:r>
      <w:r>
        <w:rPr>
          <w:b/>
          <w:spacing w:val="-2"/>
        </w:rPr>
        <w:t xml:space="preserve">obszaru inwestycyjnego III o powierzchni 0,5491 ha, położonego w Połańcu przy ulicy Wyzwolenia, </w:t>
      </w:r>
      <w:r>
        <w:rPr>
          <w:bCs/>
        </w:rPr>
        <w:t xml:space="preserve">niewnoszeniu </w:t>
      </w:r>
      <w:r>
        <w:rPr>
          <w:iCs/>
          <w:spacing w:val="-2"/>
        </w:rPr>
        <w:t xml:space="preserve">zastrzeżeń – </w:t>
      </w:r>
      <w:r>
        <w:rPr>
          <w:iCs/>
        </w:rPr>
        <w:t xml:space="preserve">na załączonym druku, stanowiącym </w:t>
      </w:r>
      <w:r>
        <w:rPr>
          <w:b/>
        </w:rPr>
        <w:t>załącznik nr 3</w:t>
      </w:r>
      <w:r>
        <w:rPr>
          <w:iCs/>
        </w:rPr>
        <w:t xml:space="preserve"> do warunków przetargu.</w:t>
      </w:r>
    </w:p>
    <w:p>
      <w:pPr>
        <w:pStyle w:val="ListParagraph"/>
        <w:numPr>
          <w:ilvl w:val="0"/>
          <w:numId w:val="12"/>
        </w:numPr>
        <w:ind w:left="426" w:hanging="426"/>
        <w:jc w:val="both"/>
        <w:rPr>
          <w:bCs/>
          <w:iCs/>
        </w:rPr>
      </w:pPr>
      <w:r>
        <w:rPr>
          <w:iCs/>
        </w:rPr>
        <w:t xml:space="preserve">Złożenie </w:t>
      </w:r>
      <w:r>
        <w:rPr>
          <w:iCs/>
          <w:spacing w:val="-2"/>
        </w:rPr>
        <w:t xml:space="preserve">pisemnego oświadczenia o braku powiązań w rozumieniu § 9 </w:t>
      </w:r>
      <w:r>
        <w:rPr>
          <w:spacing w:val="-2"/>
        </w:rPr>
        <w:t xml:space="preserve">rozporządzenia Rady Ministrów z dnia 14 września 2004 roku w sprawie sposobu i trybu przeprowadzania przetargów oraz rokowań na zbycie nieruchomości (t.j. Dz.U. z 2014 r., poz.1490 ze zm.) </w:t>
      </w:r>
      <w:r>
        <w:rPr>
          <w:iCs/>
          <w:spacing w:val="-2"/>
        </w:rPr>
        <w:t xml:space="preserve">z członkami Komisji Przetargowej – </w:t>
      </w:r>
      <w:r>
        <w:rPr>
          <w:iCs/>
        </w:rPr>
        <w:t xml:space="preserve">na załączonym druku, stanowiącym </w:t>
      </w:r>
      <w:r>
        <w:rPr>
          <w:b/>
        </w:rPr>
        <w:t>załącznik nr 4</w:t>
      </w:r>
      <w:r>
        <w:rPr>
          <w:iCs/>
        </w:rPr>
        <w:t xml:space="preserve"> do warunków przetargu.</w:t>
      </w:r>
    </w:p>
    <w:p>
      <w:pPr>
        <w:pStyle w:val="ListParagraph"/>
        <w:numPr>
          <w:ilvl w:val="0"/>
          <w:numId w:val="12"/>
        </w:numPr>
        <w:ind w:left="426" w:hanging="426"/>
        <w:jc w:val="both"/>
        <w:rPr>
          <w:bCs/>
          <w:iCs/>
          <w:spacing w:val="-2"/>
        </w:rPr>
      </w:pPr>
      <w:r>
        <w:rPr>
          <w:spacing w:val="-2"/>
        </w:rPr>
        <w:t xml:space="preserve">Przy nabywaniu nieruchomości przez osobę będącą cudzoziemcem w rozumieniu ustawy z dnia </w:t>
        <w:br/>
        <w:t>24 marca 1920 roku o nabywaniu nieruchomości przez cudzoziemców (t.j. Dz. U. z 2017 r. poz. 2278) wymagane jest stosowne zezwolenie wynikające z przepisów tej ustawy, z zastrzeżeniem jej art.8.</w:t>
      </w:r>
    </w:p>
    <w:p>
      <w:pPr>
        <w:pStyle w:val="ListParagraph"/>
        <w:numPr>
          <w:ilvl w:val="0"/>
          <w:numId w:val="12"/>
        </w:numPr>
        <w:ind w:left="426" w:hanging="426"/>
        <w:jc w:val="both"/>
        <w:rPr>
          <w:bCs/>
          <w:iCs/>
        </w:rPr>
      </w:pPr>
      <w:r>
        <w:rPr/>
        <w:t>Koszty związane ze sporządzeniem aktu notarialnego sprzedaży nieruchomości ponosi wygrywający przetarg. Okazanie granic nieruchomości przez geodetę uprawnionego może nastąpić na wniosek i koszt nabywcy nieruchomości.</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left="4956"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left="4956" w:hanging="0"/>
        <w:contextualSpacing/>
        <w:rPr>
          <w:rFonts w:ascii="Times New Roman" w:hAnsi="Times New Roman" w:cs="Times New Roman"/>
          <w:sz w:val="24"/>
          <w:szCs w:val="24"/>
        </w:rPr>
      </w:pPr>
      <w:r>
        <w:rPr>
          <w:rFonts w:cs="Times New Roman" w:ascii="Times New Roman" w:hAnsi="Times New Roman"/>
          <w:sz w:val="24"/>
          <w:szCs w:val="24"/>
        </w:rPr>
      </w:r>
    </w:p>
    <w:p>
      <w:pPr>
        <w:sectPr>
          <w:headerReference w:type="default" r:id="rId7"/>
          <w:footerReference w:type="default" r:id="rId8"/>
          <w:type w:val="nextPage"/>
          <w:pgSz w:w="12240" w:h="15840"/>
          <w:pgMar w:left="1134" w:right="1134" w:header="284" w:top="851" w:footer="74" w:bottom="709" w:gutter="0"/>
          <w:pgNumType w:fmt="decimal"/>
          <w:formProt w:val="false"/>
          <w:titlePg/>
          <w:textDirection w:val="lrTb"/>
          <w:docGrid w:type="default" w:linePitch="360" w:charSpace="4096"/>
        </w:sectPr>
        <w:pStyle w:val="Normal"/>
        <w:spacing w:lineRule="auto" w:line="240" w:before="0" w:after="200"/>
        <w:ind w:left="7230" w:right="-2"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t>Załącznik Nr 1 do Warunków przetargu</w:t>
      </w:r>
    </w:p>
    <w:p>
      <w:p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 dnia19 sierpnia 2021 roku</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t>Połaniec, dnia …………………..2021 r.</w:t>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t>OŚWIADCZENIE   OSOBY</w:t>
      </w:r>
    </w:p>
    <w:p>
      <w:pPr>
        <w:pStyle w:val="Tretekstu"/>
        <w:spacing w:before="0" w:after="200"/>
        <w:contextualSpacing/>
        <w:rPr>
          <w:rFonts w:ascii="Times New Roman" w:hAnsi="Times New Roman"/>
          <w:b/>
          <w:b/>
          <w:spacing w:val="-20"/>
          <w:szCs w:val="24"/>
        </w:rPr>
      </w:pPr>
      <w:r>
        <w:rPr>
          <w:rFonts w:ascii="Times New Roman" w:hAnsi="Times New Roman"/>
          <w:b/>
          <w:spacing w:val="-20"/>
          <w:szCs w:val="24"/>
        </w:rPr>
        <w:t xml:space="preserve">przystępującej do pierwszego przetargu pisemnego nieograniczonego </w:t>
      </w:r>
      <w:r>
        <w:rPr>
          <w:rFonts w:ascii="Times New Roman" w:hAnsi="Times New Roman"/>
          <w:b/>
          <w:bCs/>
          <w:spacing w:val="-20"/>
          <w:szCs w:val="24"/>
        </w:rPr>
        <w:t xml:space="preserve">na </w:t>
      </w:r>
      <w:r>
        <w:rPr>
          <w:rFonts w:ascii="Times New Roman" w:hAnsi="Times New Roman"/>
          <w:b/>
          <w:spacing w:val="-20"/>
          <w:szCs w:val="24"/>
        </w:rPr>
        <w:t xml:space="preserve">sprzedaż niezabudowanej nieruchomości gruntowej, obszaru inwestycyjnego III o powierzchni 0,5491 ha, stanowiącej własność Gminy Połaniec, położonej </w:t>
        <w:br/>
        <w:t>w Połańcu przy ulicy Wyzwolenia, w obrębie Strefy  Inwestycyjnej B.</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Ja, niżej podpisany/a……………………………………………………………………………..…….…</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ab/>
        <w:tab/>
        <w:t xml:space="preserve">                                             (imię i nazwisko)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PESEL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zamieszkały/a w…………………………………………………………………………..………………</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adres do doręczeń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e-mail……………………………………………………………………………………………………..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w imieniu własnym / jako przedstawiciel / pełnomocnik oferenta*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w:t>
      </w:r>
      <w:bookmarkStart w:id="0" w:name="_GoBack"/>
      <w:bookmarkEnd w:id="0"/>
      <w:r>
        <w:rPr>
          <w:rFonts w:cs="Times New Roman" w:ascii="Times New Roman" w:hAnsi="Times New Roman"/>
          <w:sz w:val="24"/>
          <w:szCs w:val="24"/>
        </w:rPr>
        <w:t>…………………………………………………………………………</w:t>
      </w:r>
      <w:r>
        <w:rPr>
          <w:rFonts w:cs="Times New Roman" w:ascii="Times New Roman" w:hAnsi="Times New Roman"/>
          <w:sz w:val="24"/>
          <w:szCs w:val="24"/>
        </w:rPr>
        <w:t>.</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Tretekstu"/>
        <w:spacing w:before="0" w:after="200"/>
        <w:contextualSpacing/>
        <w:rPr>
          <w:rFonts w:ascii="Times New Roman" w:hAnsi="Times New Roman"/>
          <w:b/>
          <w:b/>
          <w:spacing w:val="-20"/>
          <w:szCs w:val="24"/>
        </w:rPr>
      </w:pPr>
      <w:r>
        <w:rPr>
          <w:rFonts w:ascii="Times New Roman" w:hAnsi="Times New Roman"/>
          <w:spacing w:val="-20"/>
          <w:szCs w:val="24"/>
        </w:rPr>
        <w:t xml:space="preserve">oświadczam, że zapoznałem/łam się z warunkami przetargu pisemnego nieograniczonego, organizowanego przez Burmistrza Miasta i Gminy Połaniec w dniu </w:t>
      </w:r>
      <w:r>
        <w:rPr>
          <w:rFonts w:ascii="Times New Roman" w:hAnsi="Times New Roman"/>
          <w:b/>
          <w:spacing w:val="-20"/>
          <w:szCs w:val="24"/>
        </w:rPr>
        <w:t>27 września 2021 roku</w:t>
      </w:r>
      <w:r>
        <w:rPr>
          <w:rFonts w:ascii="Times New Roman" w:hAnsi="Times New Roman"/>
          <w:spacing w:val="-20"/>
          <w:szCs w:val="24"/>
        </w:rPr>
        <w:t xml:space="preserve"> na sprzedaż niezabudowanej nieruchomości gruntowej, obszaru inwestycyjnego III o powierzchni 0,5491 ha, stanowiącej własność</w:t>
      </w:r>
      <w:r>
        <w:rPr>
          <w:rFonts w:ascii="Times New Roman" w:hAnsi="Times New Roman"/>
          <w:b/>
          <w:spacing w:val="-20"/>
          <w:szCs w:val="24"/>
        </w:rPr>
        <w:t xml:space="preserve"> Gminy Połaniec, położonej w Połańcu przy ulicy Wyzwolenia, w obrębie Strefy Inwestycyjnej B,  </w:t>
      </w:r>
      <w:r>
        <w:rPr>
          <w:rFonts w:ascii="Times New Roman" w:hAnsi="Times New Roman"/>
          <w:spacing w:val="-20"/>
          <w:szCs w:val="24"/>
        </w:rPr>
        <w:t>które przyjmuję bez zastrzeżeń i zobowiązuję się przestrzegać.</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W przypadku niewygrania przetargu proszę o zwrot wadium: </w:t>
      </w:r>
      <w:r>
        <w:rPr>
          <w:rFonts w:cs="Times New Roman" w:ascii="Times New Roman" w:hAnsi="Times New Roman"/>
          <w:sz w:val="24"/>
        </w:rPr>
        <w:t xml:space="preserve">- przelewem na konto Nr: </w:t>
      </w:r>
    </w:p>
    <w:p>
      <w:pPr>
        <w:pStyle w:val="Podtytu"/>
        <w:spacing w:before="0" w:after="0"/>
        <w:contextualSpacing/>
        <w:jc w:val="both"/>
        <w:rPr>
          <w:b w:val="false"/>
          <w:b w:val="false"/>
          <w:sz w:val="24"/>
        </w:rPr>
      </w:pPr>
      <w:r>
        <w:rPr>
          <w:sz w:val="24"/>
        </w:rPr>
        <w:t>....................................................................................................................................................................</w:t>
      </w:r>
    </w:p>
    <w:p>
      <w:pPr>
        <w:pStyle w:val="Podtytu"/>
        <w:spacing w:before="0" w:after="0"/>
        <w:contextualSpacing/>
        <w:jc w:val="both"/>
        <w:rPr>
          <w:b w:val="false"/>
          <w:b w:val="false"/>
          <w:sz w:val="24"/>
        </w:rPr>
      </w:pPr>
      <w:r>
        <w:rPr>
          <w:b w:val="false"/>
          <w:sz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niepotrzebne skreślić</w:t>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r>
    </w:p>
    <w:p>
      <w:pPr>
        <w:sectPr>
          <w:headerReference w:type="default" r:id="rId9"/>
          <w:footerReference w:type="default" r:id="rId10"/>
          <w:type w:val="nextPage"/>
          <w:pgSz w:w="12240" w:h="15840"/>
          <w:pgMar w:left="1134" w:right="1134" w:header="0" w:top="851" w:footer="0" w:bottom="709" w:gutter="0"/>
          <w:pgNumType w:fmt="decimal"/>
          <w:formProt w:val="false"/>
          <w:textDirection w:val="lrTb"/>
          <w:docGrid w:type="default" w:linePitch="360" w:charSpace="4096"/>
        </w:sectPr>
        <w:pStyle w:val="Normal"/>
        <w:spacing w:lineRule="auto" w:line="240" w:before="0" w:after="200"/>
        <w:ind w:left="4248" w:right="-2" w:firstLine="708"/>
        <w:contextualSpacing/>
        <w:rPr>
          <w:rFonts w:ascii="Times New Roman" w:hAnsi="Times New Roman" w:cs="Times New Roman"/>
          <w:sz w:val="24"/>
          <w:szCs w:val="24"/>
        </w:rPr>
      </w:pPr>
      <w:r>
        <w:rPr>
          <w:rFonts w:cs="Times New Roman" w:ascii="Times New Roman" w:hAnsi="Times New Roman"/>
          <w:sz w:val="24"/>
          <w:szCs w:val="24"/>
        </w:rPr>
        <w:t>pieczęć,  podpis ………….………………………..</w:t>
      </w:r>
    </w:p>
    <w:p>
      <w:p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t>Załącznik Nr 2 do Warunków przetargu</w:t>
      </w:r>
    </w:p>
    <w:p>
      <w:pPr>
        <w:pStyle w:val="Normal"/>
        <w:numPr>
          <w:ilvl w:val="0"/>
          <w:numId w:val="0"/>
        </w:numPr>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 dnia 19 sierpnia 2021 roku</w:t>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200"/>
        <w:contextualSpacing/>
        <w:jc w:val="right"/>
        <w:rPr>
          <w:rFonts w:ascii="Times New Roman" w:hAnsi="Times New Roman" w:cs="Times New Roman"/>
          <w:bCs/>
          <w:sz w:val="24"/>
          <w:szCs w:val="24"/>
        </w:rPr>
      </w:pPr>
      <w:r>
        <w:rPr>
          <w:rFonts w:cs="Times New Roman" w:ascii="Times New Roman" w:hAnsi="Times New Roman"/>
          <w:bCs/>
          <w:sz w:val="24"/>
          <w:szCs w:val="24"/>
        </w:rPr>
        <w:t>Połaniec, dn.  ……………..…2021 r.</w:t>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t>OŚWIADCZENIE   OSOBY</w:t>
      </w:r>
    </w:p>
    <w:p>
      <w:pPr>
        <w:pStyle w:val="Tretekstu"/>
        <w:spacing w:before="0" w:after="200"/>
        <w:contextualSpacing/>
        <w:rPr>
          <w:rFonts w:ascii="Times New Roman" w:hAnsi="Times New Roman"/>
          <w:b/>
          <w:b/>
          <w:spacing w:val="-8"/>
          <w:szCs w:val="24"/>
        </w:rPr>
      </w:pPr>
      <w:r>
        <w:rPr>
          <w:rFonts w:ascii="Times New Roman" w:hAnsi="Times New Roman"/>
          <w:b/>
          <w:spacing w:val="-20"/>
          <w:szCs w:val="24"/>
        </w:rPr>
        <w:t xml:space="preserve">przystępującej do pierwszego przetargu pisemnego nieograniczonego na sprzedaż niezabudowanej nieruchomości gruntowej, obszaru inwestycyjnego III o powierzchni 0,5491 ha, stanowiącej własność Gminy Połaniec, położonej </w:t>
        <w:br/>
        <w:t>w Połańcu przy ulicy Wyzwolenia, w obrębie Strefy Inwestycyjnej B</w:t>
      </w:r>
      <w:r>
        <w:rPr>
          <w:rFonts w:ascii="Times New Roman" w:hAnsi="Times New Roman"/>
          <w:b/>
          <w:spacing w:val="-8"/>
          <w:szCs w:val="24"/>
        </w:rPr>
        <w:t>.</w:t>
      </w:r>
    </w:p>
    <w:p>
      <w:pPr>
        <w:pStyle w:val="Tretekstu"/>
        <w:spacing w:before="0" w:after="200"/>
        <w:contextualSpacing/>
        <w:rPr>
          <w:rFonts w:ascii="Times New Roman" w:hAnsi="Times New Roman"/>
          <w:b/>
          <w:b/>
          <w:bCs/>
          <w:szCs w:val="24"/>
        </w:rPr>
      </w:pPr>
      <w:r>
        <w:rPr>
          <w:rFonts w:ascii="Times New Roman" w:hAnsi="Times New Roman"/>
          <w:b/>
          <w:bCs/>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Ja, niżej podpisany/a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ab/>
        <w:tab/>
        <w:t xml:space="preserve">                                                 (imię i nazwisko)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PESEL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zamieszkały/a w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adres do doręczeń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e-mail…………………………………………………………………………………………..………….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w imieniu własnym / jako przedstawiciel / pełnomocnik oferenta* …………..…….……………………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Normal"/>
        <w:spacing w:lineRule="auto" w:line="240" w:before="0" w:after="200"/>
        <w:contextualSpacing/>
        <w:jc w:val="both"/>
        <w:rPr>
          <w:rFonts w:ascii="Times New Roman" w:hAnsi="Times New Roman" w:cs="Times New Roman"/>
          <w:spacing w:val="-20"/>
          <w:sz w:val="24"/>
          <w:szCs w:val="24"/>
        </w:rPr>
      </w:pPr>
      <w:r>
        <w:rPr>
          <w:rFonts w:cs="Times New Roman" w:ascii="Times New Roman" w:hAnsi="Times New Roman"/>
          <w:spacing w:val="-20"/>
          <w:sz w:val="24"/>
          <w:szCs w:val="24"/>
        </w:rPr>
        <w:t xml:space="preserve">(nazwa reprezentowanego) oświadczam, że zapoznałem/łam się z klauzulą informacyjną o przetwarzaniu moich danych osobowych w Urzędzie Miasta i Gminy w Połańcu, zawartą w ogłoszeniu przetargu z dnia  </w:t>
      </w:r>
      <w:r>
        <w:rPr>
          <w:rFonts w:cs="Times New Roman" w:ascii="Times New Roman" w:hAnsi="Times New Roman"/>
          <w:b/>
          <w:spacing w:val="-20"/>
          <w:sz w:val="24"/>
          <w:szCs w:val="24"/>
        </w:rPr>
        <w:t>19 sierpnia</w:t>
      </w:r>
      <w:r>
        <w:rPr>
          <w:rFonts w:cs="Times New Roman" w:ascii="Times New Roman" w:hAnsi="Times New Roman"/>
          <w:spacing w:val="-20"/>
          <w:sz w:val="24"/>
          <w:szCs w:val="24"/>
        </w:rPr>
        <w:t xml:space="preserve"> </w:t>
      </w:r>
      <w:r>
        <w:rPr>
          <w:rFonts w:cs="Times New Roman" w:ascii="Times New Roman" w:hAnsi="Times New Roman"/>
          <w:b/>
          <w:spacing w:val="-20"/>
          <w:sz w:val="24"/>
          <w:szCs w:val="24"/>
        </w:rPr>
        <w:t xml:space="preserve"> 2021 roku</w:t>
      </w:r>
      <w:r>
        <w:rPr>
          <w:rFonts w:cs="Times New Roman" w:ascii="Times New Roman" w:hAnsi="Times New Roman"/>
          <w:spacing w:val="-20"/>
          <w:sz w:val="24"/>
          <w:szCs w:val="24"/>
        </w:rPr>
        <w:t xml:space="preserve">  i nie wnoszę sprzeciwu.</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niepotrzebne skreślić</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r>
    </w:p>
    <w:p>
      <w:pPr>
        <w:sectPr>
          <w:headerReference w:type="default" r:id="rId11"/>
          <w:footerReference w:type="default" r:id="rId12"/>
          <w:type w:val="nextPage"/>
          <w:pgSz w:w="12240" w:h="15840"/>
          <w:pgMar w:left="1134" w:right="1134" w:header="0" w:top="851" w:footer="0" w:bottom="709" w:gutter="0"/>
          <w:pgNumType w:fmt="decimal"/>
          <w:formProt w:val="false"/>
          <w:textDirection w:val="lrTb"/>
          <w:docGrid w:type="default" w:linePitch="360" w:charSpace="4096"/>
        </w:sectPr>
        <w:pStyle w:val="Normal"/>
        <w:spacing w:lineRule="auto" w:line="240" w:before="0" w:after="200"/>
        <w:ind w:left="4248" w:right="-2" w:hanging="0"/>
        <w:contextualSpacing/>
        <w:rPr>
          <w:rFonts w:ascii="Times New Roman" w:hAnsi="Times New Roman" w:cs="Times New Roman"/>
          <w:sz w:val="24"/>
          <w:szCs w:val="24"/>
        </w:rPr>
      </w:pPr>
      <w:r>
        <w:rPr>
          <w:rFonts w:cs="Times New Roman" w:ascii="Times New Roman" w:hAnsi="Times New Roman"/>
          <w:sz w:val="24"/>
          <w:szCs w:val="24"/>
        </w:rPr>
        <w:t>pieczęć, podpis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Załącznik Nr 3 do Warunków przetargu</w:t>
      </w:r>
    </w:p>
    <w:p>
      <w:p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 dnia19 sierpnia 2021 roku</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right"/>
        <w:rPr>
          <w:rFonts w:ascii="Times New Roman" w:hAnsi="Times New Roman" w:cs="Times New Roman"/>
          <w:bCs/>
          <w:sz w:val="24"/>
          <w:szCs w:val="24"/>
        </w:rPr>
      </w:pPr>
      <w:r>
        <w:rPr>
          <w:rFonts w:cs="Times New Roman" w:ascii="Times New Roman" w:hAnsi="Times New Roman"/>
          <w:bCs/>
          <w:sz w:val="24"/>
          <w:szCs w:val="24"/>
        </w:rPr>
        <w:t>Połaniec, dn. ……………….…2021 r.</w:t>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t>OŚWIADCZENIE   OSOBY</w:t>
      </w:r>
    </w:p>
    <w:p>
      <w:pPr>
        <w:pStyle w:val="Tretekstu"/>
        <w:spacing w:before="0" w:after="200"/>
        <w:contextualSpacing/>
        <w:rPr>
          <w:rFonts w:ascii="Times New Roman" w:hAnsi="Times New Roman"/>
          <w:b/>
          <w:b/>
          <w:spacing w:val="-8"/>
          <w:szCs w:val="24"/>
        </w:rPr>
      </w:pPr>
      <w:r>
        <w:rPr>
          <w:rFonts w:ascii="Times New Roman" w:hAnsi="Times New Roman"/>
          <w:b/>
          <w:szCs w:val="24"/>
        </w:rPr>
        <w:t xml:space="preserve">przystępującej do pierwszego przetargu pisemnego nieograniczonego </w:t>
      </w:r>
      <w:r>
        <w:rPr>
          <w:rFonts w:ascii="Times New Roman" w:hAnsi="Times New Roman"/>
          <w:b/>
          <w:spacing w:val="-2"/>
          <w:szCs w:val="24"/>
        </w:rPr>
        <w:t xml:space="preserve">na sprzedaż niezabudowanej nieruchomości gruntowej, obszaru inwestycyjnego III o powierzchni 05491 ha, stanowiącej własność Gminy Połaniec, położonej </w:t>
      </w:r>
      <w:r>
        <w:rPr>
          <w:rFonts w:ascii="Times New Roman" w:hAnsi="Times New Roman"/>
          <w:b/>
          <w:spacing w:val="-8"/>
          <w:szCs w:val="24"/>
        </w:rPr>
        <w:t>w Połańcu przy ulicy Wyzwolenia, w obrębie Strefy Inwestycyjnej B.</w:t>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Ja, niżej podpisany/………………………………………………………………………………………..</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ab/>
        <w:tab/>
        <w:t xml:space="preserve">                                                 (imię i nazwisko)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PESEL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zamieszkały/a w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adres do doręczeń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e-mail…………………………………………………………………………………………..………….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w imieniu własnym / jako przedstawiciel / pełnomocnik oferenta*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Normal"/>
        <w:spacing w:lineRule="auto" w:line="240" w:before="0" w:after="200"/>
        <w:contextualSpacing/>
        <w:jc w:val="both"/>
        <w:rPr>
          <w:rFonts w:ascii="Times New Roman" w:hAnsi="Times New Roman" w:cs="Times New Roman"/>
          <w:iCs/>
          <w:spacing w:val="-20"/>
          <w:sz w:val="24"/>
          <w:szCs w:val="24"/>
        </w:rPr>
      </w:pPr>
      <w:r>
        <w:rPr>
          <w:rFonts w:cs="Times New Roman" w:ascii="Times New Roman" w:hAnsi="Times New Roman"/>
          <w:spacing w:val="-20"/>
          <w:sz w:val="24"/>
          <w:szCs w:val="24"/>
        </w:rPr>
        <w:t xml:space="preserve"> </w:t>
      </w:r>
      <w:r>
        <w:rPr>
          <w:rFonts w:cs="Times New Roman" w:ascii="Times New Roman" w:hAnsi="Times New Roman"/>
          <w:spacing w:val="-20"/>
          <w:sz w:val="24"/>
          <w:szCs w:val="24"/>
        </w:rPr>
        <w:t>(dane reprezentowanego) oświadczam, że zapoznałem/łam się</w:t>
      </w:r>
      <w:r>
        <w:rPr>
          <w:rFonts w:cs="Times New Roman" w:ascii="Times New Roman" w:hAnsi="Times New Roman"/>
          <w:iCs/>
          <w:spacing w:val="-20"/>
          <w:sz w:val="24"/>
          <w:szCs w:val="24"/>
        </w:rPr>
        <w:t xml:space="preserve"> ze stanem faktycznym i prawnym działek nr:  8613/1</w:t>
      </w:r>
      <w:r>
        <w:rPr>
          <w:rFonts w:cs="Times New Roman" w:ascii="Times New Roman" w:hAnsi="Times New Roman"/>
          <w:b/>
          <w:iCs/>
          <w:spacing w:val="-20"/>
          <w:sz w:val="24"/>
          <w:szCs w:val="24"/>
        </w:rPr>
        <w:t xml:space="preserve"> </w:t>
        <w:br/>
      </w:r>
      <w:r>
        <w:rPr>
          <w:rFonts w:cs="Times New Roman" w:ascii="Times New Roman" w:hAnsi="Times New Roman"/>
          <w:iCs/>
          <w:spacing w:val="-20"/>
          <w:sz w:val="24"/>
          <w:szCs w:val="24"/>
        </w:rPr>
        <w:t>o powierzchni 0,1499 ha</w:t>
      </w:r>
      <w:r>
        <w:rPr>
          <w:rFonts w:cs="Times New Roman" w:ascii="Times New Roman" w:hAnsi="Times New Roman"/>
          <w:b/>
          <w:iCs/>
          <w:spacing w:val="-20"/>
          <w:sz w:val="24"/>
          <w:szCs w:val="24"/>
        </w:rPr>
        <w:t xml:space="preserve"> </w:t>
      </w:r>
      <w:r>
        <w:rPr>
          <w:rFonts w:cs="Times New Roman" w:ascii="Times New Roman" w:hAnsi="Times New Roman"/>
          <w:iCs/>
          <w:spacing w:val="-20"/>
          <w:sz w:val="24"/>
          <w:szCs w:val="24"/>
        </w:rPr>
        <w:t>i 8613/2 o powierzchni 0,3992 ha,</w:t>
      </w:r>
      <w:r>
        <w:rPr>
          <w:rFonts w:cs="Times New Roman" w:ascii="Times New Roman" w:hAnsi="Times New Roman"/>
          <w:b/>
          <w:iCs/>
          <w:spacing w:val="-20"/>
          <w:sz w:val="24"/>
          <w:szCs w:val="24"/>
        </w:rPr>
        <w:t xml:space="preserve">  wchodzących w skład nieruchomości </w:t>
      </w:r>
      <w:r>
        <w:rPr>
          <w:rFonts w:cs="Times New Roman" w:ascii="Times New Roman" w:hAnsi="Times New Roman"/>
          <w:b/>
          <w:bCs/>
          <w:spacing w:val="-20"/>
          <w:sz w:val="24"/>
          <w:szCs w:val="24"/>
        </w:rPr>
        <w:t xml:space="preserve">stanowiącej obszar inwestycyjny III o powierzchni 0,5491 ha, </w:t>
      </w:r>
      <w:r>
        <w:rPr>
          <w:rFonts w:cs="Times New Roman" w:ascii="Times New Roman" w:hAnsi="Times New Roman"/>
          <w:iCs/>
          <w:spacing w:val="-20"/>
          <w:sz w:val="24"/>
          <w:szCs w:val="24"/>
        </w:rPr>
        <w:t>będącej przedmiotem przetargu i nie wnoszę zastrzeżeń.</w:t>
      </w:r>
    </w:p>
    <w:p>
      <w:pPr>
        <w:pStyle w:val="Normal"/>
        <w:spacing w:lineRule="auto" w:line="240" w:before="0" w:after="200"/>
        <w:contextualSpacing/>
        <w:jc w:val="both"/>
        <w:rPr>
          <w:rFonts w:ascii="Times New Roman" w:hAnsi="Times New Roman" w:cs="Times New Roman"/>
          <w:bCs/>
          <w:sz w:val="24"/>
          <w:szCs w:val="24"/>
        </w:rPr>
      </w:pPr>
      <w:r>
        <w:rPr>
          <w:rFonts w:cs="Times New Roman" w:ascii="Times New Roman" w:hAnsi="Times New Roman"/>
          <w:iCs/>
          <w:spacing w:val="-20"/>
          <w:sz w:val="24"/>
          <w:szCs w:val="24"/>
        </w:rPr>
        <w:t>Oświadczam, że udzielone mi pełnomocnictwo (reprezentacja ujawniona we właściwym rejestrze) obowiązuje</w:t>
      </w:r>
      <w:r>
        <w:rPr>
          <w:rFonts w:cs="Times New Roman" w:ascii="Times New Roman" w:hAnsi="Times New Roman"/>
          <w:iCs/>
          <w:sz w:val="24"/>
          <w:szCs w:val="24"/>
        </w:rPr>
        <w:t>.</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niepotrzebne skreślić</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r>
    </w:p>
    <w:p>
      <w:pPr>
        <w:sectPr>
          <w:headerReference w:type="default" r:id="rId13"/>
          <w:footerReference w:type="default" r:id="rId14"/>
          <w:type w:val="nextPage"/>
          <w:pgSz w:w="12240" w:h="15840"/>
          <w:pgMar w:left="1134" w:right="1134" w:header="0" w:top="851" w:footer="0" w:bottom="709" w:gutter="0"/>
          <w:pgNumType w:fmt="decimal"/>
          <w:formProt w:val="false"/>
          <w:textDirection w:val="lrTb"/>
          <w:docGrid w:type="default" w:linePitch="360" w:charSpace="4096"/>
        </w:sect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t>pieczęć, podpis ………………………...…………………..</w:t>
      </w:r>
    </w:p>
    <w:p>
      <w:p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t>Załącznik Nr 4 do Warunków przetargu</w:t>
      </w:r>
    </w:p>
    <w:p>
      <w:p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 dnia 19 sierpnia 2021 roku</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Połaniec, dn. ……..…….…2021 r.</w:t>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t>OŚWIADCZENIE   OSOBY</w:t>
      </w:r>
    </w:p>
    <w:p>
      <w:pPr>
        <w:pStyle w:val="Tretekstu"/>
        <w:spacing w:before="0" w:after="200"/>
        <w:contextualSpacing/>
        <w:rPr>
          <w:rFonts w:ascii="Times New Roman" w:hAnsi="Times New Roman"/>
          <w:b/>
          <w:b/>
          <w:spacing w:val="-20"/>
          <w:szCs w:val="24"/>
        </w:rPr>
      </w:pPr>
      <w:r>
        <w:rPr>
          <w:rFonts w:ascii="Times New Roman" w:hAnsi="Times New Roman"/>
          <w:b/>
          <w:spacing w:val="-20"/>
          <w:szCs w:val="24"/>
        </w:rPr>
        <w:t>przystępującej do pierwszego przetargu pisemnego nieograniczonego na sprzedaż niezabudowanej nieruchomości gruntowej, obszaru inwestycyjnego III o powierzchni 0,5491 ha, stanowiącej własność Gminy Połaniec, położonej w Połańcu przy ulicy Wyzwolenia, w obrębie Strefy Inwestycyjnej B.</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Ja, niżej podpisany/a………………………………………………………...…………………</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ab/>
        <w:tab/>
        <w:tab/>
        <w:t xml:space="preserve">                                     (imię i nazwisko)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PESEL:………………………………zamieszkały/ła……………...…………….……………</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Adres do doręczeń………………………………………………………………………………</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e-mail……………………………………………………………………………………….…..</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działający w imieniu własnym/w imieniu osoby prawnej / jednostki organizacyjne</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/jako pełnomocnik*reprezentant ……………………….…………..(dane reprezentowanego)</w:t>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spacing w:val="-20"/>
          <w:sz w:val="24"/>
          <w:szCs w:val="24"/>
        </w:rPr>
      </w:pPr>
      <w:r>
        <w:rPr>
          <w:rFonts w:cs="Times New Roman" w:ascii="Times New Roman" w:hAnsi="Times New Roman"/>
          <w:spacing w:val="-20"/>
          <w:sz w:val="24"/>
          <w:szCs w:val="24"/>
        </w:rPr>
        <w:t xml:space="preserve">oświadczam, że nie jestem powiązany z członkami Komisji Przetargowej w rozumieniu §9 rozporządzenia Rady Ministrów z dnia 14 września 2004 roku w sprawie sposobu i trybu przeprowadzania przetargów oraz rokowań na zbycie nieruchomości (t.j. Dz. U. z 2014 r., poz. 1490 ze zm.), zgodnie z którym w przetargu nie mogą uczestniczyć osoby wchodzące w skład komisji przetargowej oraz osoby bliskie tym osobom, a także osoby, które pozostają </w:t>
        <w:br/>
        <w:t>z członkami komisji przetargowej w takim stosunku prawnym lub faktycznym, że może budzić to uzasadnione wątpliwości co do bezstronności komisji  przetargowej.</w:t>
      </w:r>
    </w:p>
    <w:p>
      <w:pPr>
        <w:pStyle w:val="Normal"/>
        <w:spacing w:lineRule="auto" w:line="240" w:before="0" w:after="200"/>
        <w:contextualSpacing/>
        <w:jc w:val="both"/>
        <w:rPr>
          <w:rFonts w:ascii="Times New Roman" w:hAnsi="Times New Roman" w:cs="Times New Roman"/>
          <w:spacing w:val="-20"/>
          <w:sz w:val="24"/>
          <w:szCs w:val="24"/>
        </w:rPr>
      </w:pPr>
      <w:r>
        <w:rPr>
          <w:rFonts w:cs="Times New Roman" w:ascii="Times New Roman" w:hAnsi="Times New Roman"/>
          <w:spacing w:val="-20"/>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niepotrzebne skreślić</w:t>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numPr>
          <w:ilvl w:val="0"/>
          <w:numId w:val="0"/>
        </w:numPr>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p>
      <w:pPr>
        <w:pStyle w:val="Normal"/>
        <w:spacing w:lineRule="auto" w:line="240" w:before="0" w:after="200"/>
        <w:ind w:right="-2" w:hanging="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right="-2" w:hanging="0"/>
        <w:contextualSpacing/>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(podpis/pieczęć podmiotu reprezentowanego)</w:t>
      </w:r>
    </w:p>
    <w:p>
      <w:pPr>
        <w:pStyle w:val="Normal"/>
        <w:spacing w:lineRule="auto" w:line="240" w:before="0" w:after="200"/>
        <w:ind w:right="-2" w:hanging="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right="-2" w:hanging="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right="-2" w:hanging="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right="-2" w:hanging="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right="-2" w:hanging="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right="-2" w:hanging="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440" w:leader="none"/>
          <w:tab w:val="right" w:pos="9974" w:leader="none"/>
        </w:tabs>
        <w:spacing w:lineRule="auto" w:line="240" w:before="0" w:after="200"/>
        <w:ind w:right="-2"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440" w:leader="none"/>
          <w:tab w:val="right" w:pos="9974" w:leader="none"/>
        </w:tabs>
        <w:spacing w:lineRule="auto" w:line="240" w:before="0" w:after="200"/>
        <w:ind w:right="-2" w:hanging="0"/>
        <w:contextualSpacing/>
        <w:jc w:val="both"/>
        <w:rPr>
          <w:rFonts w:ascii="Times New Roman" w:hAnsi="Times New Roman" w:cs="Times New Roman"/>
          <w:b/>
          <w:b/>
          <w:i/>
          <w:i/>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Załącznik Nr 2</w:t>
      </w:r>
    </w:p>
    <w:p>
      <w:pPr>
        <w:pStyle w:val="Normal"/>
        <w:spacing w:lineRule="auto" w:line="240" w:before="0" w:after="200"/>
        <w:ind w:right="-2"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do Ogłoszenia przetargowego</w:t>
      </w:r>
    </w:p>
    <w:p>
      <w:pPr>
        <w:pStyle w:val="Normal"/>
        <w:spacing w:lineRule="auto" w:line="240" w:before="0" w:after="200"/>
        <w:ind w:right="-2" w:hanging="0"/>
        <w:contextualSpacing/>
        <w:jc w:val="both"/>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 dnia 19 sierpnia 2021 roku</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b/>
          <w:b/>
          <w:bCs/>
          <w:sz w:val="24"/>
          <w:szCs w:val="24"/>
        </w:rPr>
      </w:pPr>
      <w:r>
        <w:rPr>
          <w:rFonts w:cs="Times New Roman" w:ascii="Times New Roman" w:hAnsi="Times New Roman"/>
          <w:b/>
          <w:bCs/>
          <w:sz w:val="24"/>
          <w:szCs w:val="24"/>
        </w:rPr>
        <w:t>REGULAMIN    P R Z E T A R G U</w:t>
      </w:r>
    </w:p>
    <w:p>
      <w:pPr>
        <w:pStyle w:val="Tretekstu"/>
        <w:spacing w:before="0" w:after="200"/>
        <w:contextualSpacing/>
        <w:rPr>
          <w:rFonts w:ascii="Times New Roman" w:hAnsi="Times New Roman"/>
          <w:b/>
          <w:b/>
          <w:spacing w:val="-20"/>
          <w:szCs w:val="24"/>
        </w:rPr>
      </w:pPr>
      <w:r>
        <w:rPr>
          <w:rFonts w:ascii="Times New Roman" w:hAnsi="Times New Roman"/>
          <w:b/>
          <w:spacing w:val="-20"/>
          <w:szCs w:val="24"/>
        </w:rPr>
        <w:t xml:space="preserve">pierwszego przetargu pisemnego nieograniczonego na sprzedaż niezabudowanej nieruchomości gruntowej, obszaru inwestycyjnego III o powierzchni 0,5491 ha, stanowiącej własność Gminy Połaniec, położonej </w:t>
        <w:br/>
        <w:t>w Połańcu przy ulicy Wyzwolenia, w obrębie Strefy Inwestycyjnej B.</w:t>
      </w:r>
    </w:p>
    <w:p>
      <w:pPr>
        <w:pStyle w:val="Tretekstu"/>
        <w:spacing w:before="0" w:after="200"/>
        <w:contextualSpacing/>
        <w:rPr>
          <w:rFonts w:ascii="Times New Roman" w:hAnsi="Times New Roman"/>
          <w:b/>
          <w:b/>
          <w:szCs w:val="24"/>
        </w:rPr>
      </w:pPr>
      <w:r>
        <w:rPr>
          <w:rFonts w:ascii="Times New Roman" w:hAnsi="Times New Roman"/>
          <w:b/>
          <w:szCs w:val="24"/>
        </w:rPr>
      </w:r>
    </w:p>
    <w:p>
      <w:pPr>
        <w:pStyle w:val="Tretekstu"/>
        <w:numPr>
          <w:ilvl w:val="0"/>
          <w:numId w:val="27"/>
        </w:numPr>
        <w:spacing w:before="240" w:after="240"/>
        <w:ind w:left="425" w:hanging="425"/>
        <w:contextualSpacing/>
        <w:rPr>
          <w:rFonts w:ascii="Times New Roman" w:hAnsi="Times New Roman"/>
          <w:b/>
          <w:b/>
          <w:bCs/>
          <w:iCs/>
          <w:szCs w:val="24"/>
        </w:rPr>
      </w:pPr>
      <w:r>
        <w:rPr>
          <w:rFonts w:ascii="Times New Roman" w:hAnsi="Times New Roman"/>
          <w:b/>
          <w:bCs/>
          <w:iCs/>
          <w:szCs w:val="24"/>
        </w:rPr>
        <w:t>Postanowienia ogólne</w:t>
      </w:r>
    </w:p>
    <w:p>
      <w:pPr>
        <w:pStyle w:val="Tretekstu"/>
        <w:spacing w:before="240" w:after="240"/>
        <w:ind w:left="425" w:hanging="0"/>
        <w:contextualSpacing/>
        <w:rPr>
          <w:rFonts w:ascii="Times New Roman" w:hAnsi="Times New Roman"/>
          <w:b/>
          <w:b/>
          <w:spacing w:val="-2"/>
          <w:szCs w:val="24"/>
        </w:rPr>
      </w:pPr>
      <w:r>
        <w:rPr>
          <w:rFonts w:ascii="Times New Roman" w:hAnsi="Times New Roman"/>
          <w:b/>
          <w:bCs/>
          <w:iCs/>
          <w:szCs w:val="24"/>
        </w:rPr>
        <w:t xml:space="preserve">1) </w:t>
      </w:r>
      <w:r>
        <w:rPr>
          <w:rFonts w:ascii="Times New Roman" w:hAnsi="Times New Roman"/>
          <w:szCs w:val="24"/>
        </w:rPr>
        <w:t xml:space="preserve">Regulamin określa zasady przeprowadzania pierwszego przetargu pisemnego nieograniczonego na sprzedaż </w:t>
      </w:r>
      <w:r>
        <w:rPr>
          <w:rFonts w:ascii="Times New Roman" w:hAnsi="Times New Roman"/>
          <w:spacing w:val="-2"/>
          <w:szCs w:val="24"/>
        </w:rPr>
        <w:t xml:space="preserve">niezabudowanej nieruchomości gruntowej, </w:t>
      </w:r>
      <w:r>
        <w:rPr>
          <w:rFonts w:ascii="Times New Roman" w:hAnsi="Times New Roman"/>
          <w:bCs/>
          <w:szCs w:val="24"/>
        </w:rPr>
        <w:t xml:space="preserve">obszaru inwestycyjnego </w:t>
      </w:r>
      <w:r>
        <w:rPr>
          <w:rFonts w:ascii="Times New Roman" w:hAnsi="Times New Roman"/>
          <w:b/>
          <w:spacing w:val="-2"/>
          <w:szCs w:val="24"/>
        </w:rPr>
        <w:t xml:space="preserve"> III o powierzchni 0,5491 ha.</w:t>
      </w:r>
      <w:r>
        <w:rPr>
          <w:rFonts w:ascii="Times New Roman" w:hAnsi="Times New Roman"/>
          <w:bCs/>
          <w:szCs w:val="24"/>
        </w:rPr>
        <w:t xml:space="preserve">  </w:t>
      </w:r>
      <w:r>
        <w:rPr>
          <w:rFonts w:ascii="Times New Roman" w:hAnsi="Times New Roman"/>
          <w:szCs w:val="24"/>
        </w:rPr>
        <w:t xml:space="preserve">Działki nr: 8613/1 o powierzchni 0,1499 ha i 8613/2 o powierzchni 0,3992 ha wchodzące w skład ww. obszaru inwestycyjnego </w:t>
      </w:r>
      <w:r>
        <w:rPr>
          <w:rFonts w:ascii="Times New Roman" w:hAnsi="Times New Roman"/>
          <w:bCs/>
          <w:szCs w:val="24"/>
        </w:rPr>
        <w:t xml:space="preserve">uregulowane są w księdze wieczystej nr </w:t>
      </w:r>
      <w:r>
        <w:rPr>
          <w:rFonts w:ascii="Times New Roman" w:hAnsi="Times New Roman"/>
          <w:b/>
          <w:bCs/>
          <w:szCs w:val="24"/>
        </w:rPr>
        <w:t xml:space="preserve">KI1A/00017225/1 </w:t>
      </w:r>
      <w:r>
        <w:rPr>
          <w:rFonts w:ascii="Times New Roman" w:hAnsi="Times New Roman"/>
          <w:szCs w:val="24"/>
        </w:rPr>
        <w:t>prowadzonej w Sądzie Rejonowym w Staszowie.</w:t>
      </w:r>
    </w:p>
    <w:p>
      <w:pPr>
        <w:pStyle w:val="Tretekstu"/>
        <w:spacing w:before="240" w:after="240"/>
        <w:ind w:left="425" w:hanging="0"/>
        <w:contextualSpacing/>
        <w:rPr>
          <w:rFonts w:ascii="Times New Roman" w:hAnsi="Times New Roman"/>
          <w:b/>
          <w:b/>
          <w:spacing w:val="-2"/>
          <w:szCs w:val="24"/>
        </w:rPr>
      </w:pPr>
      <w:r>
        <w:rPr>
          <w:rFonts w:ascii="Times New Roman" w:hAnsi="Times New Roman"/>
          <w:b/>
          <w:bCs/>
          <w:iCs/>
          <w:szCs w:val="24"/>
        </w:rPr>
        <w:t xml:space="preserve">2) </w:t>
      </w:r>
      <w:r>
        <w:rPr>
          <w:rFonts w:ascii="Times New Roman" w:hAnsi="Times New Roman"/>
          <w:szCs w:val="24"/>
        </w:rPr>
        <w:t>Celem przetargu jest wybór najkorzystniejszej oferty.</w:t>
      </w:r>
    </w:p>
    <w:p>
      <w:pPr>
        <w:pStyle w:val="Tretekstu"/>
        <w:spacing w:before="240" w:after="240"/>
        <w:ind w:left="425" w:hanging="0"/>
        <w:contextualSpacing/>
        <w:rPr>
          <w:rFonts w:ascii="Times New Roman" w:hAnsi="Times New Roman"/>
          <w:szCs w:val="24"/>
        </w:rPr>
      </w:pPr>
      <w:r>
        <w:rPr>
          <w:rFonts w:ascii="Times New Roman" w:hAnsi="Times New Roman"/>
          <w:b/>
          <w:bCs/>
          <w:iCs/>
          <w:szCs w:val="24"/>
        </w:rPr>
        <w:t xml:space="preserve">3) </w:t>
      </w:r>
      <w:r>
        <w:rPr>
          <w:rFonts w:ascii="Times New Roman" w:hAnsi="Times New Roman"/>
          <w:szCs w:val="24"/>
        </w:rPr>
        <w:t>Przetarg pisemny składa się z części jawnej i niejawnej oraz w przypadku ofert równorzędnych dodatkowego przetargu ustnego.</w:t>
      </w:r>
    </w:p>
    <w:p>
      <w:pPr>
        <w:pStyle w:val="Tretekstu"/>
        <w:spacing w:before="240" w:after="240"/>
        <w:ind w:left="425" w:hanging="0"/>
        <w:contextualSpacing/>
        <w:rPr>
          <w:rFonts w:ascii="Times New Roman" w:hAnsi="Times New Roman"/>
          <w:b/>
          <w:b/>
          <w:spacing w:val="-2"/>
          <w:szCs w:val="24"/>
        </w:rPr>
      </w:pPr>
      <w:r>
        <w:rPr>
          <w:rFonts w:ascii="Times New Roman" w:hAnsi="Times New Roman"/>
          <w:b/>
          <w:spacing w:val="-2"/>
          <w:szCs w:val="24"/>
        </w:rPr>
      </w:r>
    </w:p>
    <w:p>
      <w:pPr>
        <w:pStyle w:val="Tretekstu"/>
        <w:numPr>
          <w:ilvl w:val="0"/>
          <w:numId w:val="27"/>
        </w:numPr>
        <w:spacing w:before="240" w:after="240"/>
        <w:ind w:left="425" w:hanging="425"/>
        <w:contextualSpacing/>
        <w:rPr>
          <w:rFonts w:ascii="Times New Roman" w:hAnsi="Times New Roman"/>
          <w:b/>
          <w:b/>
          <w:bCs/>
          <w:szCs w:val="24"/>
        </w:rPr>
      </w:pPr>
      <w:r>
        <w:rPr>
          <w:rFonts w:ascii="Times New Roman" w:hAnsi="Times New Roman"/>
          <w:b/>
          <w:bCs/>
          <w:szCs w:val="24"/>
        </w:rPr>
        <w:t>Podstawa prawna przeprowadzenia przetargu</w:t>
      </w:r>
    </w:p>
    <w:p>
      <w:pPr>
        <w:pStyle w:val="Tretekstu"/>
        <w:spacing w:before="240" w:after="240"/>
        <w:ind w:left="425" w:hanging="0"/>
        <w:contextualSpacing/>
        <w:rPr>
          <w:rFonts w:ascii="Times New Roman" w:hAnsi="Times New Roman"/>
          <w:b/>
          <w:b/>
          <w:bCs/>
          <w:szCs w:val="24"/>
        </w:rPr>
      </w:pPr>
      <w:r>
        <w:rPr>
          <w:rFonts w:ascii="Times New Roman" w:hAnsi="Times New Roman"/>
          <w:b/>
          <w:szCs w:val="24"/>
        </w:rPr>
        <w:t>1)</w:t>
      </w:r>
      <w:r>
        <w:rPr>
          <w:rFonts w:ascii="Times New Roman" w:hAnsi="Times New Roman"/>
          <w:szCs w:val="24"/>
        </w:rPr>
        <w:t>Ustawa z dnia 21 sierpnia 1997 roku o gospodarce nieruchomościami (t.j. Dz. U. z 2020 r. poz. 1990 ze zm.),</w:t>
      </w:r>
    </w:p>
    <w:p>
      <w:pPr>
        <w:pStyle w:val="Tretekstu"/>
        <w:spacing w:before="0" w:after="0"/>
        <w:ind w:left="420" w:hanging="0"/>
        <w:contextualSpacing/>
        <w:rPr>
          <w:rFonts w:ascii="Times New Roman" w:hAnsi="Times New Roman"/>
          <w:szCs w:val="24"/>
        </w:rPr>
      </w:pPr>
      <w:r>
        <w:rPr>
          <w:rFonts w:ascii="Times New Roman" w:hAnsi="Times New Roman"/>
          <w:b/>
          <w:szCs w:val="24"/>
        </w:rPr>
        <w:t>2</w:t>
      </w:r>
      <w:r>
        <w:rPr>
          <w:rFonts w:ascii="Times New Roman" w:hAnsi="Times New Roman"/>
          <w:szCs w:val="24"/>
        </w:rPr>
        <w:t>)Rozporządzenie Rady Ministrów z dnia 14 września 2004 roku w sprawie sposobu i trybu przeprowadzania przetargów oraz rokowań na zbycie nieruchomości (t.j. Dz.U. z 2014 r., poz. 1490 ze zm.),</w:t>
      </w:r>
      <w:r>
        <w:rPr>
          <w:rFonts w:ascii="Times New Roman" w:hAnsi="Times New Roman"/>
          <w:bCs/>
          <w:szCs w:val="24"/>
        </w:rPr>
        <w:t>dalej: Rozporządzenie,</w:t>
      </w:r>
    </w:p>
    <w:p>
      <w:pPr>
        <w:pStyle w:val="Tretekstu"/>
        <w:spacing w:before="0" w:after="0"/>
        <w:ind w:left="480" w:hanging="0"/>
        <w:contextualSpacing/>
        <w:rPr>
          <w:rFonts w:ascii="Times New Roman" w:hAnsi="Times New Roman"/>
          <w:szCs w:val="24"/>
        </w:rPr>
      </w:pPr>
      <w:r>
        <w:rPr>
          <w:rFonts w:ascii="Times New Roman" w:hAnsi="Times New Roman"/>
          <w:b/>
          <w:spacing w:val="-2"/>
          <w:szCs w:val="24"/>
        </w:rPr>
        <w:t>3)</w:t>
      </w:r>
      <w:r>
        <w:rPr>
          <w:rFonts w:ascii="Times New Roman" w:hAnsi="Times New Roman"/>
          <w:spacing w:val="-2"/>
          <w:szCs w:val="24"/>
        </w:rPr>
        <w:t>Uchwała Nr XXXIII/207/2020 Rady Miejskiej w Połańcu z dnia 23 września 2020 roku w sprawie</w:t>
      </w:r>
      <w:r>
        <w:rPr>
          <w:rFonts w:ascii="Times New Roman" w:hAnsi="Times New Roman"/>
          <w:szCs w:val="24"/>
        </w:rPr>
        <w:t xml:space="preserve"> sprzedaży nieruchomości gruntowych położonych w Połańcu, przy ulicy Wyzwolenia, w obrębie Strefy Inwestycyjnej B, w drodze przetargu.</w:t>
      </w:r>
    </w:p>
    <w:p>
      <w:pPr>
        <w:pStyle w:val="Tretekstu"/>
        <w:spacing w:before="0" w:after="0"/>
        <w:contextualSpacing/>
        <w:rPr>
          <w:rFonts w:ascii="Times New Roman" w:hAnsi="Times New Roman"/>
          <w:szCs w:val="24"/>
        </w:rPr>
      </w:pPr>
      <w:r>
        <w:rPr>
          <w:rFonts w:ascii="Times New Roman" w:hAnsi="Times New Roman"/>
          <w:szCs w:val="24"/>
        </w:rPr>
      </w:r>
    </w:p>
    <w:p>
      <w:pPr>
        <w:pStyle w:val="Tretekstu"/>
        <w:numPr>
          <w:ilvl w:val="0"/>
          <w:numId w:val="27"/>
        </w:numPr>
        <w:tabs>
          <w:tab w:val="clear" w:pos="708"/>
          <w:tab w:val="left" w:pos="0" w:leader="none"/>
        </w:tabs>
        <w:spacing w:before="0" w:after="0"/>
        <w:contextualSpacing/>
        <w:rPr>
          <w:rFonts w:ascii="Times New Roman" w:hAnsi="Times New Roman"/>
          <w:b/>
          <w:b/>
          <w:szCs w:val="24"/>
        </w:rPr>
      </w:pPr>
      <w:r>
        <w:rPr>
          <w:rFonts w:ascii="Times New Roman" w:hAnsi="Times New Roman"/>
          <w:b/>
        </w:rPr>
        <w:t xml:space="preserve"> </w:t>
      </w:r>
      <w:r>
        <w:rPr>
          <w:rFonts w:ascii="Times New Roman" w:hAnsi="Times New Roman"/>
          <w:b/>
        </w:rPr>
        <w:t>Przedmiot przetargu i jego cena</w:t>
      </w:r>
    </w:p>
    <w:p>
      <w:pPr>
        <w:pStyle w:val="Tretekstu"/>
        <w:spacing w:before="0" w:after="200"/>
        <w:ind w:left="360" w:firstLine="60"/>
        <w:contextualSpacing/>
        <w:rPr>
          <w:rFonts w:ascii="Times New Roman" w:hAnsi="Times New Roman"/>
          <w:spacing w:val="-8"/>
          <w:szCs w:val="24"/>
        </w:rPr>
      </w:pPr>
      <w:r>
        <w:rPr>
          <w:rFonts w:ascii="Times New Roman" w:hAnsi="Times New Roman"/>
          <w:b/>
          <w:szCs w:val="24"/>
        </w:rPr>
        <w:t>1</w:t>
      </w:r>
      <w:r>
        <w:rPr>
          <w:rFonts w:ascii="Times New Roman" w:hAnsi="Times New Roman"/>
          <w:szCs w:val="24"/>
        </w:rPr>
        <w:t xml:space="preserve">.Przedmiotem przetargu jest sprzedaż prawa własności </w:t>
      </w:r>
      <w:r>
        <w:rPr>
          <w:rFonts w:ascii="Times New Roman" w:hAnsi="Times New Roman"/>
          <w:bCs/>
          <w:szCs w:val="24"/>
        </w:rPr>
        <w:t xml:space="preserve">niezabudowanej nieruchomości gruntowej, obszaru  inwestycyjnego III </w:t>
      </w:r>
      <w:r>
        <w:rPr>
          <w:rFonts w:ascii="Times New Roman" w:hAnsi="Times New Roman"/>
          <w:b/>
          <w:spacing w:val="-2"/>
          <w:szCs w:val="24"/>
        </w:rPr>
        <w:t>o powierzchni 0,5491ha,</w:t>
      </w:r>
      <w:r>
        <w:rPr>
          <w:rFonts w:ascii="Times New Roman" w:hAnsi="Times New Roman"/>
          <w:b/>
          <w:spacing w:val="-8"/>
          <w:szCs w:val="24"/>
        </w:rPr>
        <w:t xml:space="preserve"> składającego się z działek nr: </w:t>
      </w:r>
      <w:r>
        <w:rPr>
          <w:rFonts w:ascii="Times New Roman" w:hAnsi="Times New Roman"/>
          <w:b/>
          <w:szCs w:val="24"/>
        </w:rPr>
        <w:t>8613/1 o powierzchni 0,1499 ha i 8613/2 o powierzchni 0,3992 ha</w:t>
      </w:r>
      <w:r>
        <w:rPr>
          <w:rFonts w:ascii="Times New Roman" w:hAnsi="Times New Roman"/>
          <w:szCs w:val="24"/>
        </w:rPr>
        <w:t xml:space="preserve"> </w:t>
      </w:r>
      <w:r>
        <w:rPr>
          <w:rFonts w:ascii="Times New Roman" w:hAnsi="Times New Roman"/>
          <w:spacing w:val="-2"/>
          <w:szCs w:val="24"/>
        </w:rPr>
        <w:t xml:space="preserve">położonej </w:t>
      </w:r>
      <w:r>
        <w:rPr>
          <w:rFonts w:ascii="Times New Roman" w:hAnsi="Times New Roman"/>
          <w:spacing w:val="-8"/>
          <w:szCs w:val="24"/>
        </w:rPr>
        <w:t>w Połańcu przy ulicy Wyzwolenia, w obrębie Strefy Inwestycyjnej B.</w:t>
      </w:r>
    </w:p>
    <w:p>
      <w:pPr>
        <w:pStyle w:val="Tretekstu"/>
        <w:spacing w:before="0" w:after="0"/>
        <w:ind w:left="360" w:hanging="0"/>
        <w:contextualSpacing/>
        <w:rPr>
          <w:rFonts w:ascii="Times New Roman" w:hAnsi="Times New Roman"/>
          <w:bCs/>
          <w:szCs w:val="24"/>
        </w:rPr>
      </w:pPr>
      <w:r>
        <w:rPr>
          <w:rFonts w:ascii="Times New Roman" w:hAnsi="Times New Roman"/>
          <w:szCs w:val="24"/>
        </w:rPr>
        <w:t xml:space="preserve">Działki te </w:t>
      </w:r>
      <w:r>
        <w:rPr>
          <w:rFonts w:ascii="Times New Roman" w:hAnsi="Times New Roman"/>
          <w:bCs/>
          <w:szCs w:val="24"/>
        </w:rPr>
        <w:t xml:space="preserve">uregulowane są w księdze wieczystej nr </w:t>
      </w:r>
      <w:r>
        <w:rPr>
          <w:rFonts w:ascii="Times New Roman" w:hAnsi="Times New Roman"/>
          <w:b/>
          <w:bCs/>
          <w:szCs w:val="24"/>
        </w:rPr>
        <w:t xml:space="preserve">KI1A/00017225/1 </w:t>
      </w:r>
      <w:r>
        <w:rPr>
          <w:rFonts w:ascii="Times New Roman" w:hAnsi="Times New Roman"/>
          <w:szCs w:val="24"/>
        </w:rPr>
        <w:t xml:space="preserve">prowadzonej </w:t>
        <w:br/>
        <w:t xml:space="preserve">w Sądzie Rejonowym w Staszowie. Zgodnie z obowiązującym miejscowym planem zagospodarowania przestrzennego </w:t>
      </w:r>
      <w:r>
        <w:rPr>
          <w:rFonts w:ascii="Times New Roman" w:hAnsi="Times New Roman"/>
          <w:bCs/>
          <w:szCs w:val="24"/>
        </w:rPr>
        <w:t xml:space="preserve">wraz z jego zmianą, znajdują się  na terenach zabudowy usługowej i obiektów produkcyjnych, składów i magazynów – symbol w </w:t>
      </w:r>
      <w:r>
        <w:rPr>
          <w:rFonts w:ascii="Times New Roman" w:hAnsi="Times New Roman"/>
          <w:b/>
          <w:bCs/>
          <w:szCs w:val="24"/>
        </w:rPr>
        <w:t>planie U/P-8.</w:t>
      </w:r>
      <w:r>
        <w:rPr>
          <w:rFonts w:ascii="Times New Roman" w:hAnsi="Times New Roman"/>
          <w:bCs/>
          <w:szCs w:val="24"/>
        </w:rPr>
        <w:t xml:space="preserve"> </w:t>
      </w:r>
    </w:p>
    <w:p>
      <w:pPr>
        <w:pStyle w:val="Tretekstu"/>
        <w:spacing w:before="120" w:after="0"/>
        <w:ind w:left="360" w:hanging="0"/>
        <w:contextualSpacing/>
        <w:rPr>
          <w:rFonts w:ascii="Times New Roman" w:hAnsi="Times New Roman"/>
          <w:szCs w:val="24"/>
        </w:rPr>
      </w:pPr>
      <w:r>
        <w:rPr>
          <w:rFonts w:ascii="Times New Roman" w:hAnsi="Times New Roman"/>
          <w:b/>
          <w:szCs w:val="24"/>
        </w:rPr>
        <w:t>2</w:t>
      </w:r>
      <w:r>
        <w:rPr>
          <w:rFonts w:ascii="Times New Roman" w:hAnsi="Times New Roman"/>
          <w:szCs w:val="24"/>
        </w:rPr>
        <w:t xml:space="preserve">.Szczegółowy opis przedmiotu przetargu i warunki zakupu zostały określone </w:t>
        <w:br/>
        <w:t xml:space="preserve">w ogłoszeniu przetargowym. </w:t>
      </w:r>
      <w:r>
        <w:rPr>
          <w:rFonts w:ascii="Times New Roman" w:hAnsi="Times New Roman"/>
          <w:spacing w:val="-2"/>
          <w:szCs w:val="24"/>
        </w:rPr>
        <w:t>W terminie wynikającym z ogłoszenia przetargowego nabywca nieruchomości zobowiązany</w:t>
      </w:r>
      <w:r>
        <w:rPr>
          <w:rFonts w:ascii="Times New Roman" w:hAnsi="Times New Roman"/>
          <w:szCs w:val="24"/>
        </w:rPr>
        <w:t xml:space="preserve"> jest dostarczyć do Urzędu Miasta i Gminy w Połańcu jako potwierdzenie zakończenia budowy i uruchomienia działalności gospodarczej: oświa-dczenie kierownika budowy o zakończeniu budowy lub odpis decyzji o pozwoleniu na użytkowanie obiektu budowlanego (jeżeli wymóg jej uzyskania będą przewidywały przepisy prawa), natomiast jako potwierdzenie zatrudnienia pracowników przez okres co najmniej 12 miesięcy zobowiązany jest do złożenia poświadczonych kserokopii umów </w:t>
        <w:br/>
        <w:t xml:space="preserve">o pracę oraz składania comiesięcznych formularzy ZUS: DRA, RCA, RSA wraz </w:t>
        <w:br/>
        <w:t>z dokumentami stanowiącymi podstawę powierzenia Gminie Połaniec jako zbywcy przetwarzania danych osobowych osób, których przedkładane dokumenty będą dotyczyć, zgodnie z obowiązującymi przepisami prawa.</w:t>
      </w:r>
    </w:p>
    <w:p>
      <w:pPr>
        <w:pStyle w:val="Tretekstu"/>
        <w:spacing w:before="120" w:after="0"/>
        <w:ind w:left="360" w:hanging="0"/>
        <w:contextualSpacing/>
        <w:rPr>
          <w:rFonts w:ascii="Times New Roman" w:hAnsi="Times New Roman"/>
          <w:szCs w:val="24"/>
        </w:rPr>
      </w:pPr>
      <w:r>
        <w:rPr>
          <w:rFonts w:ascii="Times New Roman" w:hAnsi="Times New Roman"/>
          <w:b/>
          <w:spacing w:val="-4"/>
          <w:szCs w:val="24"/>
        </w:rPr>
        <w:t>3.</w:t>
      </w:r>
      <w:r>
        <w:rPr>
          <w:rFonts w:ascii="Times New Roman" w:hAnsi="Times New Roman"/>
          <w:spacing w:val="-4"/>
          <w:szCs w:val="24"/>
        </w:rPr>
        <w:t xml:space="preserve">Cena wywoławcza nieruchomości oraz wysokość wadium i sposób jego wpłaty podane zostały do publicznej wiadomości w ogłoszeniu przetargowym. Zaoferowana cena nieruchomości nie </w:t>
      </w:r>
      <w:r>
        <w:rPr>
          <w:rFonts w:ascii="Times New Roman" w:hAnsi="Times New Roman"/>
          <w:spacing w:val="-2"/>
          <w:szCs w:val="24"/>
        </w:rPr>
        <w:t xml:space="preserve">może być niższa niż cena wywoławcza powiększona </w:t>
      </w:r>
      <w:r>
        <w:rPr>
          <w:rFonts w:ascii="Times New Roman" w:hAnsi="Times New Roman"/>
          <w:b/>
          <w:spacing w:val="-2"/>
          <w:szCs w:val="24"/>
        </w:rPr>
        <w:t xml:space="preserve">o 1% </w:t>
        <w:br/>
        <w:t>z zaokrągleniem w górę do pełnych dziesiątek złotych</w:t>
      </w:r>
      <w:r>
        <w:rPr>
          <w:rFonts w:ascii="Times New Roman" w:hAnsi="Times New Roman"/>
          <w:spacing w:val="-2"/>
          <w:szCs w:val="24"/>
        </w:rPr>
        <w:t xml:space="preserve">. </w:t>
      </w:r>
      <w:r>
        <w:rPr>
          <w:rFonts w:ascii="Times New Roman" w:hAnsi="Times New Roman"/>
          <w:szCs w:val="24"/>
        </w:rPr>
        <w:t xml:space="preserve">W przypadku wyboru oferty, </w:t>
        <w:br/>
        <w:t>w której Oferent nie zaoferował za nieruchomość najwyższej ceny z oferowanych, ale zaproponował inne korzystniejsze warunki tj. w kwestii deklarowanych: wielkości przedsięwzięcia wyrażonej wysokością deklarowanych nakładów inwestycyjnych i liczby nowych miejsc pracy utworzonych w wyniku inwestycji, a następnie ich nie zrealizował, będzie on, bądź jego następca prawny, zobowiązany do zapłaty na rzecz Gminy Połaniec kary umownej.</w:t>
      </w:r>
    </w:p>
    <w:p>
      <w:pPr>
        <w:pStyle w:val="Tretekstu"/>
        <w:spacing w:before="120" w:after="0"/>
        <w:ind w:left="360" w:hanging="0"/>
        <w:contextualSpacing/>
        <w:rPr>
          <w:rFonts w:ascii="Times New Roman" w:hAnsi="Times New Roman"/>
          <w:szCs w:val="24"/>
        </w:rPr>
      </w:pPr>
      <w:r>
        <w:rPr>
          <w:rFonts w:ascii="Times New Roman" w:hAnsi="Times New Roman"/>
          <w:szCs w:val="24"/>
        </w:rPr>
        <w:t>W razie niedotrzymania deklarowanych: wielkości przedsięwzięcia wyrażonej wysokością deklarowanych nakładów inwestycyjnych oraz liczby nowych miejsc pracy utworzonych w wyniku inwestycji, terminu zakończenia budowy, uruchomienia działalności gospodarczej i utworzenia nowych miejsc pracy  nabywca będzie zobowiązany do zapłaty na rzecz Gminy Połaniec kwoty w wysokości stanowiącej różnicę pomiędzy najwyższą ceną zaoferowaną za nieruchomość przez innego oferenta a ceną zaoferowaną przez nabywcę nieruchomości, a w przypadku złożenia tylko jednej oferty – w wysokości wniesionego wadium (kara umowna). W każdym razie wysokość kary umownej nie może być niższa niż kwota wniesionego wadium. Kara umowna jest płatna w terminie 14 dni, licząc od daty wezwania Nabywcy/jego następcy prawnego do jej wniesienia, na rachunek bankowy podany w wezwaniu.</w:t>
      </w:r>
    </w:p>
    <w:p>
      <w:pPr>
        <w:pStyle w:val="Tretekstu"/>
        <w:spacing w:before="120" w:after="0"/>
        <w:ind w:left="360" w:hanging="0"/>
        <w:contextualSpacing/>
        <w:rPr>
          <w:rFonts w:ascii="Times New Roman" w:hAnsi="Times New Roman"/>
          <w:i/>
          <w:i/>
          <w:szCs w:val="24"/>
        </w:rPr>
      </w:pPr>
      <w:r>
        <w:rPr>
          <w:rFonts w:ascii="Times New Roman" w:hAnsi="Times New Roman"/>
          <w:i/>
          <w:szCs w:val="24"/>
        </w:rPr>
      </w:r>
    </w:p>
    <w:p>
      <w:pPr>
        <w:pStyle w:val="Tretekstu"/>
        <w:spacing w:before="120" w:after="0"/>
        <w:ind w:left="360" w:hanging="0"/>
        <w:contextualSpacing/>
        <w:rPr>
          <w:rFonts w:ascii="Times New Roman" w:hAnsi="Times New Roman"/>
          <w:i/>
          <w:i/>
          <w:szCs w:val="24"/>
        </w:rPr>
      </w:pPr>
      <w:r>
        <w:rPr>
          <w:rFonts w:ascii="Times New Roman" w:hAnsi="Times New Roman"/>
          <w:i/>
          <w:szCs w:val="24"/>
        </w:rPr>
      </w:r>
    </w:p>
    <w:p>
      <w:pPr>
        <w:pStyle w:val="Tretekstu"/>
        <w:numPr>
          <w:ilvl w:val="0"/>
          <w:numId w:val="27"/>
        </w:numPr>
        <w:spacing w:before="120" w:after="0"/>
        <w:contextualSpacing/>
        <w:rPr>
          <w:rFonts w:ascii="Times New Roman" w:hAnsi="Times New Roman"/>
          <w:b/>
          <w:b/>
          <w:bCs/>
          <w:szCs w:val="24"/>
        </w:rPr>
      </w:pPr>
      <w:r>
        <w:rPr>
          <w:rFonts w:ascii="Times New Roman" w:hAnsi="Times New Roman"/>
          <w:b/>
          <w:bCs/>
          <w:szCs w:val="24"/>
        </w:rPr>
        <w:t xml:space="preserve">Warunki i zasady uczestnictwa w przetargu </w:t>
      </w:r>
    </w:p>
    <w:p>
      <w:pPr>
        <w:pStyle w:val="Tretekstu"/>
        <w:numPr>
          <w:ilvl w:val="0"/>
          <w:numId w:val="14"/>
        </w:numPr>
        <w:tabs>
          <w:tab w:val="clear" w:pos="708"/>
        </w:tabs>
        <w:spacing w:before="120" w:after="0"/>
        <w:ind w:left="993" w:hanging="357"/>
        <w:contextualSpacing/>
        <w:rPr>
          <w:rFonts w:ascii="Times New Roman" w:hAnsi="Times New Roman"/>
          <w:szCs w:val="24"/>
        </w:rPr>
      </w:pPr>
      <w:r>
        <w:rPr>
          <w:rFonts w:ascii="Times New Roman" w:hAnsi="Times New Roman"/>
          <w:bCs/>
          <w:iCs/>
          <w:szCs w:val="24"/>
        </w:rPr>
        <w:t xml:space="preserve">W przetargu mogą brać udział osoby fizyczne i prawne/jednostki organizacyjne: krajowe i zagraniczne oraz cudzoziemcy, po spełnieniu warunków podanych </w:t>
        <w:br/>
        <w:t>w ogłoszeniu przetargowym oraz warunków określonych odrębnymi przepisami.</w:t>
      </w:r>
    </w:p>
    <w:p>
      <w:pPr>
        <w:pStyle w:val="Tretekstu"/>
        <w:numPr>
          <w:ilvl w:val="0"/>
          <w:numId w:val="14"/>
        </w:numPr>
        <w:tabs>
          <w:tab w:val="clear" w:pos="708"/>
        </w:tabs>
        <w:spacing w:before="120" w:after="0"/>
        <w:ind w:left="993" w:hanging="357"/>
        <w:contextualSpacing/>
        <w:rPr>
          <w:rFonts w:ascii="Times New Roman" w:hAnsi="Times New Roman"/>
          <w:szCs w:val="24"/>
        </w:rPr>
      </w:pPr>
      <w:r>
        <w:rPr>
          <w:rFonts w:ascii="Times New Roman" w:hAnsi="Times New Roman"/>
          <w:szCs w:val="24"/>
        </w:rPr>
        <w:t>Jeżeli Oferentem jest konsorcjum, holding lub grupa podmiotów gospodarczych niebędących osobą prawną w rozumieniu przepisów prawa polskiego, to wówczas za Oferenta będzie się uważać podmiot  wskazany przez pozostałych uczestników stosownymi pełnomocnictwami i wpłacającą w imieniu wszystkich wadium.</w:t>
      </w:r>
    </w:p>
    <w:p>
      <w:pPr>
        <w:pStyle w:val="Tretekstu"/>
        <w:numPr>
          <w:ilvl w:val="0"/>
          <w:numId w:val="14"/>
        </w:numPr>
        <w:tabs>
          <w:tab w:val="clear" w:pos="708"/>
        </w:tabs>
        <w:spacing w:before="120" w:after="0"/>
        <w:ind w:left="993" w:hanging="357"/>
        <w:contextualSpacing/>
        <w:rPr>
          <w:rFonts w:ascii="Times New Roman" w:hAnsi="Times New Roman"/>
          <w:szCs w:val="24"/>
        </w:rPr>
      </w:pPr>
      <w:r>
        <w:rPr>
          <w:rFonts w:ascii="Times New Roman" w:hAnsi="Times New Roman"/>
          <w:spacing w:val="-2"/>
          <w:szCs w:val="24"/>
        </w:rPr>
        <w:t>Cudzoziemcy mogą nabyć prawo własności nieruchomości w wyniku niniejszego przetargu, po spełnieniu warunków określonych w ustawie z dnia 24 marca 1920 roku</w:t>
      </w:r>
      <w:r>
        <w:rPr>
          <w:rFonts w:ascii="Times New Roman" w:hAnsi="Times New Roman"/>
          <w:szCs w:val="24"/>
        </w:rPr>
        <w:t xml:space="preserve"> o nabywaniu nieruchomości przez cudzoziemców (t.j. Dz.U. z 2017 r. poz. 2278).</w:t>
      </w:r>
    </w:p>
    <w:p>
      <w:pPr>
        <w:pStyle w:val="Tretekstu"/>
        <w:numPr>
          <w:ilvl w:val="0"/>
          <w:numId w:val="14"/>
        </w:numPr>
        <w:tabs>
          <w:tab w:val="clear" w:pos="708"/>
        </w:tabs>
        <w:spacing w:before="120" w:after="0"/>
        <w:ind w:left="993" w:hanging="357"/>
        <w:contextualSpacing/>
        <w:rPr>
          <w:rFonts w:ascii="Times New Roman" w:hAnsi="Times New Roman"/>
          <w:spacing w:val="-4"/>
          <w:szCs w:val="24"/>
        </w:rPr>
      </w:pPr>
      <w:r>
        <w:rPr>
          <w:rFonts w:ascii="Times New Roman" w:hAnsi="Times New Roman"/>
          <w:spacing w:val="-4"/>
          <w:szCs w:val="24"/>
        </w:rPr>
        <w:t xml:space="preserve">Oferent zobowiązany jest do wniesienia wadium w formie, terminie oraz sposobie określonym w ogłoszeniu przetargowym. Wadium wpłacone przez uczestnika przetargu, </w:t>
      </w:r>
      <w:r>
        <w:rPr>
          <w:rFonts w:ascii="Times New Roman" w:hAnsi="Times New Roman"/>
          <w:spacing w:val="-2"/>
          <w:szCs w:val="24"/>
        </w:rPr>
        <w:t>który przetarg wygrał, zalicza się na poczet ceny sprzedaży nieruchomości gruntowej.</w:t>
      </w:r>
    </w:p>
    <w:p>
      <w:pPr>
        <w:pStyle w:val="Wcicietrecitekstu"/>
        <w:numPr>
          <w:ilvl w:val="0"/>
          <w:numId w:val="14"/>
        </w:numPr>
        <w:tabs>
          <w:tab w:val="clear" w:pos="708"/>
        </w:tabs>
        <w:overflowPunct w:val="true"/>
        <w:spacing w:lineRule="auto" w:line="240" w:before="0" w:after="0"/>
        <w:ind w:left="993" w:hanging="357"/>
        <w:contextualSpacing/>
        <w:jc w:val="both"/>
        <w:rPr>
          <w:rFonts w:ascii="Times New Roman" w:hAnsi="Times New Roman" w:cs="Times New Roman"/>
          <w:sz w:val="24"/>
          <w:szCs w:val="24"/>
        </w:rPr>
      </w:pPr>
      <w:r>
        <w:rPr>
          <w:rFonts w:cs="Times New Roman" w:ascii="Times New Roman" w:hAnsi="Times New Roman"/>
          <w:sz w:val="24"/>
          <w:szCs w:val="24"/>
        </w:rPr>
        <w:t>Wadium zwraca się uczestnikom przetargu, którzy przetargu nie wygrali, niezwłocznie po odwołaniu albo zamknięciu przetargu (jednak nie później niż w ciągu 3 dni od dnia odwołania, zamknięcia, unieważnienia lub zakończenia przetargu wynikiem negatywnym), z wyjątkiem wadium wniesionego przez uczestnika przetargu, który przetarg wygrał, a następnie nie spełnił dalszych warunków przetargu.</w:t>
      </w:r>
    </w:p>
    <w:p>
      <w:pPr>
        <w:pStyle w:val="Wcicietrecitekstu"/>
        <w:overflowPunct w:val="true"/>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Wcicietrecitekstu"/>
        <w:numPr>
          <w:ilvl w:val="0"/>
          <w:numId w:val="27"/>
        </w:numPr>
        <w:overflowPunct w:val="true"/>
        <w:spacing w:lineRule="auto" w:line="240" w:before="0" w:after="0"/>
        <w:contextualSpacing/>
        <w:jc w:val="both"/>
        <w:rPr>
          <w:rFonts w:ascii="Times New Roman" w:hAnsi="Times New Roman" w:cs="Times New Roman"/>
          <w:sz w:val="24"/>
          <w:szCs w:val="24"/>
        </w:rPr>
      </w:pPr>
      <w:r>
        <w:rPr>
          <w:rFonts w:cs="Times New Roman" w:ascii="Times New Roman" w:hAnsi="Times New Roman"/>
          <w:b/>
          <w:bCs/>
          <w:sz w:val="24"/>
          <w:szCs w:val="24"/>
        </w:rPr>
        <w:t>Oferta</w:t>
      </w:r>
    </w:p>
    <w:p>
      <w:pPr>
        <w:pStyle w:val="Tretekstu"/>
        <w:numPr>
          <w:ilvl w:val="0"/>
          <w:numId w:val="15"/>
        </w:numPr>
        <w:spacing w:before="240" w:after="0"/>
        <w:ind w:left="993" w:hanging="425"/>
        <w:contextualSpacing/>
        <w:rPr>
          <w:rFonts w:ascii="Times New Roman" w:hAnsi="Times New Roman"/>
          <w:szCs w:val="24"/>
        </w:rPr>
      </w:pPr>
      <w:r>
        <w:rPr>
          <w:rFonts w:ascii="Times New Roman" w:hAnsi="Times New Roman"/>
          <w:szCs w:val="24"/>
        </w:rPr>
        <w:t>Of</w:t>
      </w:r>
      <w:r>
        <w:rPr>
          <w:rFonts w:ascii="Times New Roman" w:hAnsi="Times New Roman"/>
          <w:i/>
          <w:szCs w:val="24"/>
        </w:rPr>
        <w:t>e</w:t>
      </w:r>
      <w:r>
        <w:rPr>
          <w:rFonts w:ascii="Times New Roman" w:hAnsi="Times New Roman"/>
          <w:szCs w:val="24"/>
        </w:rPr>
        <w:t xml:space="preserve">rent może złożyć tylko jedną ofertę. </w:t>
      </w:r>
    </w:p>
    <w:p>
      <w:pPr>
        <w:pStyle w:val="Tretekstu"/>
        <w:numPr>
          <w:ilvl w:val="0"/>
          <w:numId w:val="15"/>
        </w:numPr>
        <w:spacing w:before="240" w:after="0"/>
        <w:ind w:left="993" w:hanging="425"/>
        <w:contextualSpacing/>
        <w:rPr>
          <w:rFonts w:ascii="Times New Roman" w:hAnsi="Times New Roman"/>
          <w:spacing w:val="-4"/>
          <w:szCs w:val="24"/>
        </w:rPr>
      </w:pPr>
      <w:r>
        <w:rPr>
          <w:rFonts w:ascii="Times New Roman" w:hAnsi="Times New Roman"/>
          <w:spacing w:val="-4"/>
          <w:szCs w:val="24"/>
        </w:rPr>
        <w:t xml:space="preserve">Oferta winna być opracowana zgodnie zdanymi zawartymi w ogłoszeniu przetargowym. </w:t>
      </w:r>
    </w:p>
    <w:p>
      <w:pPr>
        <w:pStyle w:val="Tretekstu"/>
        <w:numPr>
          <w:ilvl w:val="0"/>
          <w:numId w:val="15"/>
        </w:numPr>
        <w:spacing w:before="120" w:after="0"/>
        <w:ind w:left="993" w:hanging="425"/>
        <w:contextualSpacing/>
        <w:rPr>
          <w:rFonts w:ascii="Times New Roman" w:hAnsi="Times New Roman"/>
          <w:szCs w:val="24"/>
        </w:rPr>
      </w:pPr>
      <w:r>
        <w:rPr>
          <w:rFonts w:ascii="Times New Roman" w:hAnsi="Times New Roman"/>
          <w:szCs w:val="24"/>
        </w:rPr>
        <w:t xml:space="preserve">Ofertę składa się w formie pisemnej z wymaganymi dokumentami w miejscu </w:t>
        <w:br/>
        <w:t>i w terminie określonym w ogłoszeniu przetargowym.</w:t>
      </w:r>
    </w:p>
    <w:p>
      <w:pPr>
        <w:pStyle w:val="Tretekstu"/>
        <w:numPr>
          <w:ilvl w:val="0"/>
          <w:numId w:val="15"/>
        </w:numPr>
        <w:spacing w:before="120" w:after="0"/>
        <w:ind w:left="993" w:hanging="425"/>
        <w:contextualSpacing/>
        <w:rPr>
          <w:rFonts w:ascii="Times New Roman" w:hAnsi="Times New Roman"/>
          <w:szCs w:val="24"/>
        </w:rPr>
      </w:pPr>
      <w:r>
        <w:rPr>
          <w:rFonts w:ascii="Times New Roman" w:hAnsi="Times New Roman"/>
          <w:szCs w:val="24"/>
        </w:rPr>
        <w:t>Oferta oraz załączone dokumenty winny być napisane w języku polskim (tłumaczenia powinny być dokonane przez tłumacza przysięgłego).</w:t>
      </w:r>
    </w:p>
    <w:p>
      <w:pPr>
        <w:pStyle w:val="Tretekstu"/>
        <w:numPr>
          <w:ilvl w:val="0"/>
          <w:numId w:val="15"/>
        </w:numPr>
        <w:spacing w:before="120" w:after="0"/>
        <w:ind w:left="993" w:hanging="425"/>
        <w:contextualSpacing/>
        <w:rPr>
          <w:rFonts w:ascii="Times New Roman" w:hAnsi="Times New Roman"/>
          <w:szCs w:val="24"/>
        </w:rPr>
      </w:pPr>
      <w:r>
        <w:rPr>
          <w:rFonts w:ascii="Times New Roman" w:hAnsi="Times New Roman"/>
          <w:szCs w:val="24"/>
        </w:rPr>
        <w:t>Koperta zawierająca ofertę przetargową winna być zamknięta i opieczętowana oraz posiadać następujące oznakowanie:</w:t>
      </w:r>
    </w:p>
    <w:p>
      <w:pPr>
        <w:pStyle w:val="Tretekstu"/>
        <w:numPr>
          <w:ilvl w:val="1"/>
          <w:numId w:val="15"/>
        </w:numPr>
        <w:spacing w:before="120" w:after="0"/>
        <w:ind w:left="1276" w:hanging="283"/>
        <w:contextualSpacing/>
        <w:rPr>
          <w:rFonts w:ascii="Times New Roman" w:hAnsi="Times New Roman"/>
          <w:szCs w:val="24"/>
        </w:rPr>
      </w:pPr>
      <w:r>
        <w:rPr>
          <w:rFonts w:ascii="Times New Roman" w:hAnsi="Times New Roman"/>
          <w:b/>
          <w:szCs w:val="24"/>
        </w:rPr>
        <w:t>adres organizatora przetargu</w:t>
      </w:r>
      <w:r>
        <w:rPr>
          <w:rFonts w:ascii="Times New Roman" w:hAnsi="Times New Roman"/>
          <w:szCs w:val="24"/>
        </w:rPr>
        <w:t>,</w:t>
      </w:r>
    </w:p>
    <w:p>
      <w:pPr>
        <w:pStyle w:val="Tretekstu"/>
        <w:numPr>
          <w:ilvl w:val="1"/>
          <w:numId w:val="15"/>
        </w:numPr>
        <w:spacing w:before="0" w:after="0"/>
        <w:ind w:left="1276" w:hanging="283"/>
        <w:contextualSpacing/>
        <w:rPr>
          <w:rFonts w:ascii="Times New Roman" w:hAnsi="Times New Roman"/>
          <w:b/>
          <w:b/>
          <w:szCs w:val="24"/>
        </w:rPr>
      </w:pPr>
      <w:r>
        <w:rPr>
          <w:rFonts w:ascii="Times New Roman" w:hAnsi="Times New Roman"/>
          <w:b/>
          <w:szCs w:val="24"/>
        </w:rPr>
        <w:t>opis podany w ogłoszeniu przetargowym,</w:t>
      </w:r>
    </w:p>
    <w:p>
      <w:pPr>
        <w:pStyle w:val="Tretekstu"/>
        <w:numPr>
          <w:ilvl w:val="1"/>
          <w:numId w:val="15"/>
        </w:numPr>
        <w:spacing w:before="0" w:after="0"/>
        <w:ind w:left="1276" w:hanging="283"/>
        <w:contextualSpacing/>
        <w:rPr>
          <w:rFonts w:ascii="Times New Roman" w:hAnsi="Times New Roman"/>
          <w:b/>
          <w:b/>
          <w:szCs w:val="24"/>
        </w:rPr>
      </w:pPr>
      <w:r>
        <w:rPr>
          <w:rFonts w:ascii="Times New Roman" w:hAnsi="Times New Roman"/>
          <w:b/>
          <w:szCs w:val="24"/>
        </w:rPr>
        <w:t>adres, nr telefonu Oferenta, umożliwiający dalszą z nim korespondencję lub ewentualny zwrot nieotwartej koperty.</w:t>
      </w:r>
    </w:p>
    <w:p>
      <w:pPr>
        <w:pStyle w:val="Tretekstu"/>
        <w:numPr>
          <w:ilvl w:val="0"/>
          <w:numId w:val="15"/>
        </w:numPr>
        <w:spacing w:before="120" w:after="0"/>
        <w:ind w:left="993" w:hanging="425"/>
        <w:contextualSpacing/>
        <w:rPr>
          <w:rFonts w:ascii="Times New Roman" w:hAnsi="Times New Roman"/>
          <w:spacing w:val="-2"/>
          <w:szCs w:val="24"/>
        </w:rPr>
      </w:pPr>
      <w:r>
        <w:rPr>
          <w:rFonts w:ascii="Times New Roman" w:hAnsi="Times New Roman"/>
          <w:spacing w:val="-2"/>
          <w:szCs w:val="24"/>
        </w:rPr>
        <w:t>Ryzyko uchybienia wymaganiom dotyczącym opracowania i złożenia oferty ponosi Oferent.</w:t>
      </w:r>
    </w:p>
    <w:p>
      <w:pPr>
        <w:pStyle w:val="Tretekstu"/>
        <w:spacing w:before="120" w:after="0"/>
        <w:ind w:left="993" w:hanging="0"/>
        <w:contextualSpacing/>
        <w:rPr>
          <w:rFonts w:ascii="Times New Roman" w:hAnsi="Times New Roman"/>
          <w:spacing w:val="-2"/>
          <w:szCs w:val="24"/>
        </w:rPr>
      </w:pPr>
      <w:r>
        <w:rPr>
          <w:rFonts w:ascii="Times New Roman" w:hAnsi="Times New Roman"/>
          <w:spacing w:val="-2"/>
          <w:szCs w:val="24"/>
        </w:rPr>
      </w:r>
    </w:p>
    <w:p>
      <w:pPr>
        <w:pStyle w:val="Tretekstu"/>
        <w:numPr>
          <w:ilvl w:val="0"/>
          <w:numId w:val="27"/>
        </w:numPr>
        <w:spacing w:before="240" w:after="240"/>
        <w:contextualSpacing/>
        <w:rPr>
          <w:rFonts w:ascii="Times New Roman" w:hAnsi="Times New Roman"/>
          <w:b/>
          <w:b/>
          <w:bCs/>
          <w:szCs w:val="24"/>
        </w:rPr>
      </w:pPr>
      <w:r>
        <w:rPr>
          <w:rFonts w:ascii="Times New Roman" w:hAnsi="Times New Roman"/>
          <w:b/>
          <w:bCs/>
          <w:szCs w:val="24"/>
        </w:rPr>
        <w:t>Komisja Przetargowa</w:t>
      </w:r>
    </w:p>
    <w:p>
      <w:pPr>
        <w:pStyle w:val="Tretekstu"/>
        <w:spacing w:before="240" w:after="240"/>
        <w:ind w:left="360" w:hanging="0"/>
        <w:contextualSpacing/>
        <w:rPr>
          <w:rFonts w:ascii="Times New Roman" w:hAnsi="Times New Roman"/>
          <w:b/>
          <w:b/>
          <w:bCs/>
          <w:szCs w:val="24"/>
        </w:rPr>
      </w:pPr>
      <w:r>
        <w:rPr>
          <w:rFonts w:ascii="Times New Roman" w:hAnsi="Times New Roman"/>
          <w:b/>
          <w:bCs/>
          <w:szCs w:val="24"/>
        </w:rPr>
      </w:r>
    </w:p>
    <w:p>
      <w:pPr>
        <w:pStyle w:val="Tretekstu"/>
        <w:numPr>
          <w:ilvl w:val="0"/>
          <w:numId w:val="16"/>
        </w:numPr>
        <w:tabs>
          <w:tab w:val="clear" w:pos="708"/>
        </w:tabs>
        <w:spacing w:before="120" w:after="0"/>
        <w:ind w:left="993" w:hanging="360"/>
        <w:contextualSpacing/>
        <w:rPr>
          <w:rFonts w:ascii="Times New Roman" w:hAnsi="Times New Roman"/>
          <w:spacing w:val="-2"/>
          <w:szCs w:val="24"/>
        </w:rPr>
      </w:pPr>
      <w:r>
        <w:rPr>
          <w:rFonts w:ascii="Times New Roman" w:hAnsi="Times New Roman"/>
          <w:spacing w:val="-2"/>
          <w:szCs w:val="24"/>
        </w:rPr>
        <w:t>Czynności związane z przeprowadzeniem przetargu dokona Komisja Przetargowa powołana przez Burmistrza Miasta i Gminy Połaniec, zwana dalej Komisją.</w:t>
      </w:r>
    </w:p>
    <w:p>
      <w:pPr>
        <w:pStyle w:val="Tretekstu"/>
        <w:numPr>
          <w:ilvl w:val="0"/>
          <w:numId w:val="16"/>
        </w:numPr>
        <w:tabs>
          <w:tab w:val="clear" w:pos="708"/>
        </w:tabs>
        <w:spacing w:before="120" w:after="0"/>
        <w:ind w:left="993" w:hanging="360"/>
        <w:contextualSpacing/>
        <w:rPr>
          <w:rFonts w:ascii="Times New Roman" w:hAnsi="Times New Roman"/>
          <w:szCs w:val="24"/>
        </w:rPr>
      </w:pPr>
      <w:r>
        <w:rPr>
          <w:rFonts w:ascii="Times New Roman" w:hAnsi="Times New Roman"/>
          <w:szCs w:val="24"/>
        </w:rPr>
        <w:t>Komisja działa w oparciu o zasady określone w niniejszym Regulaminie przetargu oraz na podstawie obowiązujących przepisów prawa.</w:t>
      </w:r>
    </w:p>
    <w:p>
      <w:pPr>
        <w:pStyle w:val="Tretekstu"/>
        <w:numPr>
          <w:ilvl w:val="0"/>
          <w:numId w:val="16"/>
        </w:numPr>
        <w:tabs>
          <w:tab w:val="clear" w:pos="708"/>
        </w:tabs>
        <w:spacing w:before="120" w:after="0"/>
        <w:ind w:left="993" w:hanging="360"/>
        <w:contextualSpacing/>
        <w:rPr>
          <w:rFonts w:ascii="Times New Roman" w:hAnsi="Times New Roman"/>
          <w:szCs w:val="24"/>
        </w:rPr>
      </w:pPr>
      <w:r>
        <w:rPr>
          <w:rFonts w:ascii="Times New Roman" w:hAnsi="Times New Roman"/>
          <w:szCs w:val="24"/>
        </w:rPr>
        <w:t>Zasady postępowania Komisji:</w:t>
      </w:r>
    </w:p>
    <w:p>
      <w:pPr>
        <w:pStyle w:val="Tretekstu"/>
        <w:numPr>
          <w:ilvl w:val="0"/>
          <w:numId w:val="17"/>
        </w:numPr>
        <w:tabs>
          <w:tab w:val="clear" w:pos="708"/>
        </w:tabs>
        <w:spacing w:before="120" w:after="0"/>
        <w:ind w:left="1418" w:hanging="425"/>
        <w:contextualSpacing/>
        <w:rPr>
          <w:rFonts w:ascii="Times New Roman" w:hAnsi="Times New Roman"/>
          <w:szCs w:val="24"/>
        </w:rPr>
      </w:pPr>
      <w:r>
        <w:rPr>
          <w:rFonts w:ascii="Times New Roman" w:hAnsi="Times New Roman"/>
          <w:szCs w:val="24"/>
        </w:rPr>
        <w:t>Komisja ma obowiązek traktować wszelkie materiały i informacje otrzymane w związku z postępowaniem jako poufne,</w:t>
      </w:r>
    </w:p>
    <w:p>
      <w:pPr>
        <w:pStyle w:val="Tretekstu"/>
        <w:numPr>
          <w:ilvl w:val="0"/>
          <w:numId w:val="17"/>
        </w:numPr>
        <w:tabs>
          <w:tab w:val="clear" w:pos="708"/>
        </w:tabs>
        <w:spacing w:before="120" w:after="0"/>
        <w:ind w:left="1418" w:hanging="425"/>
        <w:contextualSpacing/>
        <w:rPr>
          <w:rFonts w:ascii="Times New Roman" w:hAnsi="Times New Roman"/>
          <w:spacing w:val="-2"/>
          <w:szCs w:val="24"/>
        </w:rPr>
      </w:pPr>
      <w:r>
        <w:rPr>
          <w:rFonts w:ascii="Times New Roman" w:hAnsi="Times New Roman"/>
          <w:spacing w:val="-2"/>
          <w:szCs w:val="24"/>
        </w:rPr>
        <w:t>Komisja ma obowiązek działać obiektywnie, wnikliwie i starannie, mając na względzie dobro Miasta i Gminy Połaniec,</w:t>
      </w:r>
    </w:p>
    <w:p>
      <w:pPr>
        <w:pStyle w:val="Tretekstu"/>
        <w:numPr>
          <w:ilvl w:val="0"/>
          <w:numId w:val="17"/>
        </w:numPr>
        <w:tabs>
          <w:tab w:val="clear" w:pos="708"/>
        </w:tabs>
        <w:spacing w:before="120" w:after="0"/>
        <w:ind w:left="1418" w:hanging="425"/>
        <w:contextualSpacing/>
        <w:rPr>
          <w:rFonts w:ascii="Times New Roman" w:hAnsi="Times New Roman"/>
          <w:szCs w:val="24"/>
        </w:rPr>
      </w:pPr>
      <w:r>
        <w:rPr>
          <w:rFonts w:ascii="Times New Roman" w:hAnsi="Times New Roman"/>
          <w:szCs w:val="24"/>
        </w:rPr>
        <w:t xml:space="preserve">członkowie Komisji podpisują stosowne oświadczenie o braku powiązań osobistych </w:t>
        <w:br/>
        <w:t xml:space="preserve">i majątkowych z którymkolwiek z Oferentów (treść określona </w:t>
      </w:r>
      <w:r>
        <w:rPr>
          <w:rFonts w:ascii="Times New Roman" w:hAnsi="Times New Roman"/>
          <w:b/>
          <w:szCs w:val="24"/>
        </w:rPr>
        <w:t>w załączniku Nr 1do Regulaminu przetargu</w:t>
      </w:r>
      <w:r>
        <w:rPr>
          <w:rFonts w:ascii="Times New Roman" w:hAnsi="Times New Roman"/>
          <w:szCs w:val="24"/>
        </w:rPr>
        <w:t>),</w:t>
      </w:r>
    </w:p>
    <w:p>
      <w:pPr>
        <w:pStyle w:val="Tretekstu"/>
        <w:numPr>
          <w:ilvl w:val="0"/>
          <w:numId w:val="17"/>
        </w:numPr>
        <w:tabs>
          <w:tab w:val="clear" w:pos="708"/>
        </w:tabs>
        <w:spacing w:before="120" w:after="0"/>
        <w:ind w:left="1418" w:hanging="425"/>
        <w:contextualSpacing/>
        <w:rPr>
          <w:rFonts w:ascii="Times New Roman" w:hAnsi="Times New Roman"/>
          <w:spacing w:val="-2"/>
          <w:szCs w:val="24"/>
        </w:rPr>
      </w:pPr>
      <w:r>
        <w:rPr>
          <w:rFonts w:ascii="Times New Roman" w:hAnsi="Times New Roman"/>
          <w:spacing w:val="-2"/>
          <w:szCs w:val="24"/>
        </w:rPr>
        <w:t>w przypadku stwierdzenia, że członek Komisji jest powiązany z którymkolwiek Oferentem, jest on obowiązany bezzwłocznie złożyć rezygnację z udziału Komisji Przetargowej,</w:t>
      </w:r>
    </w:p>
    <w:p>
      <w:pPr>
        <w:pStyle w:val="Tretekstu"/>
        <w:numPr>
          <w:ilvl w:val="0"/>
          <w:numId w:val="17"/>
        </w:numPr>
        <w:tabs>
          <w:tab w:val="clear" w:pos="708"/>
        </w:tabs>
        <w:spacing w:before="120" w:after="0"/>
        <w:ind w:left="1418" w:hanging="425"/>
        <w:contextualSpacing/>
        <w:rPr>
          <w:rFonts w:ascii="Times New Roman" w:hAnsi="Times New Roman"/>
          <w:szCs w:val="24"/>
        </w:rPr>
      </w:pPr>
      <w:r>
        <w:rPr>
          <w:rFonts w:ascii="Times New Roman" w:hAnsi="Times New Roman"/>
          <w:szCs w:val="24"/>
        </w:rPr>
        <w:t xml:space="preserve">Oferenci/ich pełnomocnicy/reprezentanci składają oświadczenie o braku powiązań w rozumieniu § 9 Rozporządzenia z członkami Komisji Przetargowej (treść określona w </w:t>
      </w:r>
      <w:r>
        <w:rPr>
          <w:rFonts w:ascii="Times New Roman" w:hAnsi="Times New Roman"/>
          <w:b/>
          <w:szCs w:val="24"/>
        </w:rPr>
        <w:t>załączniku Nr 4 do Warunków przetargu</w:t>
      </w:r>
      <w:r>
        <w:rPr>
          <w:rFonts w:ascii="Times New Roman" w:hAnsi="Times New Roman"/>
          <w:szCs w:val="24"/>
        </w:rPr>
        <w:t>),</w:t>
      </w:r>
    </w:p>
    <w:p>
      <w:pPr>
        <w:pStyle w:val="Tretekstu"/>
        <w:numPr>
          <w:ilvl w:val="0"/>
          <w:numId w:val="16"/>
        </w:numPr>
        <w:tabs>
          <w:tab w:val="clear" w:pos="708"/>
        </w:tabs>
        <w:spacing w:before="0" w:after="0"/>
        <w:ind w:left="993" w:hanging="357"/>
        <w:contextualSpacing/>
        <w:rPr>
          <w:rFonts w:ascii="Times New Roman" w:hAnsi="Times New Roman"/>
          <w:szCs w:val="24"/>
        </w:rPr>
      </w:pPr>
      <w:r>
        <w:rPr>
          <w:rFonts w:ascii="Times New Roman" w:hAnsi="Times New Roman"/>
          <w:szCs w:val="24"/>
        </w:rPr>
        <w:t xml:space="preserve">Przetarg może zostać przeprowadzony przy udziale jedynie w przypadku, gdy uczestniczy </w:t>
        <w:br/>
        <w:t>w nim co najmniej czterech członków Komisji.</w:t>
      </w:r>
    </w:p>
    <w:p>
      <w:pPr>
        <w:pStyle w:val="Tretekstu"/>
        <w:numPr>
          <w:ilvl w:val="0"/>
          <w:numId w:val="16"/>
        </w:numPr>
        <w:tabs>
          <w:tab w:val="clear" w:pos="708"/>
        </w:tabs>
        <w:spacing w:before="0" w:after="0"/>
        <w:ind w:left="993" w:hanging="357"/>
        <w:contextualSpacing/>
        <w:rPr>
          <w:rFonts w:ascii="Times New Roman" w:hAnsi="Times New Roman"/>
          <w:szCs w:val="24"/>
        </w:rPr>
      </w:pPr>
      <w:r>
        <w:rPr>
          <w:rFonts w:ascii="Times New Roman" w:hAnsi="Times New Roman"/>
          <w:szCs w:val="24"/>
        </w:rPr>
        <w:t>Do zadań Komisji wykonywanych w trakcie postępowania przetargowego należy również:</w:t>
      </w:r>
    </w:p>
    <w:p>
      <w:pPr>
        <w:pStyle w:val="Tretekstu"/>
        <w:numPr>
          <w:ilvl w:val="0"/>
          <w:numId w:val="29"/>
        </w:numPr>
        <w:spacing w:before="0" w:after="0"/>
        <w:ind w:left="1418" w:hanging="425"/>
        <w:contextualSpacing/>
        <w:rPr>
          <w:rFonts w:ascii="Times New Roman" w:hAnsi="Times New Roman"/>
          <w:szCs w:val="24"/>
        </w:rPr>
      </w:pPr>
      <w:r>
        <w:rPr>
          <w:rFonts w:ascii="Times New Roman" w:hAnsi="Times New Roman"/>
          <w:szCs w:val="24"/>
        </w:rPr>
        <w:t>powoływanie, w miarę potrzeby, niezależnych konsultantów dla dokonania analiz i oceny ofert złożonych w przetargu pisemnym,</w:t>
      </w:r>
    </w:p>
    <w:p>
      <w:pPr>
        <w:pStyle w:val="Tretekstu"/>
        <w:numPr>
          <w:ilvl w:val="0"/>
          <w:numId w:val="29"/>
        </w:numPr>
        <w:spacing w:before="0" w:after="0"/>
        <w:ind w:left="1418" w:hanging="425"/>
        <w:contextualSpacing/>
        <w:rPr>
          <w:rFonts w:ascii="Times New Roman" w:hAnsi="Times New Roman"/>
          <w:szCs w:val="24"/>
        </w:rPr>
      </w:pPr>
      <w:r>
        <w:rPr>
          <w:rFonts w:ascii="Times New Roman" w:hAnsi="Times New Roman"/>
          <w:szCs w:val="24"/>
        </w:rPr>
        <w:t>uzyskiwanie dodatkowych, pisemnych wyjaśnień od Oferentów, w celu umożliwienia Komisji prawidłowej oceny złożonych ofert.</w:t>
      </w:r>
    </w:p>
    <w:p>
      <w:pPr>
        <w:pStyle w:val="ListParagraph"/>
        <w:numPr>
          <w:ilvl w:val="0"/>
          <w:numId w:val="27"/>
        </w:numPr>
        <w:overflowPunct w:val="true"/>
        <w:spacing w:before="240" w:after="240"/>
        <w:ind w:left="425" w:hanging="425"/>
        <w:contextualSpacing/>
        <w:jc w:val="both"/>
        <w:rPr>
          <w:b/>
          <w:b/>
          <w:bCs/>
        </w:rPr>
      </w:pPr>
      <w:r>
        <w:rPr>
          <w:b/>
          <w:bCs/>
        </w:rPr>
        <w:t>Część jawna przetargu</w:t>
      </w:r>
    </w:p>
    <w:p>
      <w:pPr>
        <w:pStyle w:val="Normal"/>
        <w:numPr>
          <w:ilvl w:val="0"/>
          <w:numId w:val="18"/>
        </w:numPr>
        <w:overflowPunct w:val="true"/>
        <w:spacing w:lineRule="auto" w:line="240" w:before="0" w:after="0"/>
        <w:ind w:left="993" w:hanging="360"/>
        <w:contextualSpacing/>
        <w:jc w:val="both"/>
        <w:rPr>
          <w:rFonts w:ascii="Times New Roman" w:hAnsi="Times New Roman" w:cs="Times New Roman"/>
          <w:sz w:val="24"/>
          <w:szCs w:val="24"/>
        </w:rPr>
      </w:pPr>
      <w:r>
        <w:rPr>
          <w:rFonts w:cs="Times New Roman" w:ascii="Times New Roman" w:hAnsi="Times New Roman"/>
          <w:sz w:val="24"/>
          <w:szCs w:val="24"/>
        </w:rPr>
        <w:t>W części jawnej przetargu mogą brać udział Oferenci lub ich pełnomocnicy/reprezentanci</w:t>
      </w:r>
    </w:p>
    <w:p>
      <w:pPr>
        <w:pStyle w:val="Normal"/>
        <w:numPr>
          <w:ilvl w:val="0"/>
          <w:numId w:val="18"/>
        </w:numPr>
        <w:overflowPunct w:val="true"/>
        <w:spacing w:lineRule="auto" w:line="240" w:before="0" w:after="0"/>
        <w:ind w:left="993" w:hanging="360"/>
        <w:contextualSpacing/>
        <w:jc w:val="both"/>
        <w:rPr>
          <w:rFonts w:ascii="Times New Roman" w:hAnsi="Times New Roman" w:cs="Times New Roman"/>
          <w:sz w:val="24"/>
          <w:szCs w:val="24"/>
        </w:rPr>
      </w:pPr>
      <w:r>
        <w:rPr>
          <w:rFonts w:cs="Times New Roman" w:ascii="Times New Roman" w:hAnsi="Times New Roman"/>
          <w:sz w:val="24"/>
          <w:szCs w:val="24"/>
        </w:rPr>
        <w:t>Komisja dokonuje następujących czynności:</w:t>
      </w:r>
    </w:p>
    <w:p>
      <w:pPr>
        <w:pStyle w:val="Tretekstu"/>
        <w:numPr>
          <w:ilvl w:val="0"/>
          <w:numId w:val="19"/>
        </w:numPr>
        <w:tabs>
          <w:tab w:val="clear" w:pos="708"/>
        </w:tabs>
        <w:spacing w:before="0" w:after="0"/>
        <w:ind w:left="1418" w:hanging="425"/>
        <w:contextualSpacing/>
        <w:rPr>
          <w:rFonts w:ascii="Times New Roman" w:hAnsi="Times New Roman"/>
          <w:szCs w:val="24"/>
        </w:rPr>
      </w:pPr>
      <w:r>
        <w:rPr>
          <w:rFonts w:ascii="Times New Roman" w:hAnsi="Times New Roman"/>
          <w:szCs w:val="24"/>
        </w:rPr>
        <w:t>podaje liczbę otrzymanych ofert oraz sprawdza dowody wpłaty wadium,</w:t>
      </w:r>
    </w:p>
    <w:p>
      <w:pPr>
        <w:pStyle w:val="Tretekstu"/>
        <w:numPr>
          <w:ilvl w:val="0"/>
          <w:numId w:val="19"/>
        </w:numPr>
        <w:tabs>
          <w:tab w:val="clear" w:pos="708"/>
        </w:tabs>
        <w:spacing w:before="0" w:after="0"/>
        <w:ind w:left="1418" w:hanging="425"/>
        <w:contextualSpacing/>
        <w:rPr>
          <w:rFonts w:ascii="Times New Roman" w:hAnsi="Times New Roman"/>
          <w:szCs w:val="24"/>
        </w:rPr>
      </w:pPr>
      <w:r>
        <w:rPr>
          <w:rFonts w:ascii="Times New Roman" w:hAnsi="Times New Roman"/>
          <w:szCs w:val="24"/>
        </w:rPr>
        <w:t>otwiera koperty z ofertami w kolejności ich złożenia,</w:t>
      </w:r>
    </w:p>
    <w:p>
      <w:pPr>
        <w:pStyle w:val="Tretekstu"/>
        <w:numPr>
          <w:ilvl w:val="0"/>
          <w:numId w:val="19"/>
        </w:numPr>
        <w:tabs>
          <w:tab w:val="clear" w:pos="708"/>
        </w:tabs>
        <w:spacing w:before="0" w:after="0"/>
        <w:ind w:left="1418" w:hanging="425"/>
        <w:contextualSpacing/>
        <w:rPr>
          <w:rFonts w:ascii="Times New Roman" w:hAnsi="Times New Roman"/>
          <w:szCs w:val="24"/>
        </w:rPr>
      </w:pPr>
      <w:r>
        <w:rPr>
          <w:rFonts w:ascii="Times New Roman" w:hAnsi="Times New Roman"/>
          <w:szCs w:val="24"/>
        </w:rPr>
        <w:t>sprawdza kompletność zgłoszonych ofert oraz tożsamość osób, które złożyły ofertę,</w:t>
      </w:r>
    </w:p>
    <w:p>
      <w:pPr>
        <w:pStyle w:val="Tretekstu"/>
        <w:numPr>
          <w:ilvl w:val="0"/>
          <w:numId w:val="19"/>
        </w:numPr>
        <w:tabs>
          <w:tab w:val="clear" w:pos="708"/>
        </w:tabs>
        <w:spacing w:before="0" w:after="0"/>
        <w:ind w:left="1418" w:hanging="425"/>
        <w:contextualSpacing/>
        <w:rPr>
          <w:rFonts w:ascii="Times New Roman" w:hAnsi="Times New Roman"/>
          <w:szCs w:val="24"/>
        </w:rPr>
      </w:pPr>
      <w:r>
        <w:rPr>
          <w:rFonts w:ascii="Times New Roman" w:hAnsi="Times New Roman"/>
          <w:szCs w:val="24"/>
        </w:rPr>
        <w:t>przyjmuje wyjaśnienia lub oświadczenia zgłoszone przez Oferentów,</w:t>
      </w:r>
    </w:p>
    <w:p>
      <w:pPr>
        <w:pStyle w:val="Tretekstu"/>
        <w:numPr>
          <w:ilvl w:val="0"/>
          <w:numId w:val="19"/>
        </w:numPr>
        <w:tabs>
          <w:tab w:val="clear" w:pos="708"/>
        </w:tabs>
        <w:spacing w:before="0" w:after="0"/>
        <w:ind w:left="1418" w:hanging="425"/>
        <w:contextualSpacing/>
        <w:rPr>
          <w:rFonts w:ascii="Times New Roman" w:hAnsi="Times New Roman"/>
          <w:szCs w:val="24"/>
        </w:rPr>
      </w:pPr>
      <w:r>
        <w:rPr>
          <w:rFonts w:ascii="Times New Roman" w:hAnsi="Times New Roman"/>
          <w:szCs w:val="24"/>
        </w:rPr>
        <w:t xml:space="preserve">kwalifikuje oferty do części niejawnej przetargu, </w:t>
      </w:r>
    </w:p>
    <w:p>
      <w:pPr>
        <w:pStyle w:val="Tretekstu"/>
        <w:numPr>
          <w:ilvl w:val="0"/>
          <w:numId w:val="19"/>
        </w:numPr>
        <w:tabs>
          <w:tab w:val="clear" w:pos="708"/>
        </w:tabs>
        <w:spacing w:before="0" w:after="0"/>
        <w:ind w:left="1418" w:hanging="425"/>
        <w:contextualSpacing/>
        <w:rPr>
          <w:rFonts w:ascii="Times New Roman" w:hAnsi="Times New Roman"/>
          <w:szCs w:val="24"/>
        </w:rPr>
      </w:pPr>
      <w:r>
        <w:rPr>
          <w:rFonts w:ascii="Times New Roman" w:hAnsi="Times New Roman"/>
          <w:szCs w:val="24"/>
        </w:rPr>
        <w:t>zawiadamia o terminie i miejscu części niejawnej przetargu,</w:t>
      </w:r>
    </w:p>
    <w:p>
      <w:pPr>
        <w:pStyle w:val="Tretekstu"/>
        <w:numPr>
          <w:ilvl w:val="0"/>
          <w:numId w:val="19"/>
        </w:numPr>
        <w:tabs>
          <w:tab w:val="clear" w:pos="708"/>
        </w:tabs>
        <w:spacing w:before="120" w:after="0"/>
        <w:ind w:left="1418" w:hanging="425"/>
        <w:contextualSpacing/>
        <w:rPr>
          <w:rFonts w:ascii="Times New Roman" w:hAnsi="Times New Roman"/>
          <w:szCs w:val="24"/>
        </w:rPr>
      </w:pPr>
      <w:r>
        <w:rPr>
          <w:rFonts w:ascii="Times New Roman" w:hAnsi="Times New Roman"/>
          <w:szCs w:val="24"/>
        </w:rPr>
        <w:t>zawiadamia  o przewidywanym terminie zamknięcia przetargu.</w:t>
      </w:r>
    </w:p>
    <w:p>
      <w:pPr>
        <w:pStyle w:val="Tretekstu"/>
        <w:numPr>
          <w:ilvl w:val="0"/>
          <w:numId w:val="18"/>
        </w:numPr>
        <w:spacing w:before="120" w:after="0"/>
        <w:ind w:left="993" w:hanging="426"/>
        <w:contextualSpacing/>
        <w:rPr>
          <w:rFonts w:ascii="Times New Roman" w:hAnsi="Times New Roman"/>
          <w:spacing w:val="-4"/>
          <w:szCs w:val="24"/>
        </w:rPr>
      </w:pPr>
      <w:r>
        <w:rPr>
          <w:rFonts w:ascii="Times New Roman" w:hAnsi="Times New Roman"/>
          <w:spacing w:val="-4"/>
          <w:szCs w:val="24"/>
        </w:rPr>
        <w:t xml:space="preserve">Komisja kwalifikuje do części niejawnej przetargu wyłącznie oferty złożone w formie </w:t>
        <w:br/>
        <w:t xml:space="preserve">i treści </w:t>
      </w:r>
      <w:r>
        <w:rPr>
          <w:rFonts w:ascii="Times New Roman" w:hAnsi="Times New Roman"/>
          <w:spacing w:val="-2"/>
          <w:szCs w:val="24"/>
        </w:rPr>
        <w:t xml:space="preserve">określonej w dokumentach przetargowych. Za ofertę zgodną z warunkami przetargu uważa się taką, która odpowiada wszystkim warunkom stawianym </w:t>
        <w:br/>
        <w:t xml:space="preserve">w dokumentach </w:t>
      </w:r>
      <w:r>
        <w:rPr>
          <w:rFonts w:ascii="Times New Roman" w:hAnsi="Times New Roman"/>
          <w:szCs w:val="24"/>
        </w:rPr>
        <w:t>przetargowych i w przepisach prawa oraz nie będzie zawierać niejasności, których Oferent nie wyjaśni.</w:t>
      </w:r>
    </w:p>
    <w:p>
      <w:pPr>
        <w:pStyle w:val="Tretekstu"/>
        <w:numPr>
          <w:ilvl w:val="0"/>
          <w:numId w:val="18"/>
        </w:numPr>
        <w:spacing w:before="120" w:after="0"/>
        <w:ind w:left="993" w:hanging="426"/>
        <w:contextualSpacing/>
        <w:rPr>
          <w:rFonts w:ascii="Times New Roman" w:hAnsi="Times New Roman"/>
          <w:szCs w:val="24"/>
        </w:rPr>
      </w:pPr>
      <w:r>
        <w:rPr>
          <w:rFonts w:ascii="Times New Roman" w:hAnsi="Times New Roman"/>
          <w:szCs w:val="24"/>
        </w:rPr>
        <w:t>Komisja odmawia zakwalifikowania ofert do części niejawnej przetargu, jeżeli:</w:t>
      </w:r>
    </w:p>
    <w:p>
      <w:pPr>
        <w:pStyle w:val="Tretekstu"/>
        <w:numPr>
          <w:ilvl w:val="0"/>
          <w:numId w:val="30"/>
        </w:numPr>
        <w:spacing w:before="0" w:after="0"/>
        <w:ind w:left="1418" w:hanging="425"/>
        <w:contextualSpacing/>
        <w:rPr>
          <w:rFonts w:ascii="Times New Roman" w:hAnsi="Times New Roman"/>
          <w:szCs w:val="24"/>
        </w:rPr>
      </w:pPr>
      <w:r>
        <w:rPr>
          <w:rFonts w:ascii="Times New Roman" w:hAnsi="Times New Roman"/>
          <w:szCs w:val="24"/>
        </w:rPr>
        <w:t>nie odpowiadają warunkom przetargu,</w:t>
      </w:r>
    </w:p>
    <w:p>
      <w:pPr>
        <w:pStyle w:val="Tretekstu"/>
        <w:numPr>
          <w:ilvl w:val="0"/>
          <w:numId w:val="30"/>
        </w:numPr>
        <w:spacing w:before="0" w:after="0"/>
        <w:ind w:left="1418" w:hanging="425"/>
        <w:contextualSpacing/>
        <w:rPr>
          <w:rFonts w:ascii="Times New Roman" w:hAnsi="Times New Roman"/>
          <w:szCs w:val="24"/>
        </w:rPr>
      </w:pPr>
      <w:r>
        <w:rPr>
          <w:rFonts w:ascii="Times New Roman" w:hAnsi="Times New Roman"/>
          <w:szCs w:val="24"/>
        </w:rPr>
        <w:t>zostały złożone po wyznaczonym terminie,</w:t>
      </w:r>
    </w:p>
    <w:p>
      <w:pPr>
        <w:pStyle w:val="Tretekstu"/>
        <w:numPr>
          <w:ilvl w:val="0"/>
          <w:numId w:val="30"/>
        </w:numPr>
        <w:spacing w:before="0" w:after="0"/>
        <w:ind w:left="1418" w:hanging="425"/>
        <w:contextualSpacing/>
        <w:rPr>
          <w:rFonts w:ascii="Times New Roman" w:hAnsi="Times New Roman"/>
          <w:szCs w:val="24"/>
        </w:rPr>
      </w:pPr>
      <w:r>
        <w:rPr>
          <w:rFonts w:ascii="Times New Roman" w:hAnsi="Times New Roman"/>
          <w:szCs w:val="24"/>
        </w:rPr>
        <w:t>oferowana cena nie jest wyższa od ceny wywoławczej,</w:t>
      </w:r>
    </w:p>
    <w:p>
      <w:pPr>
        <w:pStyle w:val="Tretekstu"/>
        <w:numPr>
          <w:ilvl w:val="0"/>
          <w:numId w:val="30"/>
        </w:numPr>
        <w:spacing w:before="0" w:after="0"/>
        <w:ind w:left="1418" w:hanging="425"/>
        <w:contextualSpacing/>
        <w:rPr>
          <w:rFonts w:ascii="Times New Roman" w:hAnsi="Times New Roman"/>
          <w:szCs w:val="24"/>
        </w:rPr>
      </w:pPr>
      <w:r>
        <w:rPr>
          <w:rFonts w:ascii="Times New Roman" w:hAnsi="Times New Roman"/>
          <w:szCs w:val="24"/>
        </w:rPr>
        <w:t xml:space="preserve">są nieczytelne lub budzą wątpliwości co do ich treści mimo wezwania Oferenta do złożenia wyjaśnień i rzetelności danych (np. zawierają przeróbki </w:t>
        <w:br/>
        <w:t>i skreślenia), są niekompletne,</w:t>
      </w:r>
    </w:p>
    <w:p>
      <w:pPr>
        <w:pStyle w:val="Tretekstu"/>
        <w:numPr>
          <w:ilvl w:val="0"/>
          <w:numId w:val="30"/>
        </w:numPr>
        <w:spacing w:before="0" w:after="0"/>
        <w:ind w:left="1418" w:hanging="425"/>
        <w:contextualSpacing/>
        <w:rPr>
          <w:rFonts w:ascii="Times New Roman" w:hAnsi="Times New Roman"/>
          <w:szCs w:val="24"/>
        </w:rPr>
      </w:pPr>
      <w:r>
        <w:rPr>
          <w:rFonts w:ascii="Times New Roman" w:hAnsi="Times New Roman"/>
          <w:szCs w:val="24"/>
        </w:rPr>
        <w:t xml:space="preserve">nie zawierają danych wymaganych jako treść oferty, wymienionych </w:t>
        <w:br/>
        <w:t>w ogłoszeniu przetargowym,</w:t>
      </w:r>
    </w:p>
    <w:p>
      <w:pPr>
        <w:pStyle w:val="Tretekstu"/>
        <w:numPr>
          <w:ilvl w:val="0"/>
          <w:numId w:val="30"/>
        </w:numPr>
        <w:spacing w:before="0" w:after="0"/>
        <w:ind w:left="1418" w:hanging="425"/>
        <w:contextualSpacing/>
        <w:rPr>
          <w:rFonts w:ascii="Times New Roman" w:hAnsi="Times New Roman"/>
          <w:szCs w:val="24"/>
        </w:rPr>
      </w:pPr>
      <w:r>
        <w:rPr>
          <w:rFonts w:ascii="Times New Roman" w:hAnsi="Times New Roman"/>
          <w:szCs w:val="24"/>
        </w:rPr>
        <w:t>do ofert nie dołączono dowodów wpłaty wadium.</w:t>
      </w:r>
    </w:p>
    <w:p>
      <w:pPr>
        <w:pStyle w:val="ListParagraph"/>
        <w:numPr>
          <w:ilvl w:val="0"/>
          <w:numId w:val="31"/>
        </w:numPr>
        <w:overflowPunct w:val="true"/>
        <w:ind w:left="993" w:hanging="426"/>
        <w:jc w:val="both"/>
        <w:rPr>
          <w:b/>
          <w:b/>
          <w:bCs/>
        </w:rPr>
      </w:pPr>
      <w:r>
        <w:rPr/>
        <w:t>Komisja zawiadamia na piśmie Oferenta, którego oferta nie została zakwalifikowana do części niejawnej przetargu.</w:t>
      </w:r>
    </w:p>
    <w:p>
      <w:pPr>
        <w:pStyle w:val="ListParagraph"/>
        <w:numPr>
          <w:ilvl w:val="0"/>
          <w:numId w:val="31"/>
        </w:numPr>
        <w:overflowPunct w:val="true"/>
        <w:ind w:left="993" w:hanging="426"/>
        <w:jc w:val="both"/>
        <w:rPr>
          <w:b/>
          <w:b/>
          <w:bCs/>
        </w:rPr>
      </w:pPr>
      <w:r>
        <w:rPr/>
        <w:t xml:space="preserve">Komisja może wnioskować o ponowne ogłoszenie przetargu w przypadku </w:t>
      </w:r>
      <w:r>
        <w:rPr>
          <w:spacing w:val="4"/>
        </w:rPr>
        <w:t>niezakwalifikowania żadnej oferty do części niejawnej przetargu.</w:t>
      </w:r>
    </w:p>
    <w:p>
      <w:pPr>
        <w:pStyle w:val="ListParagraph"/>
        <w:numPr>
          <w:ilvl w:val="0"/>
          <w:numId w:val="31"/>
        </w:numPr>
        <w:overflowPunct w:val="true"/>
        <w:ind w:left="993" w:hanging="426"/>
        <w:jc w:val="both"/>
        <w:rPr>
          <w:b/>
          <w:b/>
          <w:bCs/>
        </w:rPr>
      </w:pPr>
      <w:r>
        <w:rPr>
          <w:spacing w:val="4"/>
        </w:rPr>
        <w:t>W razie potrzeby część jawna może zostać przedłużona o kolejny dzień bądź dni celem umożliwienia Oferentom złożenia wyjaśnień do treści oferty. Wyjaśnienia nie mogą prowadzić do istotnej zmiany treści oferty</w:t>
      </w:r>
    </w:p>
    <w:p>
      <w:pPr>
        <w:pStyle w:val="Tretekstu"/>
        <w:numPr>
          <w:ilvl w:val="0"/>
          <w:numId w:val="27"/>
        </w:numPr>
        <w:spacing w:before="240" w:after="240"/>
        <w:ind w:left="425" w:hanging="425"/>
        <w:contextualSpacing/>
        <w:rPr>
          <w:rFonts w:ascii="Times New Roman" w:hAnsi="Times New Roman"/>
          <w:b/>
          <w:b/>
          <w:bCs/>
          <w:szCs w:val="24"/>
        </w:rPr>
      </w:pPr>
      <w:r>
        <w:rPr>
          <w:rFonts w:ascii="Times New Roman" w:hAnsi="Times New Roman"/>
          <w:b/>
          <w:bCs/>
          <w:szCs w:val="24"/>
        </w:rPr>
        <w:t>Część niejawna przetargu</w:t>
      </w:r>
    </w:p>
    <w:p>
      <w:pPr>
        <w:pStyle w:val="Normal"/>
        <w:numPr>
          <w:ilvl w:val="0"/>
          <w:numId w:val="20"/>
        </w:numPr>
        <w:overflowPunct w:val="true"/>
        <w:spacing w:lineRule="auto" w:line="240" w:before="0" w:after="0"/>
        <w:ind w:left="993" w:hanging="357"/>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Rozpoczęcie części niejawnej przetargu winno nastąpić nie później niż w ciągu </w:t>
      </w:r>
      <w:r>
        <w:rPr>
          <w:rFonts w:cs="Times New Roman" w:ascii="Times New Roman" w:hAnsi="Times New Roman"/>
          <w:b/>
          <w:sz w:val="24"/>
          <w:szCs w:val="24"/>
        </w:rPr>
        <w:t xml:space="preserve">7 dni </w:t>
      </w:r>
      <w:r>
        <w:rPr>
          <w:rFonts w:cs="Times New Roman" w:ascii="Times New Roman" w:hAnsi="Times New Roman"/>
          <w:sz w:val="24"/>
          <w:szCs w:val="24"/>
        </w:rPr>
        <w:t xml:space="preserve">od dnia zakończenia części jawnej, z zastrzeżeniem pkt 7.6. powyżej. </w:t>
      </w:r>
    </w:p>
    <w:p>
      <w:pPr>
        <w:pStyle w:val="Normal"/>
        <w:numPr>
          <w:ilvl w:val="0"/>
          <w:numId w:val="20"/>
        </w:numPr>
        <w:overflowPunct w:val="true"/>
        <w:spacing w:lineRule="auto" w:line="240" w:before="0" w:after="0"/>
        <w:ind w:left="993" w:hanging="360"/>
        <w:contextualSpacing/>
        <w:jc w:val="both"/>
        <w:textAlignment w:val="baseline"/>
        <w:rPr>
          <w:rFonts w:ascii="Times New Roman" w:hAnsi="Times New Roman" w:cs="Times New Roman"/>
          <w:spacing w:val="-2"/>
          <w:sz w:val="24"/>
          <w:szCs w:val="24"/>
        </w:rPr>
      </w:pPr>
      <w:r>
        <w:rPr>
          <w:rFonts w:cs="Times New Roman" w:ascii="Times New Roman" w:hAnsi="Times New Roman"/>
          <w:spacing w:val="-2"/>
          <w:sz w:val="24"/>
          <w:szCs w:val="24"/>
        </w:rPr>
        <w:t>Komisja dokonuje wyboru najkorzystniejszej oferty przeprowadzając następujące czynności:</w:t>
      </w:r>
    </w:p>
    <w:p>
      <w:pPr>
        <w:pStyle w:val="Normal"/>
        <w:numPr>
          <w:ilvl w:val="0"/>
          <w:numId w:val="21"/>
        </w:numPr>
        <w:tabs>
          <w:tab w:val="clear" w:pos="708"/>
        </w:tabs>
        <w:overflowPunct w:val="true"/>
        <w:spacing w:lineRule="auto" w:line="240" w:before="0" w:after="0"/>
        <w:ind w:left="1418" w:hanging="425"/>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analizuje treść ofert,</w:t>
      </w:r>
    </w:p>
    <w:p>
      <w:pPr>
        <w:pStyle w:val="Normal"/>
        <w:numPr>
          <w:ilvl w:val="0"/>
          <w:numId w:val="21"/>
        </w:numPr>
        <w:overflowPunct w:val="true"/>
        <w:spacing w:lineRule="auto" w:line="240" w:before="0" w:after="0"/>
        <w:ind w:left="1418" w:hanging="425"/>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zapoznaje się z wynikami dodatkowych opinii i ekspertyz, w przypadku jeśli zostały zlecone,</w:t>
      </w:r>
    </w:p>
    <w:p>
      <w:pPr>
        <w:pStyle w:val="Normal"/>
        <w:numPr>
          <w:ilvl w:val="0"/>
          <w:numId w:val="21"/>
        </w:numPr>
        <w:overflowPunct w:val="true"/>
        <w:spacing w:lineRule="auto" w:line="240" w:before="0" w:after="0"/>
        <w:ind w:left="1418" w:hanging="425"/>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dokonuje wyboru najkorzystniejszej oferty w oparciu o kryteria i ich wagę punktową.</w:t>
      </w:r>
    </w:p>
    <w:p>
      <w:pPr>
        <w:pStyle w:val="Normal"/>
        <w:numPr>
          <w:ilvl w:val="0"/>
          <w:numId w:val="20"/>
        </w:numPr>
        <w:overflowPunct w:val="true"/>
        <w:spacing w:lineRule="auto" w:line="240" w:before="0" w:after="120"/>
        <w:ind w:left="993" w:hanging="357"/>
        <w:contextualSpacing/>
        <w:jc w:val="both"/>
        <w:textAlignment w:val="baseline"/>
        <w:rPr>
          <w:rFonts w:ascii="Times New Roman" w:hAnsi="Times New Roman" w:cs="Times New Roman"/>
          <w:sz w:val="24"/>
          <w:szCs w:val="24"/>
        </w:rPr>
      </w:pPr>
      <w:r>
        <w:rPr>
          <w:rFonts w:cs="Times New Roman" w:ascii="Times New Roman" w:hAnsi="Times New Roman"/>
          <w:sz w:val="24"/>
          <w:szCs w:val="24"/>
        </w:rPr>
        <w:t xml:space="preserve">Maksymalną wartość punktową poszczególnych kryteriów, zwaną wagą przypisaną kryterium, ustala się w wysokości: </w:t>
      </w:r>
    </w:p>
    <w:p>
      <w:pPr>
        <w:pStyle w:val="ListParagraph"/>
        <w:numPr>
          <w:ilvl w:val="0"/>
          <w:numId w:val="37"/>
        </w:numPr>
        <w:overflowPunct w:val="true"/>
        <w:spacing w:before="120" w:after="120"/>
        <w:ind w:left="1417" w:hanging="357"/>
        <w:contextualSpacing/>
        <w:jc w:val="both"/>
        <w:textAlignment w:val="baseline"/>
        <w:rPr>
          <w:b/>
          <w:b/>
        </w:rPr>
      </w:pPr>
      <w:r>
        <w:rPr>
          <w:b/>
        </w:rPr>
        <w:t>20% = 20 pkt  – oferowana cena,</w:t>
      </w:r>
    </w:p>
    <w:p>
      <w:pPr>
        <w:pStyle w:val="ListParagraph"/>
        <w:numPr>
          <w:ilvl w:val="0"/>
          <w:numId w:val="37"/>
        </w:numPr>
        <w:overflowPunct w:val="true"/>
        <w:spacing w:before="120" w:after="120"/>
        <w:ind w:left="1417" w:hanging="357"/>
        <w:contextualSpacing/>
        <w:jc w:val="both"/>
        <w:textAlignment w:val="baseline"/>
        <w:rPr>
          <w:b/>
          <w:b/>
        </w:rPr>
      </w:pPr>
      <w:r>
        <w:rPr>
          <w:b/>
        </w:rPr>
        <w:t>40% = 40 pkt – deklarowana liczba nowych miejsc pracy utworzonych na terenie inwestycji,</w:t>
      </w:r>
    </w:p>
    <w:p>
      <w:pPr>
        <w:pStyle w:val="ListParagraph"/>
        <w:numPr>
          <w:ilvl w:val="0"/>
          <w:numId w:val="37"/>
        </w:numPr>
        <w:overflowPunct w:val="true"/>
        <w:spacing w:before="120" w:after="0"/>
        <w:ind w:left="1417" w:hanging="357"/>
        <w:contextualSpacing/>
        <w:jc w:val="both"/>
        <w:textAlignment w:val="baseline"/>
        <w:rPr/>
      </w:pPr>
      <w:r>
        <w:rPr>
          <w:b/>
        </w:rPr>
        <w:t>40% =40 pkt  –</w:t>
      </w:r>
      <w:r>
        <w:rPr>
          <w:b/>
          <w:spacing w:val="-6"/>
        </w:rPr>
        <w:t>wielkość przedsięwzięcia wyrażona wysokością deklarowanych  nakładów inwestycyjnych</w:t>
      </w:r>
    </w:p>
    <w:p>
      <w:pPr>
        <w:pStyle w:val="ListParagraph"/>
        <w:ind w:left="2977" w:hanging="0"/>
        <w:jc w:val="both"/>
        <w:textAlignment w:val="baseline"/>
        <w:rPr/>
      </w:pPr>
      <w:r>
        <w:rPr/>
      </w:r>
    </w:p>
    <w:p>
      <w:pPr>
        <w:pStyle w:val="ListParagraph"/>
        <w:numPr>
          <w:ilvl w:val="0"/>
          <w:numId w:val="28"/>
        </w:numPr>
        <w:overflowPunct w:val="true"/>
        <w:spacing w:before="240" w:after="120"/>
        <w:ind w:left="992" w:hanging="425"/>
        <w:contextualSpacing/>
        <w:jc w:val="both"/>
        <w:textAlignment w:val="baseline"/>
        <w:rPr>
          <w:b/>
          <w:b/>
          <w:bCs/>
        </w:rPr>
      </w:pPr>
      <w:r>
        <w:rPr/>
        <w:t xml:space="preserve">Członkowie Komisji dokonują oceny każdej oferty oddzielnie, według kryteriów, </w:t>
        <w:br/>
        <w:t>o których mowa w pkt 3, w następujący sposób:</w:t>
      </w:r>
    </w:p>
    <w:p>
      <w:pPr>
        <w:pStyle w:val="Normal"/>
        <w:numPr>
          <w:ilvl w:val="0"/>
          <w:numId w:val="25"/>
        </w:numPr>
        <w:overflowPunct w:val="true"/>
        <w:spacing w:lineRule="auto" w:line="240" w:before="120" w:after="120"/>
        <w:ind w:left="1418" w:hanging="283"/>
        <w:contextualSpacing/>
        <w:jc w:val="both"/>
        <w:rPr>
          <w:rFonts w:ascii="Times New Roman" w:hAnsi="Times New Roman" w:cs="Times New Roman"/>
          <w:sz w:val="24"/>
          <w:szCs w:val="24"/>
        </w:rPr>
      </w:pPr>
      <w:r>
        <w:rPr>
          <w:rFonts w:cs="Times New Roman" w:ascii="Times New Roman" w:hAnsi="Times New Roman"/>
          <w:b/>
          <w:sz w:val="24"/>
          <w:szCs w:val="24"/>
          <w:u w:val="single"/>
        </w:rPr>
        <w:t>wartość punktowa w kryterium ceny</w:t>
      </w:r>
      <w:r>
        <w:rPr>
          <w:rFonts w:cs="Times New Roman" w:ascii="Times New Roman" w:hAnsi="Times New Roman"/>
          <w:sz w:val="24"/>
          <w:szCs w:val="24"/>
        </w:rPr>
        <w:t xml:space="preserve"> dla każdej ze złożonych ofert wyliczana jest w następujący sposób:</w:t>
      </w:r>
    </w:p>
    <w:p>
      <w:pPr>
        <w:pStyle w:val="ListParagraph"/>
        <w:numPr>
          <w:ilvl w:val="2"/>
          <w:numId w:val="27"/>
        </w:numPr>
        <w:overflowPunct w:val="true"/>
        <w:spacing w:before="120" w:after="120"/>
        <w:ind w:left="1701" w:hanging="284"/>
        <w:contextualSpacing/>
        <w:jc w:val="both"/>
        <w:textAlignment w:val="baseline"/>
        <w:rPr/>
      </w:pPr>
      <w:r>
        <w:rPr>
          <w:spacing w:val="-8"/>
        </w:rPr>
        <w:t>dla każdej złożonej oferty wylicza się odrębnie współczynnik ceny do powierzchni</w:t>
        <w:br/>
      </w:r>
      <w:r>
        <w:rPr/>
        <w:t>„</w:t>
      </w:r>
      <w:r>
        <w:rPr>
          <w:b/>
        </w:rPr>
        <w:t xml:space="preserve">zł za 1ha”  </w:t>
      </w:r>
      <w:r>
        <w:rPr/>
        <w:t>w następujący sposób:</w:t>
      </w:r>
    </w:p>
    <w:p>
      <w:pPr>
        <w:pStyle w:val="Normal"/>
        <w:spacing w:lineRule="auto" w:line="240" w:before="120" w:after="120"/>
        <w:ind w:left="1701" w:hanging="0"/>
        <w:contextualSpacing/>
        <w:rPr>
          <w:rFonts w:ascii="Times New Roman" w:hAnsi="Times New Roman" w:cs="Times New Roman"/>
          <w:b/>
          <w:b/>
          <w:sz w:val="24"/>
          <w:szCs w:val="24"/>
        </w:rPr>
      </w:pPr>
      <w:r>
        <w:rPr>
          <w:rFonts w:cs="Times New Roman" w:ascii="Times New Roman" w:hAnsi="Times New Roman"/>
          <w:b/>
          <w:sz w:val="24"/>
          <w:szCs w:val="24"/>
        </w:rPr>
        <w:t>zaoferowana cena w ofercie podzielona przez powierzchnię gruntu, na który została złożona oferta  =  współczynnik „zł za 1 ha”,</w:t>
      </w:r>
    </w:p>
    <w:p>
      <w:pPr>
        <w:pStyle w:val="ListParagraph"/>
        <w:numPr>
          <w:ilvl w:val="2"/>
          <w:numId w:val="27"/>
        </w:numPr>
        <w:overflowPunct w:val="true"/>
        <w:spacing w:before="120" w:after="120"/>
        <w:ind w:left="1701" w:hanging="284"/>
        <w:contextualSpacing/>
        <w:jc w:val="both"/>
        <w:rPr/>
      </w:pPr>
      <w:r>
        <w:rPr>
          <w:spacing w:val="-2"/>
        </w:rPr>
        <w:t>oferta z wyliczonym najwyższym współczynnikiem ceny do powierzchni otrzymuje maksymalną wartość punktową</w:t>
      </w:r>
      <w:r>
        <w:rPr/>
        <w:t xml:space="preserve"> –</w:t>
      </w:r>
      <w:r>
        <w:rPr>
          <w:b/>
        </w:rPr>
        <w:t>20 pkt</w:t>
      </w:r>
      <w:r>
        <w:rPr/>
        <w:t>,</w:t>
      </w:r>
    </w:p>
    <w:p>
      <w:pPr>
        <w:pStyle w:val="ListParagraph"/>
        <w:numPr>
          <w:ilvl w:val="2"/>
          <w:numId w:val="27"/>
        </w:numPr>
        <w:overflowPunct w:val="true"/>
        <w:spacing w:before="120" w:after="120"/>
        <w:ind w:left="1701" w:hanging="284"/>
        <w:contextualSpacing/>
        <w:jc w:val="both"/>
        <w:textAlignment w:val="baseline"/>
        <w:rPr/>
      </w:pPr>
      <w:r>
        <w:rPr/>
        <w:t xml:space="preserve">dla pozostałych złożonych ofert </w:t>
      </w:r>
      <w:r>
        <w:rPr>
          <w:b/>
        </w:rPr>
        <w:t>wartość punktowa w kryterium ceny</w:t>
      </w:r>
      <w:r>
        <w:rPr/>
        <w:t xml:space="preserve"> wyliczona zostaje w następujący sposób:</w:t>
      </w:r>
    </w:p>
    <w:p>
      <w:pPr>
        <w:pStyle w:val="Normal"/>
        <w:spacing w:lineRule="auto" w:line="240" w:before="120" w:after="120"/>
        <w:ind w:left="1701" w:hanging="1"/>
        <w:contextualSpacing/>
        <w:jc w:val="both"/>
        <w:rPr>
          <w:rFonts w:ascii="Times New Roman" w:hAnsi="Times New Roman" w:cs="Times New Roman"/>
          <w:b/>
          <w:b/>
          <w:spacing w:val="-4"/>
          <w:sz w:val="24"/>
          <w:szCs w:val="24"/>
        </w:rPr>
      </w:pPr>
      <w:r>
        <w:rPr>
          <w:rFonts w:cs="Times New Roman" w:ascii="Times New Roman" w:hAnsi="Times New Roman"/>
          <w:b/>
          <w:spacing w:val="-4"/>
          <w:sz w:val="24"/>
          <w:szCs w:val="24"/>
        </w:rPr>
        <w:t>współczynnik „zł za 1 ha” badanej oferty pomnożony przez 20 pkt oraz podzielony przez najwyższy współczynnik „zł za 1 ha” ze złożonych ofert  =</w:t>
      </w:r>
      <w:r>
        <w:rPr>
          <w:rFonts w:cs="Times New Roman" w:ascii="Times New Roman" w:hAnsi="Times New Roman"/>
          <w:b/>
          <w:sz w:val="24"/>
          <w:szCs w:val="24"/>
        </w:rPr>
        <w:t>wartość punktowa badanej oferty w kryterium ceny,</w:t>
      </w:r>
    </w:p>
    <w:p>
      <w:pPr>
        <w:pStyle w:val="Tretekstu"/>
        <w:numPr>
          <w:ilvl w:val="0"/>
          <w:numId w:val="25"/>
        </w:numPr>
        <w:spacing w:before="120" w:after="120"/>
        <w:ind w:left="1418" w:hanging="283"/>
        <w:contextualSpacing/>
        <w:textAlignment w:val="baseline"/>
        <w:rPr>
          <w:rFonts w:ascii="Times New Roman" w:hAnsi="Times New Roman"/>
          <w:szCs w:val="24"/>
          <w:u w:val="single"/>
        </w:rPr>
      </w:pPr>
      <w:r>
        <w:rPr>
          <w:rFonts w:ascii="Times New Roman" w:hAnsi="Times New Roman"/>
          <w:b/>
          <w:bCs/>
          <w:iCs/>
          <w:szCs w:val="24"/>
          <w:u w:val="single"/>
        </w:rPr>
        <w:t xml:space="preserve">wartość punktowa w kryterium </w:t>
      </w:r>
      <w:r>
        <w:rPr>
          <w:rFonts w:ascii="Times New Roman" w:hAnsi="Times New Roman"/>
          <w:b/>
          <w:szCs w:val="24"/>
          <w:u w:val="single"/>
        </w:rPr>
        <w:t xml:space="preserve">deklarowanej liczby nowych miejsc pracy utworzonych na </w:t>
      </w:r>
      <w:r>
        <w:rPr>
          <w:rFonts w:ascii="Times New Roman" w:hAnsi="Times New Roman"/>
          <w:b/>
          <w:szCs w:val="24"/>
        </w:rPr>
        <w:t xml:space="preserve">terenie inwestycji </w:t>
      </w:r>
      <w:r>
        <w:rPr>
          <w:rFonts w:ascii="Times New Roman" w:hAnsi="Times New Roman"/>
          <w:szCs w:val="24"/>
        </w:rPr>
        <w:t>dla każdej ze złożonych ofert wyliczana jest w następujący sposób:</w:t>
      </w:r>
    </w:p>
    <w:p>
      <w:pPr>
        <w:pStyle w:val="Tretekstu"/>
        <w:numPr>
          <w:ilvl w:val="0"/>
          <w:numId w:val="38"/>
        </w:numPr>
        <w:spacing w:before="120" w:after="120"/>
        <w:ind w:left="1701" w:hanging="283"/>
        <w:contextualSpacing/>
        <w:rPr>
          <w:rFonts w:ascii="Times New Roman" w:hAnsi="Times New Roman"/>
          <w:szCs w:val="24"/>
        </w:rPr>
      </w:pPr>
      <w:r>
        <w:rPr>
          <w:rFonts w:ascii="Times New Roman" w:hAnsi="Times New Roman"/>
          <w:spacing w:val="-2"/>
          <w:szCs w:val="24"/>
        </w:rPr>
        <w:t>dla każdej złożonej oferty wylicza się odrębnie współczynnik „</w:t>
      </w:r>
      <w:r>
        <w:rPr>
          <w:rFonts w:ascii="Times New Roman" w:hAnsi="Times New Roman"/>
          <w:b/>
          <w:spacing w:val="-2"/>
          <w:szCs w:val="24"/>
        </w:rPr>
        <w:t xml:space="preserve">osoby na 1ha” </w:t>
      </w:r>
      <w:r>
        <w:rPr>
          <w:rFonts w:ascii="Times New Roman" w:hAnsi="Times New Roman"/>
          <w:szCs w:val="24"/>
        </w:rPr>
        <w:t>w następujący sposób:</w:t>
      </w:r>
    </w:p>
    <w:p>
      <w:pPr>
        <w:pStyle w:val="Tretekstu"/>
        <w:spacing w:before="120" w:after="120"/>
        <w:ind w:left="1701" w:hanging="0"/>
        <w:contextualSpacing/>
        <w:rPr>
          <w:rFonts w:ascii="Times New Roman" w:hAnsi="Times New Roman"/>
          <w:b/>
          <w:b/>
          <w:szCs w:val="24"/>
        </w:rPr>
      </w:pPr>
      <w:r>
        <w:rPr>
          <w:rFonts w:ascii="Times New Roman" w:hAnsi="Times New Roman"/>
          <w:b/>
          <w:szCs w:val="24"/>
        </w:rPr>
        <w:t>deklarowana liczba nowych miejsc pracy utworzonych na terenie inwestycji podzielona przez powierzchnię gruntu, na który została złożona oferta  =  współczynnik osoby na 1 ha”,</w:t>
      </w:r>
    </w:p>
    <w:p>
      <w:pPr>
        <w:pStyle w:val="Tretekstu"/>
        <w:numPr>
          <w:ilvl w:val="0"/>
          <w:numId w:val="38"/>
        </w:numPr>
        <w:spacing w:before="120" w:after="120"/>
        <w:ind w:left="1701" w:hanging="283"/>
        <w:contextualSpacing/>
        <w:textAlignment w:val="baseline"/>
        <w:rPr>
          <w:rFonts w:ascii="Times New Roman" w:hAnsi="Times New Roman"/>
          <w:b/>
          <w:b/>
          <w:szCs w:val="24"/>
        </w:rPr>
      </w:pPr>
      <w:r>
        <w:rPr>
          <w:rFonts w:ascii="Times New Roman" w:hAnsi="Times New Roman"/>
          <w:szCs w:val="24"/>
        </w:rPr>
        <w:t>oferta z wyliczonym najwyższym współczynnikiem „</w:t>
      </w:r>
      <w:r>
        <w:rPr>
          <w:rFonts w:ascii="Times New Roman" w:hAnsi="Times New Roman"/>
          <w:b/>
          <w:szCs w:val="24"/>
        </w:rPr>
        <w:t xml:space="preserve">osoby na 1 ha” </w:t>
      </w:r>
      <w:r>
        <w:rPr>
          <w:rFonts w:ascii="Times New Roman" w:hAnsi="Times New Roman"/>
          <w:szCs w:val="24"/>
        </w:rPr>
        <w:t>otrzymuje maksymalną wartość punktową –</w:t>
      </w:r>
      <w:r>
        <w:rPr>
          <w:rFonts w:ascii="Times New Roman" w:hAnsi="Times New Roman"/>
          <w:b/>
          <w:szCs w:val="24"/>
        </w:rPr>
        <w:t>40 pkt,</w:t>
      </w:r>
    </w:p>
    <w:p>
      <w:pPr>
        <w:pStyle w:val="Tretekstu"/>
        <w:numPr>
          <w:ilvl w:val="0"/>
          <w:numId w:val="38"/>
        </w:numPr>
        <w:spacing w:before="120" w:after="120"/>
        <w:ind w:left="1701" w:hanging="283"/>
        <w:contextualSpacing/>
        <w:textAlignment w:val="baseline"/>
        <w:rPr>
          <w:rFonts w:ascii="Times New Roman" w:hAnsi="Times New Roman"/>
          <w:b/>
          <w:b/>
          <w:spacing w:val="-2"/>
          <w:szCs w:val="24"/>
        </w:rPr>
      </w:pPr>
      <w:r>
        <w:rPr>
          <w:rFonts w:ascii="Times New Roman" w:hAnsi="Times New Roman"/>
          <w:spacing w:val="-2"/>
          <w:szCs w:val="24"/>
        </w:rPr>
        <w:t xml:space="preserve">dla pozostałych złożonych ofert </w:t>
      </w:r>
      <w:r>
        <w:rPr>
          <w:rFonts w:ascii="Times New Roman" w:hAnsi="Times New Roman"/>
          <w:b/>
          <w:spacing w:val="-2"/>
          <w:szCs w:val="24"/>
        </w:rPr>
        <w:t xml:space="preserve">wartość punktowa w kryterium deklarowanej liczby nowych miejsc pracy utworzonych  na terenie </w:t>
      </w:r>
      <w:r>
        <w:rPr>
          <w:rFonts w:ascii="Times New Roman" w:hAnsi="Times New Roman"/>
          <w:b/>
          <w:szCs w:val="24"/>
        </w:rPr>
        <w:t>inwestycji</w:t>
      </w:r>
      <w:r>
        <w:rPr>
          <w:rFonts w:ascii="Times New Roman" w:hAnsi="Times New Roman"/>
          <w:b/>
          <w:spacing w:val="-2"/>
          <w:szCs w:val="24"/>
        </w:rPr>
        <w:t xml:space="preserve">  </w:t>
      </w:r>
      <w:r>
        <w:rPr>
          <w:rFonts w:ascii="Times New Roman" w:hAnsi="Times New Roman"/>
          <w:spacing w:val="-2"/>
          <w:szCs w:val="24"/>
        </w:rPr>
        <w:t>wyliczona zostaje w następujący sposób:</w:t>
      </w:r>
    </w:p>
    <w:p>
      <w:pPr>
        <w:pStyle w:val="Normal"/>
        <w:spacing w:lineRule="auto" w:line="240" w:before="0" w:after="200"/>
        <w:ind w:left="1701" w:hanging="0"/>
        <w:contextualSpacing/>
        <w:jc w:val="both"/>
        <w:rPr>
          <w:rFonts w:ascii="Times New Roman" w:hAnsi="Times New Roman" w:cs="Times New Roman"/>
          <w:b/>
          <w:b/>
          <w:sz w:val="24"/>
          <w:szCs w:val="24"/>
        </w:rPr>
      </w:pPr>
      <w:r>
        <w:rPr>
          <w:rFonts w:cs="Times New Roman" w:ascii="Times New Roman" w:hAnsi="Times New Roman"/>
          <w:b/>
          <w:sz w:val="24"/>
          <w:szCs w:val="24"/>
        </w:rPr>
        <w:t>współczynnik „osoby na 1 ha” badanej oferty pomnożony przez 40 pkt oraz podzielony przez najwyższy współczynnik „osoby na 1 ha” ze złożonych ofert =wartość punktowa badanej oferty</w:t>
      </w:r>
      <w:r>
        <w:rPr>
          <w:rFonts w:cs="Times New Roman" w:ascii="Times New Roman" w:hAnsi="Times New Roman"/>
          <w:b/>
          <w:bCs/>
          <w:iCs/>
          <w:sz w:val="24"/>
          <w:szCs w:val="24"/>
        </w:rPr>
        <w:t xml:space="preserve"> w kryterium </w:t>
      </w:r>
      <w:r>
        <w:rPr>
          <w:rFonts w:cs="Times New Roman" w:ascii="Times New Roman" w:hAnsi="Times New Roman"/>
          <w:b/>
          <w:sz w:val="24"/>
          <w:szCs w:val="24"/>
        </w:rPr>
        <w:t xml:space="preserve">deklarowanej liczby nowych miejsc pracy na terenie inwestycji </w:t>
      </w:r>
    </w:p>
    <w:p>
      <w:pPr>
        <w:pStyle w:val="Normal"/>
        <w:spacing w:lineRule="auto" w:line="240" w:before="0" w:after="200"/>
        <w:ind w:left="1701"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ind w:left="1701"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Cs/>
          <w:iCs/>
          <w:sz w:val="24"/>
          <w:szCs w:val="24"/>
        </w:rPr>
      </w:pPr>
      <w:r>
        <w:rPr>
          <w:rFonts w:cs="Times New Roman" w:ascii="Times New Roman" w:hAnsi="Times New Roman"/>
          <w:b/>
          <w:sz w:val="24"/>
          <w:szCs w:val="24"/>
        </w:rPr>
        <w:t xml:space="preserve">III </w:t>
      </w:r>
      <w:r>
        <w:rPr>
          <w:rFonts w:cs="Times New Roman" w:ascii="Times New Roman" w:hAnsi="Times New Roman"/>
          <w:b/>
          <w:bCs/>
          <w:iCs/>
          <w:sz w:val="24"/>
          <w:szCs w:val="24"/>
          <w:u w:val="single"/>
        </w:rPr>
        <w:t xml:space="preserve">wartość punktowa w kryterium </w:t>
      </w:r>
      <w:r>
        <w:rPr>
          <w:rFonts w:cs="Times New Roman" w:ascii="Times New Roman" w:hAnsi="Times New Roman"/>
          <w:b/>
          <w:sz w:val="24"/>
          <w:szCs w:val="24"/>
          <w:u w:val="single"/>
        </w:rPr>
        <w:t>wielkości przedsięwzięcia wyrażonej wysokością deklarowanych nakładów inwestycyjnych</w:t>
      </w:r>
      <w:r>
        <w:rPr>
          <w:rFonts w:cs="Times New Roman" w:ascii="Times New Roman" w:hAnsi="Times New Roman"/>
          <w:sz w:val="24"/>
          <w:szCs w:val="24"/>
        </w:rPr>
        <w:t xml:space="preserve"> dla każdej ze złożonych ofert wyliczana </w:t>
      </w:r>
      <w:r>
        <w:rPr>
          <w:rFonts w:cs="Times New Roman" w:ascii="Times New Roman" w:hAnsi="Times New Roman"/>
          <w:bCs/>
          <w:iCs/>
          <w:sz w:val="24"/>
          <w:szCs w:val="24"/>
        </w:rPr>
        <w:t>jest w następujący sposób:</w:t>
      </w:r>
    </w:p>
    <w:p>
      <w:pPr>
        <w:pStyle w:val="Tretekstu"/>
        <w:numPr>
          <w:ilvl w:val="0"/>
          <w:numId w:val="39"/>
        </w:numPr>
        <w:spacing w:before="120" w:after="120"/>
        <w:ind w:left="1701" w:hanging="284"/>
        <w:contextualSpacing/>
        <w:textAlignment w:val="baseline"/>
        <w:rPr>
          <w:rFonts w:ascii="Times New Roman" w:hAnsi="Times New Roman"/>
          <w:bCs/>
          <w:iCs/>
          <w:spacing w:val="-2"/>
          <w:szCs w:val="24"/>
        </w:rPr>
      </w:pPr>
      <w:r>
        <w:rPr>
          <w:rFonts w:ascii="Times New Roman" w:hAnsi="Times New Roman"/>
          <w:spacing w:val="-4"/>
          <w:szCs w:val="24"/>
        </w:rPr>
        <w:t xml:space="preserve">dla każdej złożonej oferty wylicza się odrębnie współczynnik </w:t>
      </w:r>
      <w:r>
        <w:rPr>
          <w:rFonts w:ascii="Times New Roman" w:hAnsi="Times New Roman"/>
          <w:b/>
          <w:spacing w:val="-4"/>
          <w:szCs w:val="24"/>
        </w:rPr>
        <w:t xml:space="preserve">„nakłady na 1ha” </w:t>
      </w:r>
      <w:r>
        <w:rPr>
          <w:rFonts w:ascii="Times New Roman" w:hAnsi="Times New Roman"/>
          <w:szCs w:val="24"/>
        </w:rPr>
        <w:t>w następujący sposób:</w:t>
      </w:r>
    </w:p>
    <w:p>
      <w:pPr>
        <w:pStyle w:val="Tretekstu"/>
        <w:spacing w:before="120" w:after="120"/>
        <w:ind w:left="1701" w:hanging="0"/>
        <w:contextualSpacing/>
        <w:rPr>
          <w:rFonts w:ascii="Times New Roman" w:hAnsi="Times New Roman"/>
          <w:b/>
          <w:b/>
          <w:szCs w:val="24"/>
        </w:rPr>
      </w:pPr>
      <w:r>
        <w:rPr>
          <w:rFonts w:ascii="Times New Roman" w:hAnsi="Times New Roman"/>
          <w:b/>
          <w:spacing w:val="4"/>
          <w:szCs w:val="24"/>
        </w:rPr>
        <w:t>deklarowana w ofercie wysokość planowanych nakładów podzielona przez</w:t>
      </w:r>
      <w:r>
        <w:rPr>
          <w:rFonts w:ascii="Times New Roman" w:hAnsi="Times New Roman"/>
          <w:b/>
          <w:szCs w:val="24"/>
        </w:rPr>
        <w:t xml:space="preserve"> powierzchnię gruntu, na który została złożona oferta = współczynnik „nakłady na 1 ha”,</w:t>
      </w:r>
    </w:p>
    <w:p>
      <w:pPr>
        <w:pStyle w:val="Tretekstu"/>
        <w:numPr>
          <w:ilvl w:val="0"/>
          <w:numId w:val="39"/>
        </w:numPr>
        <w:spacing w:before="120" w:after="120"/>
        <w:ind w:left="1701" w:hanging="284"/>
        <w:contextualSpacing/>
        <w:rPr>
          <w:rFonts w:ascii="Times New Roman" w:hAnsi="Times New Roman"/>
          <w:b/>
          <w:b/>
          <w:spacing w:val="-2"/>
          <w:szCs w:val="24"/>
        </w:rPr>
      </w:pPr>
      <w:r>
        <w:rPr>
          <w:rFonts w:ascii="Times New Roman" w:hAnsi="Times New Roman"/>
          <w:szCs w:val="24"/>
        </w:rPr>
        <w:t xml:space="preserve">oferta z wyliczonym najwyższym współczynnikiem </w:t>
      </w:r>
      <w:r>
        <w:rPr>
          <w:rFonts w:ascii="Times New Roman" w:hAnsi="Times New Roman"/>
          <w:b/>
          <w:szCs w:val="24"/>
        </w:rPr>
        <w:t xml:space="preserve">„nakłady na 1 ha” </w:t>
      </w:r>
      <w:r>
        <w:rPr>
          <w:rFonts w:ascii="Times New Roman" w:hAnsi="Times New Roman"/>
          <w:szCs w:val="24"/>
        </w:rPr>
        <w:t xml:space="preserve">otrzymuje wartość  punktową  – </w:t>
      </w:r>
      <w:r>
        <w:rPr>
          <w:rFonts w:ascii="Times New Roman" w:hAnsi="Times New Roman"/>
          <w:b/>
          <w:szCs w:val="24"/>
        </w:rPr>
        <w:t>40 pkt,</w:t>
      </w:r>
    </w:p>
    <w:p>
      <w:pPr>
        <w:pStyle w:val="Tretekstu"/>
        <w:numPr>
          <w:ilvl w:val="0"/>
          <w:numId w:val="39"/>
        </w:numPr>
        <w:spacing w:before="120" w:after="120"/>
        <w:ind w:left="1701" w:hanging="284"/>
        <w:contextualSpacing/>
        <w:rPr>
          <w:rFonts w:ascii="Times New Roman" w:hAnsi="Times New Roman"/>
          <w:b/>
          <w:b/>
          <w:spacing w:val="-4"/>
          <w:szCs w:val="24"/>
        </w:rPr>
      </w:pPr>
      <w:r>
        <w:rPr>
          <w:rFonts w:ascii="Times New Roman" w:hAnsi="Times New Roman"/>
          <w:spacing w:val="-4"/>
          <w:szCs w:val="24"/>
        </w:rPr>
        <w:t xml:space="preserve">dla pozostałych złożonych ofert </w:t>
      </w:r>
      <w:r>
        <w:rPr>
          <w:rFonts w:ascii="Times New Roman" w:hAnsi="Times New Roman"/>
          <w:b/>
          <w:spacing w:val="-4"/>
          <w:szCs w:val="24"/>
        </w:rPr>
        <w:t xml:space="preserve">wartość punktowa w kryterium wielkości przedsięwzięcia wyrażonej wysokością deklarowanych nakładów inwestycyjnych </w:t>
      </w:r>
      <w:r>
        <w:rPr>
          <w:rFonts w:ascii="Times New Roman" w:hAnsi="Times New Roman"/>
          <w:spacing w:val="-4"/>
          <w:szCs w:val="24"/>
        </w:rPr>
        <w:t>wyliczona zostaje w następujący sposób:</w:t>
      </w:r>
    </w:p>
    <w:p>
      <w:pPr>
        <w:pStyle w:val="Normal"/>
        <w:spacing w:lineRule="auto" w:line="240" w:before="0" w:after="200"/>
        <w:ind w:left="1701" w:hanging="0"/>
        <w:contextualSpacing/>
        <w:jc w:val="both"/>
        <w:rPr>
          <w:rFonts w:ascii="Times New Roman" w:hAnsi="Times New Roman" w:cs="Times New Roman"/>
          <w:b/>
          <w:b/>
          <w:spacing w:val="-2"/>
          <w:sz w:val="24"/>
          <w:szCs w:val="24"/>
        </w:rPr>
      </w:pPr>
      <w:r>
        <w:rPr>
          <w:rFonts w:cs="Times New Roman" w:ascii="Times New Roman" w:hAnsi="Times New Roman"/>
          <w:b/>
          <w:spacing w:val="-2"/>
          <w:sz w:val="24"/>
          <w:szCs w:val="24"/>
        </w:rPr>
        <w:t xml:space="preserve">współczynnik „nakłady na 1 ha” badanej oferty pomnożony przez 40 pkt oraz podzielony przez najwyższy współczynnik „nakłady na 1 ha” ze złożonych ofert = wartość punktowa badanej oferty </w:t>
      </w:r>
      <w:r>
        <w:rPr>
          <w:rFonts w:cs="Times New Roman" w:ascii="Times New Roman" w:hAnsi="Times New Roman"/>
          <w:b/>
          <w:bCs/>
          <w:iCs/>
          <w:spacing w:val="-2"/>
          <w:sz w:val="24"/>
          <w:szCs w:val="24"/>
        </w:rPr>
        <w:t xml:space="preserve">w kryterium </w:t>
      </w:r>
      <w:r>
        <w:rPr>
          <w:rFonts w:cs="Times New Roman" w:ascii="Times New Roman" w:hAnsi="Times New Roman"/>
          <w:b/>
          <w:spacing w:val="-2"/>
          <w:sz w:val="24"/>
          <w:szCs w:val="24"/>
        </w:rPr>
        <w:t>wielkości przedsięwzięcia wyrażonej wysokością deklarowanych nakładów inwestycyjnych.</w:t>
      </w:r>
    </w:p>
    <w:p>
      <w:pPr>
        <w:pStyle w:val="ListParagraph"/>
        <w:numPr>
          <w:ilvl w:val="0"/>
          <w:numId w:val="40"/>
        </w:numPr>
        <w:overflowPunct w:val="true"/>
        <w:spacing w:before="120" w:after="120"/>
        <w:ind w:left="993" w:hanging="357"/>
        <w:contextualSpacing/>
        <w:jc w:val="both"/>
        <w:rPr>
          <w:b/>
          <w:b/>
        </w:rPr>
      </w:pPr>
      <w:r>
        <w:rPr>
          <w:b/>
          <w:spacing w:val="-4"/>
        </w:rPr>
        <w:t xml:space="preserve">Za najkorzystniejszą uznaje się ofertę, która uzyskała w sumie największą liczbę punktów tj.: </w:t>
      </w:r>
      <w:r>
        <w:rPr/>
        <w:t>punkty z tytułu oferowanej ceny + punkty z tytułu liczby nowych miejsc pracy utworzonych w wyniku inwestycji + punkty z tytułu wielkości przedsięwzięcia wyrażonego wysokością deklarowanych nakładów inwestycyjnych.</w:t>
      </w:r>
    </w:p>
    <w:p>
      <w:pPr>
        <w:pStyle w:val="Normal"/>
        <w:numPr>
          <w:ilvl w:val="0"/>
          <w:numId w:val="40"/>
        </w:numPr>
        <w:overflowPunct w:val="true"/>
        <w:spacing w:lineRule="auto" w:line="240" w:before="120" w:after="120"/>
        <w:ind w:left="993" w:hanging="357"/>
        <w:contextualSpacing/>
        <w:jc w:val="both"/>
        <w:rPr>
          <w:rFonts w:ascii="Times New Roman" w:hAnsi="Times New Roman" w:cs="Times New Roman"/>
          <w:spacing w:val="-2"/>
          <w:sz w:val="24"/>
          <w:szCs w:val="24"/>
        </w:rPr>
      </w:pPr>
      <w:r>
        <w:rPr>
          <w:rFonts w:cs="Times New Roman" w:ascii="Times New Roman" w:hAnsi="Times New Roman"/>
          <w:spacing w:val="-2"/>
          <w:sz w:val="24"/>
          <w:szCs w:val="24"/>
        </w:rPr>
        <w:t>W przypadku, gdy żadna z ofert z uwagi na przedstawioną koncepcję zagospodarowania terenu nie nada się do przyjęcia, Komisja dokonuje zamknięcia postępowania przetargowego bez wyboru którejkolwiek z ofert.</w:t>
      </w:r>
    </w:p>
    <w:p>
      <w:pPr>
        <w:pStyle w:val="Normal"/>
        <w:numPr>
          <w:ilvl w:val="0"/>
          <w:numId w:val="40"/>
        </w:numPr>
        <w:overflowPunct w:val="true"/>
        <w:spacing w:lineRule="auto" w:line="240" w:before="120" w:after="120"/>
        <w:ind w:left="993" w:hanging="357"/>
        <w:contextualSpacing/>
        <w:jc w:val="both"/>
        <w:rPr>
          <w:rFonts w:ascii="Times New Roman" w:hAnsi="Times New Roman" w:cs="Times New Roman"/>
          <w:sz w:val="24"/>
          <w:szCs w:val="24"/>
        </w:rPr>
      </w:pPr>
      <w:r>
        <w:rPr>
          <w:rFonts w:cs="Times New Roman" w:ascii="Times New Roman" w:hAnsi="Times New Roman"/>
          <w:sz w:val="24"/>
          <w:szCs w:val="24"/>
        </w:rPr>
        <w:t>W przypadku ofert równorzędnych Komisja Przetargowa organizuje dodatkowy przetarg ustny ograniczony do tych ofert z jedynym kryterium ceny, przy czym pozostałe propozycje, zawarte w ofertach dopuszczonych do licytacji, pozostają bez zmian.</w:t>
      </w:r>
    </w:p>
    <w:p>
      <w:pPr>
        <w:pStyle w:val="Tretekstu"/>
        <w:numPr>
          <w:ilvl w:val="0"/>
          <w:numId w:val="27"/>
        </w:numPr>
        <w:spacing w:before="240" w:after="240"/>
        <w:ind w:left="284" w:hanging="360"/>
        <w:contextualSpacing/>
        <w:rPr>
          <w:rFonts w:ascii="Times New Roman" w:hAnsi="Times New Roman"/>
          <w:b/>
          <w:b/>
          <w:bCs/>
          <w:szCs w:val="24"/>
        </w:rPr>
      </w:pPr>
      <w:r>
        <w:rPr>
          <w:rFonts w:ascii="Times New Roman" w:hAnsi="Times New Roman"/>
          <w:b/>
          <w:bCs/>
          <w:szCs w:val="24"/>
        </w:rPr>
        <w:t>Dodatkowy przetarg ustny</w:t>
      </w:r>
    </w:p>
    <w:p>
      <w:pPr>
        <w:pStyle w:val="Tretekstu"/>
        <w:numPr>
          <w:ilvl w:val="0"/>
          <w:numId w:val="34"/>
        </w:numPr>
        <w:spacing w:before="0" w:after="0"/>
        <w:ind w:left="993" w:hanging="426"/>
        <w:contextualSpacing/>
        <w:rPr>
          <w:rFonts w:ascii="Times New Roman" w:hAnsi="Times New Roman"/>
          <w:b/>
          <w:b/>
          <w:bCs/>
          <w:szCs w:val="24"/>
        </w:rPr>
      </w:pPr>
      <w:r>
        <w:rPr>
          <w:rFonts w:ascii="Times New Roman" w:hAnsi="Times New Roman"/>
          <w:szCs w:val="24"/>
        </w:rPr>
        <w:t xml:space="preserve">Dodatkowy przetarg ustny, licytację, przeprowadza Przewodniczący Komisji, </w:t>
        <w:br/>
        <w:t>w obecności Komisji Przetargowej.</w:t>
      </w:r>
    </w:p>
    <w:p>
      <w:pPr>
        <w:pStyle w:val="Tretekstu"/>
        <w:numPr>
          <w:ilvl w:val="0"/>
          <w:numId w:val="34"/>
        </w:numPr>
        <w:spacing w:before="0" w:after="0"/>
        <w:ind w:left="993" w:hanging="426"/>
        <w:contextualSpacing/>
        <w:rPr>
          <w:rFonts w:ascii="Times New Roman" w:hAnsi="Times New Roman"/>
          <w:b/>
          <w:b/>
          <w:bCs/>
          <w:szCs w:val="24"/>
        </w:rPr>
      </w:pPr>
      <w:r>
        <w:rPr>
          <w:rFonts w:ascii="Times New Roman" w:hAnsi="Times New Roman"/>
          <w:szCs w:val="24"/>
        </w:rPr>
        <w:t>Przed przeprowadzeniem licytacji Komisja ustala:</w:t>
      </w:r>
    </w:p>
    <w:p>
      <w:pPr>
        <w:pStyle w:val="Normal"/>
        <w:numPr>
          <w:ilvl w:val="0"/>
          <w:numId w:val="22"/>
        </w:numPr>
        <w:tabs>
          <w:tab w:val="clear" w:pos="708"/>
        </w:tabs>
        <w:overflowPunct w:val="true"/>
        <w:spacing w:lineRule="auto" w:line="240" w:before="0" w:after="0"/>
        <w:ind w:left="1418" w:hanging="425"/>
        <w:contextualSpacing/>
        <w:jc w:val="both"/>
        <w:rPr>
          <w:rFonts w:ascii="Times New Roman" w:hAnsi="Times New Roman" w:cs="Times New Roman"/>
          <w:sz w:val="24"/>
          <w:szCs w:val="24"/>
        </w:rPr>
      </w:pPr>
      <w:r>
        <w:rPr>
          <w:rFonts w:cs="Times New Roman" w:ascii="Times New Roman" w:hAnsi="Times New Roman"/>
          <w:sz w:val="24"/>
          <w:szCs w:val="24"/>
        </w:rPr>
        <w:t>cenę wywoławczą, którą stanowi najwyższa cena zaoferowana przez biorących udział w licytacji,</w:t>
      </w:r>
    </w:p>
    <w:p>
      <w:pPr>
        <w:pStyle w:val="Normal"/>
        <w:numPr>
          <w:ilvl w:val="0"/>
          <w:numId w:val="22"/>
        </w:numPr>
        <w:tabs>
          <w:tab w:val="clear" w:pos="708"/>
        </w:tabs>
        <w:overflowPunct w:val="true"/>
        <w:spacing w:lineRule="auto" w:line="240" w:before="0" w:after="0"/>
        <w:ind w:left="1418" w:hanging="425"/>
        <w:contextualSpacing/>
        <w:jc w:val="both"/>
        <w:rPr>
          <w:rFonts w:ascii="Times New Roman" w:hAnsi="Times New Roman" w:cs="Times New Roman"/>
          <w:sz w:val="24"/>
          <w:szCs w:val="24"/>
        </w:rPr>
      </w:pPr>
      <w:r>
        <w:rPr>
          <w:rFonts w:cs="Times New Roman" w:ascii="Times New Roman" w:hAnsi="Times New Roman"/>
          <w:sz w:val="24"/>
          <w:szCs w:val="24"/>
        </w:rPr>
        <w:t>postąpienie, którego wielkość nie może być niższa niż 1% ceny wywoławczej,</w:t>
        <w:br/>
        <w:t>z zaokrągleniem w górę do pełnych dziesiątek złotych.</w:t>
      </w:r>
    </w:p>
    <w:p>
      <w:pPr>
        <w:pStyle w:val="Tretekstu"/>
        <w:numPr>
          <w:ilvl w:val="0"/>
          <w:numId w:val="34"/>
        </w:numPr>
        <w:spacing w:before="0" w:after="0"/>
        <w:ind w:left="993" w:hanging="425"/>
        <w:contextualSpacing/>
        <w:rPr>
          <w:rFonts w:ascii="Times New Roman" w:hAnsi="Times New Roman"/>
          <w:b/>
          <w:b/>
          <w:bCs/>
          <w:szCs w:val="24"/>
        </w:rPr>
      </w:pPr>
      <w:r>
        <w:rPr>
          <w:rFonts w:ascii="Times New Roman" w:hAnsi="Times New Roman"/>
          <w:szCs w:val="24"/>
        </w:rPr>
        <w:t>Komisja powiadamia Oferentów o dodatkowym przetargu ustnym, miejscu, terminie oraz formie jego przeprowadzenia.</w:t>
      </w:r>
    </w:p>
    <w:p>
      <w:pPr>
        <w:pStyle w:val="Tretekstu"/>
        <w:numPr>
          <w:ilvl w:val="0"/>
          <w:numId w:val="34"/>
        </w:numPr>
        <w:spacing w:before="0" w:after="0"/>
        <w:ind w:left="993" w:hanging="425"/>
        <w:contextualSpacing/>
        <w:rPr>
          <w:rFonts w:ascii="Times New Roman" w:hAnsi="Times New Roman"/>
          <w:b/>
          <w:b/>
          <w:bCs/>
          <w:szCs w:val="24"/>
        </w:rPr>
      </w:pPr>
      <w:r>
        <w:rPr>
          <w:rFonts w:ascii="Times New Roman" w:hAnsi="Times New Roman"/>
          <w:szCs w:val="24"/>
        </w:rPr>
        <w:t>Biorący udział w dodatkowym przetargu ustnym mają prawo wglądu do następujących dokumentów ofert równorzędnych:</w:t>
      </w:r>
    </w:p>
    <w:p>
      <w:pPr>
        <w:pStyle w:val="Tretekstu"/>
        <w:numPr>
          <w:ilvl w:val="0"/>
          <w:numId w:val="35"/>
        </w:numPr>
        <w:spacing w:before="0" w:after="0"/>
        <w:ind w:left="1418" w:hanging="425"/>
        <w:contextualSpacing/>
        <w:rPr>
          <w:rFonts w:ascii="Times New Roman" w:hAnsi="Times New Roman"/>
          <w:bCs/>
          <w:szCs w:val="24"/>
        </w:rPr>
      </w:pPr>
      <w:r>
        <w:rPr>
          <w:rFonts w:ascii="Times New Roman" w:hAnsi="Times New Roman"/>
          <w:szCs w:val="24"/>
        </w:rPr>
        <w:t>oferty cenowe,</w:t>
      </w:r>
    </w:p>
    <w:p>
      <w:pPr>
        <w:pStyle w:val="Tretekstu"/>
        <w:numPr>
          <w:ilvl w:val="0"/>
          <w:numId w:val="35"/>
        </w:numPr>
        <w:spacing w:before="0" w:after="0"/>
        <w:ind w:left="1418" w:hanging="425"/>
        <w:contextualSpacing/>
        <w:rPr>
          <w:rFonts w:ascii="Times New Roman" w:hAnsi="Times New Roman"/>
          <w:bCs/>
          <w:spacing w:val="-4"/>
          <w:szCs w:val="24"/>
        </w:rPr>
      </w:pPr>
      <w:r>
        <w:rPr>
          <w:rFonts w:ascii="Times New Roman" w:hAnsi="Times New Roman"/>
          <w:spacing w:val="-4"/>
          <w:szCs w:val="24"/>
        </w:rPr>
        <w:t xml:space="preserve">proponowanej koncepcji zagospodarowania terenu planowanej inwestycji wraz </w:t>
        <w:br/>
        <w:t>z opisem,</w:t>
      </w:r>
    </w:p>
    <w:p>
      <w:pPr>
        <w:pStyle w:val="Tretekstu"/>
        <w:numPr>
          <w:ilvl w:val="0"/>
          <w:numId w:val="36"/>
        </w:numPr>
        <w:spacing w:before="0" w:after="0"/>
        <w:ind w:left="993" w:hanging="425"/>
        <w:contextualSpacing/>
        <w:rPr>
          <w:rFonts w:ascii="Times New Roman" w:hAnsi="Times New Roman"/>
          <w:b/>
          <w:b/>
          <w:bCs/>
          <w:szCs w:val="24"/>
        </w:rPr>
      </w:pPr>
      <w:r>
        <w:rPr>
          <w:rFonts w:ascii="Times New Roman" w:hAnsi="Times New Roman"/>
          <w:szCs w:val="24"/>
        </w:rPr>
        <w:t>Przetarg ustny wygrywa Oferent, który zaproponuje najwyższą cenę w licytacji – minimum o jedno postąpienie wyższą niż cena wywoławcza.</w:t>
      </w:r>
    </w:p>
    <w:p>
      <w:pPr>
        <w:pStyle w:val="ListParagraph"/>
        <w:numPr>
          <w:ilvl w:val="0"/>
          <w:numId w:val="27"/>
        </w:numPr>
        <w:overflowPunct w:val="true"/>
        <w:spacing w:before="240" w:after="240"/>
        <w:ind w:left="426" w:hanging="426"/>
        <w:contextualSpacing/>
        <w:jc w:val="both"/>
        <w:rPr>
          <w:b/>
          <w:b/>
          <w:bCs/>
        </w:rPr>
      </w:pPr>
      <w:r>
        <w:rPr>
          <w:b/>
          <w:bCs/>
        </w:rPr>
        <w:t>Sporządzenie protokołu z postępowania przetargowego</w:t>
      </w:r>
    </w:p>
    <w:p>
      <w:pPr>
        <w:pStyle w:val="Normal"/>
        <w:numPr>
          <w:ilvl w:val="0"/>
          <w:numId w:val="32"/>
        </w:numPr>
        <w:overflowPunct w:val="true"/>
        <w:spacing w:lineRule="auto" w:line="240" w:before="0" w:after="0"/>
        <w:ind w:left="993" w:hanging="425"/>
        <w:contextualSpacing/>
        <w:jc w:val="both"/>
        <w:rPr>
          <w:rFonts w:ascii="Times New Roman" w:hAnsi="Times New Roman" w:cs="Times New Roman"/>
          <w:sz w:val="24"/>
          <w:szCs w:val="24"/>
        </w:rPr>
      </w:pPr>
      <w:r>
        <w:rPr>
          <w:rFonts w:cs="Times New Roman" w:ascii="Times New Roman" w:hAnsi="Times New Roman"/>
          <w:sz w:val="24"/>
          <w:szCs w:val="24"/>
        </w:rPr>
        <w:t>Po zakończeniu postępowania przetargowego, Przewodniczący Komisji sporządza protokół  z jego przebiegu, który winien zawierać następujące informacje:</w:t>
      </w:r>
    </w:p>
    <w:p>
      <w:pPr>
        <w:pStyle w:val="Normal"/>
        <w:numPr>
          <w:ilvl w:val="0"/>
          <w:numId w:val="23"/>
        </w:numPr>
        <w:tabs>
          <w:tab w:val="clear" w:pos="708"/>
        </w:tabs>
        <w:overflowPunct w:val="true"/>
        <w:spacing w:lineRule="auto" w:line="240" w:before="0" w:after="0"/>
        <w:ind w:left="1418" w:hanging="425"/>
        <w:contextualSpacing/>
        <w:jc w:val="both"/>
        <w:rPr>
          <w:rFonts w:ascii="Times New Roman" w:hAnsi="Times New Roman" w:cs="Times New Roman"/>
          <w:sz w:val="24"/>
          <w:szCs w:val="24"/>
        </w:rPr>
      </w:pPr>
      <w:r>
        <w:rPr>
          <w:rFonts w:cs="Times New Roman" w:ascii="Times New Roman" w:hAnsi="Times New Roman"/>
          <w:sz w:val="24"/>
          <w:szCs w:val="24"/>
        </w:rPr>
        <w:t>termin i miejsce oraz rodzaj przetargu,</w:t>
      </w:r>
    </w:p>
    <w:p>
      <w:pPr>
        <w:pStyle w:val="Normal"/>
        <w:numPr>
          <w:ilvl w:val="0"/>
          <w:numId w:val="23"/>
        </w:numPr>
        <w:tabs>
          <w:tab w:val="clear" w:pos="708"/>
        </w:tabs>
        <w:overflowPunct w:val="true"/>
        <w:spacing w:lineRule="auto" w:line="240" w:before="0" w:after="0"/>
        <w:ind w:left="1418" w:hanging="425"/>
        <w:contextualSpacing/>
        <w:jc w:val="both"/>
        <w:rPr>
          <w:rFonts w:ascii="Times New Roman" w:hAnsi="Times New Roman" w:cs="Times New Roman"/>
          <w:sz w:val="24"/>
          <w:szCs w:val="24"/>
        </w:rPr>
      </w:pPr>
      <w:r>
        <w:rPr>
          <w:rFonts w:cs="Times New Roman" w:ascii="Times New Roman" w:hAnsi="Times New Roman"/>
          <w:sz w:val="24"/>
          <w:szCs w:val="24"/>
        </w:rPr>
        <w:t>oznaczenie nieruchomości będącej przedmiotem przetargu według ewidencji gruntów i księgi wieczystej,</w:t>
      </w:r>
    </w:p>
    <w:p>
      <w:pPr>
        <w:pStyle w:val="Normal"/>
        <w:numPr>
          <w:ilvl w:val="0"/>
          <w:numId w:val="23"/>
        </w:numPr>
        <w:tabs>
          <w:tab w:val="clear" w:pos="708"/>
        </w:tabs>
        <w:overflowPunct w:val="true"/>
        <w:spacing w:lineRule="auto" w:line="240" w:before="0" w:after="0"/>
        <w:ind w:left="1418" w:hanging="425"/>
        <w:contextualSpacing/>
        <w:jc w:val="both"/>
        <w:rPr>
          <w:rFonts w:ascii="Times New Roman" w:hAnsi="Times New Roman" w:cs="Times New Roman"/>
          <w:sz w:val="24"/>
          <w:szCs w:val="24"/>
        </w:rPr>
      </w:pPr>
      <w:r>
        <w:rPr>
          <w:rFonts w:cs="Times New Roman" w:ascii="Times New Roman" w:hAnsi="Times New Roman"/>
          <w:sz w:val="24"/>
          <w:szCs w:val="24"/>
        </w:rPr>
        <w:t>o obciążeniach nieruchomości, sposobie i terminie zagospodarowania,</w:t>
      </w:r>
    </w:p>
    <w:p>
      <w:pPr>
        <w:pStyle w:val="Normal"/>
        <w:numPr>
          <w:ilvl w:val="0"/>
          <w:numId w:val="23"/>
        </w:numPr>
        <w:tabs>
          <w:tab w:val="clear" w:pos="708"/>
        </w:tabs>
        <w:overflowPunct w:val="true"/>
        <w:spacing w:lineRule="auto" w:line="240" w:before="40" w:after="0"/>
        <w:ind w:left="1418" w:hanging="425"/>
        <w:contextualSpacing/>
        <w:jc w:val="both"/>
        <w:rPr>
          <w:rFonts w:ascii="Times New Roman" w:hAnsi="Times New Roman" w:cs="Times New Roman"/>
          <w:spacing w:val="-4"/>
          <w:sz w:val="24"/>
          <w:szCs w:val="24"/>
        </w:rPr>
      </w:pPr>
      <w:r>
        <w:rPr>
          <w:rFonts w:cs="Times New Roman" w:ascii="Times New Roman" w:hAnsi="Times New Roman"/>
          <w:spacing w:val="-4"/>
          <w:sz w:val="24"/>
          <w:szCs w:val="24"/>
        </w:rPr>
        <w:t xml:space="preserve">o osobach dopuszczonych i niedopuszczonych do przetargu wraz </w:t>
        <w:br/>
        <w:t>z uzasadnieniem,</w:t>
      </w:r>
    </w:p>
    <w:p>
      <w:pPr>
        <w:pStyle w:val="Normal"/>
        <w:numPr>
          <w:ilvl w:val="0"/>
          <w:numId w:val="23"/>
        </w:numPr>
        <w:tabs>
          <w:tab w:val="clear" w:pos="708"/>
        </w:tabs>
        <w:overflowPunct w:val="true"/>
        <w:spacing w:lineRule="auto" w:line="240" w:before="40" w:after="0"/>
        <w:ind w:left="1418" w:hanging="425"/>
        <w:contextualSpacing/>
        <w:jc w:val="both"/>
        <w:rPr>
          <w:rFonts w:ascii="Times New Roman" w:hAnsi="Times New Roman" w:cs="Times New Roman"/>
          <w:sz w:val="24"/>
          <w:szCs w:val="24"/>
        </w:rPr>
      </w:pPr>
      <w:r>
        <w:rPr>
          <w:rFonts w:cs="Times New Roman" w:ascii="Times New Roman" w:hAnsi="Times New Roman"/>
          <w:sz w:val="24"/>
          <w:szCs w:val="24"/>
        </w:rPr>
        <w:t xml:space="preserve">opis wszystkich rozpatrywanych ofert (w szczególności zobowiązań Oferentów </w:t>
        <w:br/>
        <w:t>w związku z zamierzonymi nakładami na inwestycję oraz deklarowaną liczbą miejsc pracy) oraz ocenę punktową, jaką uzyskały w przetargu,</w:t>
      </w:r>
    </w:p>
    <w:p>
      <w:pPr>
        <w:pStyle w:val="Normal"/>
        <w:numPr>
          <w:ilvl w:val="0"/>
          <w:numId w:val="23"/>
        </w:numPr>
        <w:tabs>
          <w:tab w:val="clear" w:pos="708"/>
        </w:tabs>
        <w:overflowPunct w:val="true"/>
        <w:spacing w:lineRule="auto" w:line="240" w:before="40" w:after="0"/>
        <w:ind w:left="1418" w:hanging="425"/>
        <w:contextualSpacing/>
        <w:jc w:val="both"/>
        <w:rPr>
          <w:rFonts w:ascii="Times New Roman" w:hAnsi="Times New Roman" w:cs="Times New Roman"/>
          <w:sz w:val="24"/>
          <w:szCs w:val="24"/>
        </w:rPr>
      </w:pPr>
      <w:r>
        <w:rPr>
          <w:rFonts w:cs="Times New Roman" w:ascii="Times New Roman" w:hAnsi="Times New Roman"/>
          <w:sz w:val="24"/>
          <w:szCs w:val="24"/>
        </w:rPr>
        <w:t>wskazanie oferty uznanej za najkorzystniejszą, wraz z uzasadnieniem jej wyboru, imię i nazwisko i adres albo nazwę lub firmę oraz siedzibę osoby wyłonionej w przetargu jako nabywca nieruchomości.</w:t>
      </w:r>
    </w:p>
    <w:p>
      <w:pPr>
        <w:pStyle w:val="Normal"/>
        <w:numPr>
          <w:ilvl w:val="0"/>
          <w:numId w:val="23"/>
        </w:numPr>
        <w:tabs>
          <w:tab w:val="clear" w:pos="708"/>
        </w:tabs>
        <w:overflowPunct w:val="true"/>
        <w:spacing w:lineRule="auto" w:line="240" w:before="40" w:after="0"/>
        <w:ind w:left="1418" w:hanging="425"/>
        <w:contextualSpacing/>
        <w:jc w:val="both"/>
        <w:rPr>
          <w:rFonts w:ascii="Times New Roman" w:hAnsi="Times New Roman" w:cs="Times New Roman"/>
          <w:sz w:val="24"/>
          <w:szCs w:val="24"/>
        </w:rPr>
      </w:pPr>
      <w:r>
        <w:rPr>
          <w:rFonts w:cs="Times New Roman" w:ascii="Times New Roman" w:hAnsi="Times New Roman"/>
          <w:sz w:val="24"/>
          <w:szCs w:val="24"/>
        </w:rPr>
        <w:t>wysokość ceny uzyskanej w przetargu i termin jej wniesienia,</w:t>
      </w:r>
    </w:p>
    <w:p>
      <w:pPr>
        <w:pStyle w:val="Normal"/>
        <w:numPr>
          <w:ilvl w:val="0"/>
          <w:numId w:val="23"/>
        </w:numPr>
        <w:tabs>
          <w:tab w:val="clear" w:pos="708"/>
        </w:tabs>
        <w:overflowPunct w:val="true"/>
        <w:spacing w:lineRule="auto" w:line="240" w:before="0" w:after="0"/>
        <w:ind w:left="1418" w:hanging="425"/>
        <w:contextualSpacing/>
        <w:jc w:val="both"/>
        <w:rPr>
          <w:rFonts w:ascii="Times New Roman" w:hAnsi="Times New Roman" w:cs="Times New Roman"/>
          <w:sz w:val="24"/>
          <w:szCs w:val="24"/>
        </w:rPr>
      </w:pPr>
      <w:r>
        <w:rPr>
          <w:rFonts w:cs="Times New Roman" w:ascii="Times New Roman" w:hAnsi="Times New Roman"/>
          <w:sz w:val="24"/>
          <w:szCs w:val="24"/>
        </w:rPr>
        <w:t>imiona i nazwiska Przewodniczącego i członków Komisji,</w:t>
      </w:r>
    </w:p>
    <w:p>
      <w:pPr>
        <w:pStyle w:val="Normal"/>
        <w:numPr>
          <w:ilvl w:val="0"/>
          <w:numId w:val="23"/>
        </w:numPr>
        <w:tabs>
          <w:tab w:val="clear" w:pos="708"/>
        </w:tabs>
        <w:overflowPunct w:val="true"/>
        <w:spacing w:lineRule="auto" w:line="240" w:before="0" w:after="0"/>
        <w:ind w:left="1418" w:hanging="425"/>
        <w:contextualSpacing/>
        <w:jc w:val="both"/>
        <w:rPr>
          <w:rFonts w:ascii="Times New Roman" w:hAnsi="Times New Roman" w:cs="Times New Roman"/>
          <w:sz w:val="24"/>
          <w:szCs w:val="24"/>
        </w:rPr>
      </w:pPr>
      <w:r>
        <w:rPr>
          <w:rFonts w:cs="Times New Roman" w:ascii="Times New Roman" w:hAnsi="Times New Roman"/>
          <w:sz w:val="24"/>
          <w:szCs w:val="24"/>
        </w:rPr>
        <w:t>datę sporządzenia protokołu.</w:t>
      </w:r>
    </w:p>
    <w:p>
      <w:pPr>
        <w:pStyle w:val="Normal"/>
        <w:numPr>
          <w:ilvl w:val="0"/>
          <w:numId w:val="32"/>
        </w:numPr>
        <w:overflowPunct w:val="true"/>
        <w:spacing w:lineRule="auto" w:line="240" w:before="0" w:after="0"/>
        <w:ind w:left="993" w:hanging="425"/>
        <w:contextualSpacing/>
        <w:jc w:val="both"/>
        <w:rPr>
          <w:rFonts w:ascii="Times New Roman" w:hAnsi="Times New Roman" w:cs="Times New Roman"/>
          <w:sz w:val="24"/>
          <w:szCs w:val="24"/>
        </w:rPr>
      </w:pPr>
      <w:r>
        <w:rPr>
          <w:rFonts w:cs="Times New Roman" w:ascii="Times New Roman" w:hAnsi="Times New Roman"/>
          <w:sz w:val="24"/>
          <w:szCs w:val="24"/>
        </w:rPr>
        <w:t xml:space="preserve">Do protokołu załącza się wszystkie ekspertyzy sporządzone w związku </w:t>
        <w:br/>
        <w:t>z przetargiem oraz inne dokumenty sporządzane w trakcie jego trwania.</w:t>
      </w:r>
    </w:p>
    <w:p>
      <w:pPr>
        <w:pStyle w:val="Normal"/>
        <w:numPr>
          <w:ilvl w:val="0"/>
          <w:numId w:val="32"/>
        </w:numPr>
        <w:overflowPunct w:val="true"/>
        <w:spacing w:lineRule="auto" w:line="240" w:before="0" w:after="0"/>
        <w:ind w:left="993" w:hanging="425"/>
        <w:contextualSpacing/>
        <w:jc w:val="both"/>
        <w:rPr>
          <w:rFonts w:ascii="Times New Roman" w:hAnsi="Times New Roman" w:cs="Times New Roman"/>
          <w:sz w:val="24"/>
          <w:szCs w:val="24"/>
        </w:rPr>
      </w:pPr>
      <w:r>
        <w:rPr>
          <w:rFonts w:cs="Times New Roman" w:ascii="Times New Roman" w:hAnsi="Times New Roman"/>
          <w:sz w:val="24"/>
          <w:szCs w:val="24"/>
        </w:rPr>
        <w:t>Każdy członek Komisji ma prawo do wpisania do protokołu swego zdania odrębnego co do ostatecznego rozstrzygnięcia.</w:t>
      </w:r>
    </w:p>
    <w:p>
      <w:pPr>
        <w:pStyle w:val="Normal"/>
        <w:numPr>
          <w:ilvl w:val="0"/>
          <w:numId w:val="32"/>
        </w:numPr>
        <w:overflowPunct w:val="true"/>
        <w:spacing w:lineRule="auto" w:line="240" w:before="0" w:after="0"/>
        <w:ind w:left="993" w:hanging="425"/>
        <w:contextualSpacing/>
        <w:jc w:val="both"/>
        <w:rPr>
          <w:rFonts w:ascii="Times New Roman" w:hAnsi="Times New Roman" w:cs="Times New Roman"/>
          <w:sz w:val="24"/>
          <w:szCs w:val="24"/>
        </w:rPr>
      </w:pPr>
      <w:r>
        <w:rPr>
          <w:rFonts w:cs="Times New Roman" w:ascii="Times New Roman" w:hAnsi="Times New Roman"/>
          <w:sz w:val="24"/>
          <w:szCs w:val="24"/>
        </w:rPr>
        <w:t>Protokół z przeprowadzonego przetargu podpisuje Przewodniczący i wszyscy członkowie Komisji, a postępowanie przetargowe zostaje zamknięte.</w:t>
      </w:r>
    </w:p>
    <w:p>
      <w:pPr>
        <w:pStyle w:val="Tretekstu"/>
        <w:numPr>
          <w:ilvl w:val="0"/>
          <w:numId w:val="32"/>
        </w:numPr>
        <w:tabs>
          <w:tab w:val="clear" w:pos="708"/>
          <w:tab w:val="left" w:pos="-1843" w:leader="none"/>
        </w:tabs>
        <w:spacing w:before="0" w:after="0"/>
        <w:ind w:left="993" w:hanging="425"/>
        <w:contextualSpacing/>
        <w:rPr>
          <w:rFonts w:ascii="Times New Roman" w:hAnsi="Times New Roman"/>
          <w:szCs w:val="24"/>
        </w:rPr>
      </w:pPr>
      <w:r>
        <w:rPr>
          <w:rFonts w:ascii="Times New Roman" w:hAnsi="Times New Roman"/>
          <w:szCs w:val="24"/>
        </w:rPr>
        <w:t xml:space="preserve">Przewodniczący Komisji zawiadamia na piśmie uczestników o wyniku przetargu </w:t>
        <w:br/>
        <w:t xml:space="preserve">w terminie nie dłuższym niż </w:t>
      </w:r>
      <w:r>
        <w:rPr>
          <w:rFonts w:ascii="Times New Roman" w:hAnsi="Times New Roman"/>
          <w:b/>
          <w:szCs w:val="24"/>
        </w:rPr>
        <w:t>3 dni</w:t>
      </w:r>
      <w:r>
        <w:rPr>
          <w:rFonts w:ascii="Times New Roman" w:hAnsi="Times New Roman"/>
          <w:szCs w:val="24"/>
        </w:rPr>
        <w:t xml:space="preserve"> od dnia zamknięcia przetargu.</w:t>
      </w:r>
    </w:p>
    <w:p>
      <w:pPr>
        <w:pStyle w:val="Tretekstu"/>
        <w:numPr>
          <w:ilvl w:val="0"/>
          <w:numId w:val="32"/>
        </w:numPr>
        <w:tabs>
          <w:tab w:val="clear" w:pos="708"/>
          <w:tab w:val="left" w:pos="-1843" w:leader="none"/>
        </w:tabs>
        <w:spacing w:before="0" w:after="0"/>
        <w:ind w:left="993" w:hanging="425"/>
        <w:contextualSpacing/>
        <w:rPr>
          <w:rFonts w:ascii="Times New Roman" w:hAnsi="Times New Roman"/>
          <w:szCs w:val="24"/>
        </w:rPr>
      </w:pPr>
      <w:r>
        <w:rPr>
          <w:rFonts w:ascii="Times New Roman" w:hAnsi="Times New Roman"/>
          <w:szCs w:val="24"/>
        </w:rPr>
        <w:t>Protokół z przeprowadzonego przetargu stanowi podstawę do zawarcia umowy sprzedaży nieruchomości.</w:t>
      </w:r>
    </w:p>
    <w:p>
      <w:pPr>
        <w:pStyle w:val="Tretekstu"/>
        <w:tabs>
          <w:tab w:val="clear" w:pos="708"/>
          <w:tab w:val="left" w:pos="-1843" w:leader="none"/>
        </w:tabs>
        <w:spacing w:before="0" w:after="0"/>
        <w:contextualSpacing/>
        <w:rPr>
          <w:rFonts w:ascii="Times New Roman" w:hAnsi="Times New Roman"/>
          <w:spacing w:val="-4"/>
          <w:szCs w:val="24"/>
        </w:rPr>
      </w:pPr>
      <w:r>
        <w:rPr>
          <w:rFonts w:ascii="Times New Roman" w:hAnsi="Times New Roman"/>
          <w:spacing w:val="-4"/>
          <w:szCs w:val="24"/>
        </w:rPr>
      </w:r>
    </w:p>
    <w:p>
      <w:pPr>
        <w:pStyle w:val="Tretekstu"/>
        <w:numPr>
          <w:ilvl w:val="0"/>
          <w:numId w:val="33"/>
        </w:numPr>
        <w:tabs>
          <w:tab w:val="clear" w:pos="708"/>
          <w:tab w:val="left" w:pos="-1843" w:leader="none"/>
        </w:tabs>
        <w:spacing w:before="240" w:after="240"/>
        <w:ind w:left="425" w:hanging="425"/>
        <w:contextualSpacing/>
        <w:rPr>
          <w:rFonts w:ascii="Times New Roman" w:hAnsi="Times New Roman"/>
          <w:b/>
          <w:b/>
          <w:bCs/>
          <w:szCs w:val="24"/>
        </w:rPr>
      </w:pPr>
      <w:r>
        <w:rPr>
          <w:rFonts w:ascii="Times New Roman" w:hAnsi="Times New Roman"/>
          <w:b/>
          <w:bCs/>
          <w:szCs w:val="24"/>
        </w:rPr>
        <w:t>Zawarcie umowy</w:t>
      </w:r>
    </w:p>
    <w:p>
      <w:pPr>
        <w:pStyle w:val="Tretekstu"/>
        <w:numPr>
          <w:ilvl w:val="0"/>
          <w:numId w:val="26"/>
        </w:numPr>
        <w:tabs>
          <w:tab w:val="clear" w:pos="708"/>
          <w:tab w:val="left" w:pos="-1843" w:leader="none"/>
        </w:tabs>
        <w:spacing w:before="120" w:after="0"/>
        <w:ind w:left="993" w:hanging="425"/>
        <w:contextualSpacing/>
        <w:rPr>
          <w:rFonts w:ascii="Times New Roman" w:hAnsi="Times New Roman"/>
          <w:szCs w:val="24"/>
        </w:rPr>
      </w:pPr>
      <w:r>
        <w:rPr>
          <w:rFonts w:ascii="Times New Roman" w:hAnsi="Times New Roman"/>
          <w:szCs w:val="24"/>
        </w:rPr>
        <w:t xml:space="preserve">Oferenta, który został wyłoniony w przetargu jako nabywca nieruchomości, </w:t>
      </w:r>
      <w:r>
        <w:rPr>
          <w:rFonts w:ascii="Times New Roman" w:hAnsi="Times New Roman"/>
          <w:iCs/>
          <w:spacing w:val="-2"/>
          <w:szCs w:val="24"/>
        </w:rPr>
        <w:t xml:space="preserve">organizator przetargu </w:t>
      </w:r>
      <w:r>
        <w:rPr>
          <w:rFonts w:ascii="Times New Roman" w:hAnsi="Times New Roman"/>
          <w:spacing w:val="-2"/>
          <w:szCs w:val="24"/>
        </w:rPr>
        <w:t xml:space="preserve">w ciągu </w:t>
      </w:r>
      <w:r>
        <w:rPr>
          <w:rFonts w:ascii="Times New Roman" w:hAnsi="Times New Roman"/>
          <w:b/>
          <w:spacing w:val="-2"/>
          <w:szCs w:val="24"/>
        </w:rPr>
        <w:t>21 dni</w:t>
      </w:r>
      <w:r>
        <w:rPr>
          <w:rFonts w:ascii="Times New Roman" w:hAnsi="Times New Roman"/>
          <w:spacing w:val="-2"/>
          <w:szCs w:val="24"/>
        </w:rPr>
        <w:t xml:space="preserve"> od dnia rozstrzygnięcia przetargu zawiadomi </w:t>
        <w:br/>
        <w:t xml:space="preserve">o miejscu i terminie zawarcia aktu notarialnego mowy sprzedaży. Wyznaczony termin nie może być krótszy niż </w:t>
      </w:r>
      <w:r>
        <w:rPr>
          <w:rFonts w:ascii="Times New Roman" w:hAnsi="Times New Roman"/>
          <w:b/>
          <w:spacing w:val="-2"/>
          <w:szCs w:val="24"/>
        </w:rPr>
        <w:t>7 dni</w:t>
      </w:r>
      <w:r>
        <w:rPr>
          <w:rFonts w:ascii="Times New Roman" w:hAnsi="Times New Roman"/>
          <w:spacing w:val="-2"/>
          <w:szCs w:val="24"/>
        </w:rPr>
        <w:t xml:space="preserve"> od daty doręczenia zawiadomienia.</w:t>
      </w:r>
    </w:p>
    <w:p>
      <w:pPr>
        <w:pStyle w:val="Tretekstu"/>
        <w:numPr>
          <w:ilvl w:val="0"/>
          <w:numId w:val="26"/>
        </w:numPr>
        <w:spacing w:before="0" w:after="0"/>
        <w:ind w:left="993" w:hanging="425"/>
        <w:contextualSpacing/>
        <w:rPr>
          <w:rFonts w:ascii="Times New Roman" w:hAnsi="Times New Roman"/>
          <w:bCs/>
          <w:iCs/>
          <w:szCs w:val="24"/>
        </w:rPr>
      </w:pPr>
      <w:r>
        <w:rPr>
          <w:rFonts w:ascii="Times New Roman" w:hAnsi="Times New Roman"/>
          <w:bCs/>
          <w:iCs/>
          <w:szCs w:val="24"/>
        </w:rPr>
        <w:t xml:space="preserve">Osiągnięta w wyniku przetargu cena gruntu powiększona o podatek VAT </w:t>
      </w:r>
      <w:r>
        <w:rPr>
          <w:rFonts w:ascii="Times New Roman" w:hAnsi="Times New Roman"/>
          <w:bCs/>
          <w:iCs/>
          <w:spacing w:val="-2"/>
          <w:szCs w:val="24"/>
        </w:rPr>
        <w:t>w wysokości wynikającej z przepisów prawa</w:t>
      </w:r>
      <w:r>
        <w:rPr>
          <w:rFonts w:ascii="Times New Roman" w:hAnsi="Times New Roman"/>
          <w:bCs/>
          <w:iCs/>
          <w:szCs w:val="24"/>
        </w:rPr>
        <w:t xml:space="preserve">, przy uwzględnieniu kwoty wadium, jest płatna jednorazowo, a środki finansowe powinny znajdować się na rachunku Urzędu Miasta i Gminy Połaniec w BS Połaniec najpóźniej na </w:t>
      </w:r>
      <w:r>
        <w:rPr>
          <w:rFonts w:ascii="Times New Roman" w:hAnsi="Times New Roman"/>
          <w:b/>
          <w:bCs/>
          <w:iCs/>
          <w:szCs w:val="24"/>
        </w:rPr>
        <w:t>1 dzień</w:t>
      </w:r>
      <w:r>
        <w:rPr>
          <w:rFonts w:ascii="Times New Roman" w:hAnsi="Times New Roman"/>
          <w:bCs/>
          <w:iCs/>
          <w:szCs w:val="24"/>
        </w:rPr>
        <w:t xml:space="preserve"> przed podpisaniem aktu notarialnego umowy sprzedaży.</w:t>
      </w:r>
    </w:p>
    <w:p>
      <w:pPr>
        <w:pStyle w:val="Tretekstu"/>
        <w:numPr>
          <w:ilvl w:val="0"/>
          <w:numId w:val="26"/>
        </w:numPr>
        <w:tabs>
          <w:tab w:val="clear" w:pos="708"/>
          <w:tab w:val="left" w:pos="-1843" w:leader="none"/>
        </w:tabs>
        <w:spacing w:before="120" w:after="0"/>
        <w:ind w:left="993" w:hanging="425"/>
        <w:contextualSpacing/>
        <w:rPr>
          <w:rFonts w:ascii="Times New Roman" w:hAnsi="Times New Roman"/>
          <w:spacing w:val="-2"/>
          <w:szCs w:val="24"/>
        </w:rPr>
      </w:pPr>
      <w:r>
        <w:rPr>
          <w:rFonts w:ascii="Times New Roman" w:hAnsi="Times New Roman"/>
          <w:spacing w:val="-2"/>
          <w:szCs w:val="24"/>
        </w:rPr>
        <w:t xml:space="preserve">Jeżeli osoba ustalona jako nabywca nieruchomości nie stawi się bez usprawiedliwienia </w:t>
        <w:br/>
        <w:t xml:space="preserve">w miejscu i w terminie podanym w zawiadomieniu, o którym mowa w pkt. 11.1 niniejszego </w:t>
      </w:r>
      <w:r>
        <w:rPr>
          <w:rFonts w:ascii="Times New Roman" w:hAnsi="Times New Roman"/>
          <w:szCs w:val="24"/>
        </w:rPr>
        <w:t>Regulaminu przetargu, Burmistrz Miasta i Gminy Połaniec może odstąpić od zawarcia aktu notarialnego, a wpłacone wadium w tym wypadku nie podlega zwrotowi.</w:t>
      </w:r>
    </w:p>
    <w:p>
      <w:pPr>
        <w:pStyle w:val="Tretekstu"/>
        <w:numPr>
          <w:ilvl w:val="0"/>
          <w:numId w:val="26"/>
        </w:numPr>
        <w:tabs>
          <w:tab w:val="clear" w:pos="708"/>
          <w:tab w:val="left" w:pos="-1843" w:leader="none"/>
        </w:tabs>
        <w:spacing w:before="120" w:after="0"/>
        <w:ind w:left="993" w:hanging="425"/>
        <w:contextualSpacing/>
        <w:rPr>
          <w:rFonts w:ascii="Times New Roman" w:hAnsi="Times New Roman"/>
          <w:szCs w:val="24"/>
        </w:rPr>
      </w:pPr>
      <w:r>
        <w:rPr>
          <w:rFonts w:ascii="Times New Roman" w:hAnsi="Times New Roman"/>
          <w:szCs w:val="24"/>
        </w:rPr>
        <w:t>Wszelkie koszty sporządzenia umowy sprzedaży nieruchomości ponosi nabywca nieruchomości(w tym opłaty notarialne, skarbowe i sądowe).</w:t>
      </w:r>
    </w:p>
    <w:p>
      <w:pPr>
        <w:pStyle w:val="Tretekstu"/>
        <w:numPr>
          <w:ilvl w:val="0"/>
          <w:numId w:val="26"/>
        </w:numPr>
        <w:tabs>
          <w:tab w:val="clear" w:pos="708"/>
          <w:tab w:val="left" w:pos="-1843" w:leader="none"/>
        </w:tabs>
        <w:spacing w:before="120" w:after="0"/>
        <w:ind w:left="993" w:hanging="425"/>
        <w:contextualSpacing/>
        <w:rPr>
          <w:rFonts w:ascii="Times New Roman" w:hAnsi="Times New Roman"/>
          <w:szCs w:val="24"/>
        </w:rPr>
      </w:pPr>
      <w:r>
        <w:rPr>
          <w:rFonts w:ascii="Times New Roman" w:hAnsi="Times New Roman"/>
          <w:szCs w:val="24"/>
        </w:rPr>
        <w:t xml:space="preserve">Po zawarciu aktu, w terminie </w:t>
      </w:r>
      <w:r>
        <w:rPr>
          <w:rFonts w:ascii="Times New Roman" w:hAnsi="Times New Roman"/>
          <w:b/>
          <w:szCs w:val="24"/>
        </w:rPr>
        <w:t>14 dni</w:t>
      </w:r>
      <w:r>
        <w:rPr>
          <w:rFonts w:ascii="Times New Roman" w:hAnsi="Times New Roman"/>
          <w:szCs w:val="24"/>
        </w:rPr>
        <w:t xml:space="preserve"> nieruchomość zostanie przekazana nabywcy protokołem zdawczo - odbiorczym.</w:t>
      </w:r>
    </w:p>
    <w:p>
      <w:pPr>
        <w:pStyle w:val="Tretekstu"/>
        <w:tabs>
          <w:tab w:val="clear" w:pos="708"/>
          <w:tab w:val="left" w:pos="-1843" w:leader="none"/>
        </w:tabs>
        <w:spacing w:before="120" w:after="0"/>
        <w:ind w:left="993" w:hanging="0"/>
        <w:contextualSpacing/>
        <w:rPr>
          <w:rFonts w:ascii="Times New Roman" w:hAnsi="Times New Roman"/>
          <w:szCs w:val="24"/>
        </w:rPr>
      </w:pPr>
      <w:r>
        <w:rPr>
          <w:rFonts w:ascii="Times New Roman" w:hAnsi="Times New Roman"/>
          <w:szCs w:val="24"/>
        </w:rPr>
      </w:r>
    </w:p>
    <w:p>
      <w:pPr>
        <w:pStyle w:val="Tretekstu"/>
        <w:numPr>
          <w:ilvl w:val="0"/>
          <w:numId w:val="33"/>
        </w:numPr>
        <w:tabs>
          <w:tab w:val="clear" w:pos="708"/>
          <w:tab w:val="left" w:pos="-1843" w:leader="none"/>
        </w:tabs>
        <w:spacing w:before="240" w:after="240"/>
        <w:ind w:left="425" w:hanging="425"/>
        <w:contextualSpacing/>
        <w:rPr>
          <w:rFonts w:ascii="Times New Roman" w:hAnsi="Times New Roman"/>
          <w:b/>
          <w:b/>
          <w:bCs/>
          <w:szCs w:val="24"/>
        </w:rPr>
      </w:pPr>
      <w:r>
        <w:rPr>
          <w:rFonts w:ascii="Times New Roman" w:hAnsi="Times New Roman"/>
          <w:b/>
          <w:bCs/>
          <w:szCs w:val="24"/>
        </w:rPr>
        <w:t>Postanowienia końcowe</w:t>
      </w:r>
    </w:p>
    <w:p>
      <w:pPr>
        <w:pStyle w:val="Tretekstu"/>
        <w:numPr>
          <w:ilvl w:val="0"/>
          <w:numId w:val="24"/>
        </w:numPr>
        <w:tabs>
          <w:tab w:val="clear" w:pos="708"/>
          <w:tab w:val="left" w:pos="-1843" w:leader="none"/>
        </w:tabs>
        <w:spacing w:before="0" w:after="0"/>
        <w:ind w:left="993" w:hanging="425"/>
        <w:contextualSpacing/>
        <w:rPr>
          <w:rFonts w:ascii="Times New Roman" w:hAnsi="Times New Roman"/>
          <w:szCs w:val="24"/>
        </w:rPr>
      </w:pPr>
      <w:r>
        <w:rPr>
          <w:rFonts w:ascii="Times New Roman" w:hAnsi="Times New Roman"/>
          <w:szCs w:val="24"/>
        </w:rPr>
        <w:t>Uczestnik przetargu może zaskarżyć czynności związane z przeprowadzeniem przetargu do Burmistrza Miasta i Gminy Połaniec.</w:t>
      </w:r>
    </w:p>
    <w:p>
      <w:pPr>
        <w:pStyle w:val="Tretekstu"/>
        <w:numPr>
          <w:ilvl w:val="0"/>
          <w:numId w:val="24"/>
        </w:numPr>
        <w:tabs>
          <w:tab w:val="clear" w:pos="708"/>
          <w:tab w:val="left" w:pos="-1843" w:leader="none"/>
        </w:tabs>
        <w:spacing w:before="0" w:after="0"/>
        <w:ind w:left="993" w:hanging="425"/>
        <w:contextualSpacing/>
        <w:rPr>
          <w:rFonts w:ascii="Times New Roman" w:hAnsi="Times New Roman"/>
          <w:szCs w:val="24"/>
        </w:rPr>
      </w:pPr>
      <w:r>
        <w:rPr>
          <w:rFonts w:ascii="Times New Roman" w:hAnsi="Times New Roman"/>
          <w:szCs w:val="24"/>
        </w:rPr>
        <w:t xml:space="preserve">Skargę wnosi się w terminie </w:t>
      </w:r>
      <w:r>
        <w:rPr>
          <w:rFonts w:ascii="Times New Roman" w:hAnsi="Times New Roman"/>
          <w:b/>
          <w:szCs w:val="24"/>
        </w:rPr>
        <w:t>7 dni</w:t>
      </w:r>
      <w:r>
        <w:rPr>
          <w:rFonts w:ascii="Times New Roman" w:hAnsi="Times New Roman"/>
          <w:szCs w:val="24"/>
        </w:rPr>
        <w:t xml:space="preserve"> od dnia doręczenia zawiadomienia o wyniku przetargu.</w:t>
      </w:r>
    </w:p>
    <w:p>
      <w:pPr>
        <w:pStyle w:val="Tretekstu"/>
        <w:numPr>
          <w:ilvl w:val="0"/>
          <w:numId w:val="24"/>
        </w:numPr>
        <w:tabs>
          <w:tab w:val="clear" w:pos="708"/>
          <w:tab w:val="left" w:pos="-1843" w:leader="none"/>
        </w:tabs>
        <w:spacing w:before="0" w:after="0"/>
        <w:ind w:left="993" w:hanging="425"/>
        <w:contextualSpacing/>
        <w:rPr>
          <w:rFonts w:ascii="Times New Roman" w:hAnsi="Times New Roman"/>
          <w:szCs w:val="24"/>
        </w:rPr>
      </w:pPr>
      <w:r>
        <w:rPr>
          <w:rFonts w:ascii="Times New Roman" w:hAnsi="Times New Roman"/>
          <w:szCs w:val="24"/>
        </w:rPr>
        <w:t>Burmistrz Miasta i Gminy Połaniec może uznać skargę za zasadną i nakazać powtórzenie czynności przetargowych bądź unieważnić przetarg albo uznać skargę za niezasadną.</w:t>
      </w:r>
    </w:p>
    <w:p>
      <w:pPr>
        <w:pStyle w:val="Tretekstu"/>
        <w:numPr>
          <w:ilvl w:val="0"/>
          <w:numId w:val="24"/>
        </w:numPr>
        <w:tabs>
          <w:tab w:val="clear" w:pos="708"/>
          <w:tab w:val="left" w:pos="-1843" w:leader="none"/>
        </w:tabs>
        <w:spacing w:before="0" w:after="0"/>
        <w:ind w:left="993" w:hanging="425"/>
        <w:contextualSpacing/>
        <w:rPr>
          <w:rFonts w:ascii="Times New Roman" w:hAnsi="Times New Roman"/>
          <w:szCs w:val="24"/>
        </w:rPr>
      </w:pPr>
      <w:r>
        <w:rPr>
          <w:rFonts w:ascii="Times New Roman" w:hAnsi="Times New Roman"/>
          <w:szCs w:val="24"/>
        </w:rPr>
        <w:t>W przypadku wniesienia skargi Burmistrz Miasta i Gminy Połaniec wstrzymuje, do czasu jej rozpatrzenia, dalsze czynności związane ze zbyciem nieruchomości.</w:t>
      </w:r>
    </w:p>
    <w:p>
      <w:pPr>
        <w:pStyle w:val="Nagwek2"/>
        <w:spacing w:before="240" w:after="200"/>
        <w:ind w:left="5670" w:hanging="0"/>
        <w:contextualSpacing/>
        <w:jc w:val="center"/>
        <w:rPr>
          <w:rFonts w:ascii="Times New Roman" w:hAnsi="Times New Roman" w:cs="Times New Roman"/>
          <w:b w:val="false"/>
          <w:b w:val="false"/>
          <w:i w:val="false"/>
          <w:i w:val="false"/>
          <w:sz w:val="20"/>
          <w:szCs w:val="20"/>
        </w:rPr>
      </w:pPr>
      <w:r>
        <w:rPr>
          <w:rFonts w:cs="Times New Roman" w:ascii="Times New Roman" w:hAnsi="Times New Roman"/>
          <w:b w:val="false"/>
          <w:i w:val="false"/>
          <w:sz w:val="20"/>
          <w:szCs w:val="20"/>
        </w:rPr>
        <w:t>Załącznik Nr 1 do Regulaminu przetargu</w:t>
      </w:r>
    </w:p>
    <w:p>
      <w:pPr>
        <w:pStyle w:val="Nagwek2"/>
        <w:spacing w:before="240" w:after="200"/>
        <w:ind w:left="5670" w:hanging="0"/>
        <w:contextualSpacing/>
        <w:rPr>
          <w:rFonts w:ascii="Times New Roman" w:hAnsi="Times New Roman" w:cs="Times New Roman"/>
          <w:b w:val="false"/>
          <w:b w:val="false"/>
          <w:i w:val="false"/>
          <w:i w:val="false"/>
          <w:sz w:val="20"/>
          <w:szCs w:val="20"/>
        </w:rPr>
      </w:pPr>
      <w:r>
        <w:rPr>
          <w:rFonts w:cs="Times New Roman" w:ascii="Times New Roman" w:hAnsi="Times New Roman"/>
          <w:b w:val="false"/>
          <w:i w:val="false"/>
          <w:sz w:val="20"/>
          <w:szCs w:val="20"/>
        </w:rPr>
        <w:t xml:space="preserve">  </w:t>
      </w:r>
      <w:r>
        <w:rPr>
          <w:rFonts w:cs="Times New Roman" w:ascii="Times New Roman" w:hAnsi="Times New Roman"/>
          <w:b w:val="false"/>
          <w:i w:val="false"/>
          <w:sz w:val="20"/>
          <w:szCs w:val="20"/>
        </w:rPr>
        <w:t>z dnia 19 sierpnia 2021 roku</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t>Połaniec, dnia …………………2021 r.</w:t>
      </w:r>
    </w:p>
    <w:p>
      <w:pPr>
        <w:pStyle w:val="Tytu"/>
        <w:spacing w:before="0" w:after="240"/>
        <w:contextualSpacing/>
        <w:jc w:val="left"/>
        <w:rPr>
          <w:sz w:val="24"/>
          <w:szCs w:val="24"/>
        </w:rPr>
      </w:pPr>
      <w:r>
        <w:rPr>
          <w:sz w:val="24"/>
          <w:szCs w:val="24"/>
        </w:rPr>
      </w:r>
    </w:p>
    <w:p>
      <w:pPr>
        <w:pStyle w:val="Tytu"/>
        <w:spacing w:before="0" w:after="240"/>
        <w:contextualSpacing/>
        <w:rPr>
          <w:sz w:val="24"/>
          <w:szCs w:val="24"/>
        </w:rPr>
      </w:pPr>
      <w:r>
        <w:rPr>
          <w:sz w:val="24"/>
          <w:szCs w:val="24"/>
        </w:rPr>
        <w:t>OŚWIADCZENIE</w:t>
      </w:r>
    </w:p>
    <w:p>
      <w:pPr>
        <w:pStyle w:val="Tretekstu"/>
        <w:spacing w:before="0" w:after="200"/>
        <w:contextualSpacing/>
        <w:rPr>
          <w:rFonts w:ascii="Times New Roman" w:hAnsi="Times New Roman"/>
          <w:b/>
          <w:b/>
          <w:spacing w:val="-8"/>
          <w:szCs w:val="24"/>
        </w:rPr>
      </w:pPr>
      <w:r>
        <w:rPr>
          <w:rFonts w:ascii="Times New Roman" w:hAnsi="Times New Roman"/>
          <w:spacing w:val="-4"/>
          <w:szCs w:val="24"/>
        </w:rPr>
        <w:t>Przewodniczącego/członków</w:t>
      </w:r>
      <w:r>
        <w:rPr>
          <w:rFonts w:ascii="Times New Roman" w:hAnsi="Times New Roman"/>
          <w:spacing w:val="-4"/>
          <w:szCs w:val="24"/>
          <w:vertAlign w:val="superscript"/>
        </w:rPr>
        <w:t>*</w:t>
      </w:r>
      <w:r>
        <w:rPr>
          <w:rFonts w:ascii="Times New Roman" w:hAnsi="Times New Roman"/>
          <w:spacing w:val="-4"/>
          <w:szCs w:val="24"/>
        </w:rPr>
        <w:t xml:space="preserve">) Komisji Przetargowej wyznaczonej w celu przeprowadzenia </w:t>
      </w:r>
      <w:r>
        <w:rPr>
          <w:rFonts w:ascii="Times New Roman" w:hAnsi="Times New Roman"/>
          <w:b/>
          <w:bCs/>
          <w:szCs w:val="24"/>
        </w:rPr>
        <w:t xml:space="preserve">pierwszego przetargu pisemnego nieograniczonego </w:t>
      </w:r>
      <w:r>
        <w:rPr>
          <w:rFonts w:ascii="Times New Roman" w:hAnsi="Times New Roman"/>
          <w:b/>
          <w:spacing w:val="-2"/>
          <w:szCs w:val="24"/>
        </w:rPr>
        <w:t xml:space="preserve">na sprzedaż niezabudowanej nieruchomości gruntowej, obszaru inwestycyjnego III o powierzchni 05491 ha, stanowiącej własność Gminy Połaniec, położonej </w:t>
      </w:r>
      <w:r>
        <w:rPr>
          <w:rFonts w:ascii="Times New Roman" w:hAnsi="Times New Roman"/>
          <w:b/>
          <w:spacing w:val="-8"/>
          <w:szCs w:val="24"/>
        </w:rPr>
        <w:t>w Połańcu przy ulicy Wyzwolenia, w obrębie Strefy Inwestycyjnej B.</w:t>
      </w:r>
    </w:p>
    <w:p>
      <w:pPr>
        <w:pStyle w:val="Normal"/>
        <w:spacing w:lineRule="auto" w:line="240" w:before="0" w:after="200"/>
        <w:contextualSpacing/>
        <w:jc w:val="both"/>
        <w:rPr>
          <w:rFonts w:ascii="Times New Roman" w:hAnsi="Times New Roman" w:cs="Times New Roman"/>
          <w:b/>
          <w:b/>
          <w:spacing w:val="-2"/>
          <w:sz w:val="24"/>
          <w:szCs w:val="24"/>
        </w:rPr>
      </w:pPr>
      <w:r>
        <w:rPr>
          <w:rFonts w:cs="Times New Roman" w:ascii="Times New Roman" w:hAnsi="Times New Roman"/>
          <w:b/>
          <w:spacing w:val="-2"/>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Ja, niżej podpisany/a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PESEL:………………………zamieszkały/ła…………………………………………………</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jako Przewodniczący/członek Komisji Przetargowej* powołanej zarządzeniem Nr 94/2021 Burmistrza Miasta i Gminy Połaniec z dnia 19 sierpnia 2021 roku </w:t>
      </w:r>
      <w:r>
        <w:rPr>
          <w:rFonts w:cs="Times New Roman" w:ascii="Times New Roman" w:hAnsi="Times New Roman"/>
          <w:bCs/>
          <w:sz w:val="24"/>
          <w:szCs w:val="24"/>
        </w:rPr>
        <w:t>oświadczam, że:</w:t>
      </w:r>
    </w:p>
    <w:p>
      <w:pPr>
        <w:pStyle w:val="Tretekstu"/>
        <w:numPr>
          <w:ilvl w:val="0"/>
          <w:numId w:val="41"/>
        </w:numPr>
        <w:overflowPunct w:val="false"/>
        <w:spacing w:before="0" w:after="200"/>
        <w:ind w:left="426" w:hanging="360"/>
        <w:contextualSpacing/>
        <w:rPr>
          <w:rFonts w:ascii="Times New Roman" w:hAnsi="Times New Roman"/>
          <w:bCs/>
          <w:szCs w:val="24"/>
        </w:rPr>
      </w:pPr>
      <w:r>
        <w:rPr>
          <w:rFonts w:ascii="Times New Roman" w:hAnsi="Times New Roman"/>
          <w:bCs/>
          <w:szCs w:val="24"/>
        </w:rPr>
        <w:t>nie pozostaję w związku małżeńskim albo w stosunku pokrewieństwa lub powinowactwa w linii prostej, pokrewieństwa lub powinowactwa w linii bocznej do drugiego stopnia włącznie z oferentem, jego zastępcą prawnym (pełnomocnikiem) lub członkami władz osób prawnych / jednostek organizacyjnych nieposiadających osobowości prawnej, stających do przetargu,</w:t>
      </w:r>
    </w:p>
    <w:p>
      <w:pPr>
        <w:pStyle w:val="Tretekstu"/>
        <w:numPr>
          <w:ilvl w:val="0"/>
          <w:numId w:val="41"/>
        </w:numPr>
        <w:overflowPunct w:val="false"/>
        <w:spacing w:before="120" w:after="200"/>
        <w:ind w:left="426" w:hanging="360"/>
        <w:contextualSpacing/>
        <w:rPr>
          <w:rFonts w:ascii="Times New Roman" w:hAnsi="Times New Roman"/>
          <w:bCs/>
          <w:szCs w:val="24"/>
        </w:rPr>
      </w:pPr>
      <w:r>
        <w:rPr>
          <w:rFonts w:ascii="Times New Roman" w:hAnsi="Times New Roman"/>
          <w:bCs/>
          <w:szCs w:val="24"/>
        </w:rPr>
        <w:t>nie jestem związany z tytułu przysposobienia, opieki lub kurateli z oferentem, jego zastępcą prawnym (pełnomocnikiem) lub członkami władz osób prawnych (jednostek organizacyjnych), stających do przetargu,</w:t>
      </w:r>
    </w:p>
    <w:p>
      <w:pPr>
        <w:pStyle w:val="Tretekstu"/>
        <w:numPr>
          <w:ilvl w:val="0"/>
          <w:numId w:val="41"/>
        </w:numPr>
        <w:overflowPunct w:val="false"/>
        <w:spacing w:before="120" w:after="200"/>
        <w:ind w:left="426" w:hanging="360"/>
        <w:contextualSpacing/>
        <w:rPr>
          <w:rFonts w:ascii="Times New Roman" w:hAnsi="Times New Roman"/>
          <w:szCs w:val="24"/>
        </w:rPr>
      </w:pPr>
      <w:r>
        <w:rPr>
          <w:rFonts w:ascii="Times New Roman" w:hAnsi="Times New Roman"/>
          <w:bCs/>
          <w:szCs w:val="24"/>
        </w:rPr>
        <w:t>przed upływem trzech lat od daty wszczęcia postępowania przetargowego nie byłem związany stosunkiem pracy lub zlecenia ani jakimkolwiek innym podobnym stosunkiem z oferentem, pełnomocnikiem oferenta albo członkami władz osób prawnych (jednostek organizacyjnych) stających do przetargu bądź ich pełnomocnikiem/zastępcą;</w:t>
      </w:r>
    </w:p>
    <w:p>
      <w:pPr>
        <w:pStyle w:val="Tretekstu"/>
        <w:numPr>
          <w:ilvl w:val="0"/>
          <w:numId w:val="41"/>
        </w:numPr>
        <w:overflowPunct w:val="false"/>
        <w:spacing w:before="120" w:after="200"/>
        <w:ind w:left="426" w:hanging="360"/>
        <w:contextualSpacing/>
        <w:rPr>
          <w:rFonts w:ascii="Times New Roman" w:hAnsi="Times New Roman"/>
          <w:bCs/>
          <w:szCs w:val="24"/>
        </w:rPr>
      </w:pPr>
      <w:r>
        <w:rPr>
          <w:rFonts w:ascii="Times New Roman" w:hAnsi="Times New Roman"/>
          <w:bCs/>
          <w:szCs w:val="24"/>
        </w:rPr>
        <w:t xml:space="preserve">nie pozostaję z oferentem, pełnomocnikiem oferenta albo członkami władz osób prawnych (jednostek organizacyjnych) stających do przetargu bądź ich pełnomocnikiem/zastępcą </w:t>
        <w:br/>
        <w:t>w takim stosunku prawnym lub faktycznym, że może to budzić uzasadnione wątpliwości, co do mojej bezstronności.</w:t>
      </w:r>
    </w:p>
    <w:p>
      <w:pPr>
        <w:pStyle w:val="Tretekstu"/>
        <w:spacing w:before="120" w:after="200"/>
        <w:contextualSpacing/>
        <w:rPr>
          <w:rFonts w:ascii="Times New Roman" w:hAnsi="Times New Roman"/>
          <w:bCs/>
          <w:szCs w:val="24"/>
        </w:rPr>
      </w:pPr>
      <w:r>
        <w:rPr>
          <w:rFonts w:ascii="Times New Roman" w:hAnsi="Times New Roman"/>
          <w:szCs w:val="24"/>
        </w:rPr>
        <w:t>O zmianie powyższych okoliczności zobowiązuję się powiadomić niezwłocznie Przewodniczącego Komisji (osobę go zastępującą ) na piśmie poprzez złożenie oświadczenia.</w:t>
      </w:r>
    </w:p>
    <w:p>
      <w:pPr>
        <w:pStyle w:val="Tretekstu"/>
        <w:spacing w:before="120" w:after="200"/>
        <w:contextualSpacing/>
        <w:rPr>
          <w:rFonts w:ascii="Times New Roman" w:hAnsi="Times New Roman"/>
          <w:bCs/>
          <w:szCs w:val="24"/>
        </w:rPr>
      </w:pPr>
      <w:r>
        <w:rPr>
          <w:rFonts w:ascii="Times New Roman" w:hAnsi="Times New Roman"/>
          <w:bCs/>
          <w:szCs w:val="24"/>
        </w:rPr>
      </w:r>
    </w:p>
    <w:p>
      <w:pPr>
        <w:pStyle w:val="Tretekstu"/>
        <w:spacing w:before="120" w:after="200"/>
        <w:contextualSpacing/>
        <w:rPr>
          <w:rFonts w:ascii="Times New Roman" w:hAnsi="Times New Roman"/>
          <w:bCs/>
          <w:szCs w:val="24"/>
        </w:rPr>
      </w:pPr>
      <w:r>
        <w:rPr>
          <w:rFonts w:ascii="Times New Roman" w:hAnsi="Times New Roman"/>
          <w:bCs/>
          <w:szCs w:val="24"/>
        </w:rPr>
      </w:r>
    </w:p>
    <w:p>
      <w:pPr>
        <w:pStyle w:val="Tretekstu"/>
        <w:spacing w:before="120" w:after="200"/>
        <w:contextualSpacing/>
        <w:rPr>
          <w:rFonts w:ascii="Times New Roman" w:hAnsi="Times New Roman"/>
          <w:szCs w:val="24"/>
        </w:rPr>
      </w:pPr>
      <w:r>
        <w:rPr>
          <w:rFonts w:ascii="Times New Roman" w:hAnsi="Times New Roman"/>
          <w:szCs w:val="24"/>
        </w:rPr>
        <w:t>*) niepotrzebne skreślić</w:t>
      </w:r>
    </w:p>
    <w:p>
      <w:pPr>
        <w:pStyle w:val="Normal"/>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podpis ...............................................................</w:t>
      </w:r>
    </w:p>
    <w:sectPr>
      <w:headerReference w:type="default" r:id="rId15"/>
      <w:footerReference w:type="default" r:id="rId16"/>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Arial" w:hAnsi="Arial" w:cs="Arial"/>
        <w:i/>
        <w:i/>
        <w:sz w:val="6"/>
        <w:szCs w:val="6"/>
        <w:lang w:val="pl-PL"/>
      </w:rPr>
    </w:pPr>
    <w:r>
      <w:rPr>
        <w:rFonts w:cs="Arial" w:ascii="Arial" w:hAnsi="Arial"/>
        <w:i/>
        <w:sz w:val="6"/>
        <w:szCs w:val="6"/>
        <w:lang w:val="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Pr>
    </w:lvl>
  </w:abstractNum>
  <w:abstractNum w:abstractNumId="7">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Fonts w:cs="Courier New"/>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Fonts w:cs="Courier New"/>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Fonts w:cs="Courier New"/>
      </w:rPr>
    </w:lvl>
    <w:lvl w:ilvl="8">
      <w:start w:val="1"/>
      <w:numFmt w:val="bullet"/>
      <w:lvlText w:val=""/>
      <w:lvlJc w:val="left"/>
      <w:pPr>
        <w:ind w:left="6546"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1"/>
      <w:numFmt w:val="lowerLetter"/>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lvl w:ilvl="0">
      <w:start w:val="1"/>
      <w:numFmt w:val="decimal"/>
      <w:lvlText w:val="%1."/>
      <w:lvlJc w:val="left"/>
      <w:pPr>
        <w:ind w:left="720" w:hanging="360"/>
      </w:pPr>
      <w:rPr>
        <w:sz w:val="24"/>
        <w:b/>
        <w:szCs w:val="24"/>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lvl w:ilvl="0">
      <w:start w:val="1"/>
      <w:numFmt w:val="decimal"/>
      <w:lvlText w:val="%1)"/>
      <w:lvlJc w:val="left"/>
      <w:pPr>
        <w:tabs>
          <w:tab w:val="num" w:pos="360"/>
        </w:tabs>
        <w:ind w:left="360" w:hanging="360"/>
      </w:pPr>
    </w:lvl>
    <w:lvl w:ilvl="1">
      <w:start w:val="1"/>
      <w:numFmt w:val="lowerLetter"/>
      <w:lvlText w:val="%2."/>
      <w:lvlJc w:val="left"/>
      <w:pPr>
        <w:tabs>
          <w:tab w:val="num" w:pos="1200"/>
        </w:tabs>
        <w:ind w:left="1200" w:hanging="360"/>
      </w:pPr>
    </w:lvl>
    <w:lvl w:ilvl="2">
      <w:start w:val="1"/>
      <w:numFmt w:val="lowerLetter"/>
      <w:lvlText w:val="%3)"/>
      <w:lvlJc w:val="left"/>
      <w:pPr>
        <w:tabs>
          <w:tab w:val="num" w:pos="927"/>
        </w:tabs>
        <w:ind w:left="927"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ind w:left="720" w:hanging="360"/>
      </w:pPr>
      <w:rPr>
        <w:sz w:val="24"/>
        <w:i w:val="false"/>
        <w:b w:val="false"/>
        <w:szCs w:val="24"/>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ind w:left="720" w:hanging="360"/>
      </w:pPr>
      <w:rPr>
        <w:sz w:val="24"/>
        <w:i w:val="false"/>
        <w:b w:val="false"/>
        <w:szCs w:val="24"/>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lowerLetter"/>
      <w:lvlText w:val="%1)"/>
      <w:lvlJc w:val="left"/>
      <w:pPr>
        <w:tabs>
          <w:tab w:val="num" w:pos="720"/>
        </w:tabs>
        <w:ind w:left="720" w:hanging="360"/>
      </w:pPr>
      <w:rPr>
        <w:sz w:val="24"/>
        <w:szCs w:val="24"/>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lowerLetter"/>
      <w:lvlText w:val="%1)"/>
      <w:lvlJc w:val="left"/>
      <w:pPr>
        <w:tabs>
          <w:tab w:val="num" w:pos="720"/>
        </w:tabs>
        <w:ind w:left="720" w:hanging="360"/>
      </w:pPr>
      <w:rPr>
        <w:sz w:val="24"/>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lowerLetter"/>
      <w:lvlText w:val="%1)"/>
      <w:lvlJc w:val="left"/>
      <w:pPr>
        <w:tabs>
          <w:tab w:val="num" w:pos="720"/>
        </w:tabs>
        <w:ind w:left="720" w:hanging="360"/>
      </w:pPr>
      <w:rPr>
        <w:sz w:val="24"/>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upperRoman"/>
      <w:lvlText w:val="%1."/>
      <w:lvlJc w:val="right"/>
      <w:pPr>
        <w:ind w:left="720" w:hanging="360"/>
      </w:pPr>
      <w:rPr>
        <w:sz w:val="24"/>
        <w:szCs w:val="24"/>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ind w:left="644" w:hanging="360"/>
      </w:pPr>
      <w:rPr>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786"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lowerLetter"/>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decimal"/>
      <w:lvlText w:val="%1)"/>
      <w:lvlJc w:val="left"/>
      <w:pPr>
        <w:ind w:left="720" w:hanging="360"/>
      </w:pPr>
      <w:rPr>
        <w:sz w:val="24"/>
        <w:i w:val="false"/>
        <w:b w:val="false"/>
        <w:szCs w:val="24"/>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1"/>
      <w:numFmt w:val="decimal"/>
      <w:lvlText w:val="%1."/>
      <w:lvlJc w:val="left"/>
      <w:pPr>
        <w:tabs>
          <w:tab w:val="num" w:pos="420"/>
        </w:tabs>
        <w:ind w:left="4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lvl w:ilvl="0">
      <w:start w:val="1"/>
      <w:numFmt w:val="decimal"/>
      <w:lvlText w:val="%1)"/>
      <w:lvlJc w:val="left"/>
      <w:pPr>
        <w:ind w:left="720" w:hanging="360"/>
      </w:pPr>
      <w:rPr>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36">
    <w:lvl w:ilvl="0">
      <w:start w:val="5"/>
      <w:numFmt w:val="decimal"/>
      <w:lvlText w:val="%1)"/>
      <w:lvlJc w:val="left"/>
      <w:pPr>
        <w:ind w:left="1440" w:hanging="360"/>
      </w:pPr>
      <w:rPr>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lowerLetter"/>
      <w:lvlText w:val="%1)"/>
      <w:lvlJc w:val="left"/>
      <w:pPr>
        <w:ind w:left="2516" w:hanging="360"/>
      </w:pPr>
      <w:rPr>
        <w:b/>
      </w:rPr>
    </w:lvl>
    <w:lvl w:ilvl="1">
      <w:start w:val="1"/>
      <w:numFmt w:val="bullet"/>
      <w:lvlText w:val="o"/>
      <w:lvlJc w:val="left"/>
      <w:pPr>
        <w:ind w:left="3236" w:hanging="360"/>
      </w:pPr>
      <w:rPr>
        <w:rFonts w:ascii="Courier New" w:hAnsi="Courier New" w:cs="Courier New" w:hint="default"/>
        <w:rFonts w:cs="Courier New"/>
      </w:rPr>
    </w:lvl>
    <w:lvl w:ilvl="2">
      <w:start w:val="1"/>
      <w:numFmt w:val="bullet"/>
      <w:lvlText w:val=""/>
      <w:lvlJc w:val="left"/>
      <w:pPr>
        <w:ind w:left="3956" w:hanging="360"/>
      </w:pPr>
      <w:rPr>
        <w:rFonts w:ascii="Wingdings" w:hAnsi="Wingdings" w:cs="Wingdings" w:hint="default"/>
      </w:rPr>
    </w:lvl>
    <w:lvl w:ilvl="3">
      <w:start w:val="1"/>
      <w:numFmt w:val="bullet"/>
      <w:lvlText w:val=""/>
      <w:lvlJc w:val="left"/>
      <w:pPr>
        <w:ind w:left="4676" w:hanging="360"/>
      </w:pPr>
      <w:rPr>
        <w:rFonts w:ascii="Symbol" w:hAnsi="Symbol" w:cs="Symbol" w:hint="default"/>
      </w:rPr>
    </w:lvl>
    <w:lvl w:ilvl="4">
      <w:start w:val="1"/>
      <w:numFmt w:val="bullet"/>
      <w:lvlText w:val="o"/>
      <w:lvlJc w:val="left"/>
      <w:pPr>
        <w:ind w:left="5396" w:hanging="360"/>
      </w:pPr>
      <w:rPr>
        <w:rFonts w:ascii="Courier New" w:hAnsi="Courier New" w:cs="Courier New" w:hint="default"/>
        <w:rFonts w:cs="Courier New"/>
      </w:rPr>
    </w:lvl>
    <w:lvl w:ilvl="5">
      <w:start w:val="1"/>
      <w:numFmt w:val="bullet"/>
      <w:lvlText w:val=""/>
      <w:lvlJc w:val="left"/>
      <w:pPr>
        <w:ind w:left="6116" w:hanging="360"/>
      </w:pPr>
      <w:rPr>
        <w:rFonts w:ascii="Wingdings" w:hAnsi="Wingdings" w:cs="Wingdings" w:hint="default"/>
      </w:rPr>
    </w:lvl>
    <w:lvl w:ilvl="6">
      <w:start w:val="1"/>
      <w:numFmt w:val="bullet"/>
      <w:lvlText w:val=""/>
      <w:lvlJc w:val="left"/>
      <w:pPr>
        <w:ind w:left="6836" w:hanging="360"/>
      </w:pPr>
      <w:rPr>
        <w:rFonts w:ascii="Symbol" w:hAnsi="Symbol" w:cs="Symbol" w:hint="default"/>
      </w:rPr>
    </w:lvl>
    <w:lvl w:ilvl="7">
      <w:start w:val="1"/>
      <w:numFmt w:val="bullet"/>
      <w:lvlText w:val="o"/>
      <w:lvlJc w:val="left"/>
      <w:pPr>
        <w:ind w:left="7556" w:hanging="360"/>
      </w:pPr>
      <w:rPr>
        <w:rFonts w:ascii="Courier New" w:hAnsi="Courier New" w:cs="Courier New" w:hint="default"/>
        <w:rFonts w:cs="Courier New"/>
      </w:rPr>
    </w:lvl>
    <w:lvl w:ilvl="8">
      <w:start w:val="1"/>
      <w:numFmt w:val="bullet"/>
      <w:lvlText w:val=""/>
      <w:lvlJc w:val="left"/>
      <w:pPr>
        <w:ind w:left="8276" w:hanging="360"/>
      </w:pPr>
      <w:rPr>
        <w:rFonts w:ascii="Wingdings" w:hAnsi="Wingdings" w:cs="Wingdings" w:hint="default"/>
      </w:rPr>
    </w:lvl>
  </w:abstractNum>
  <w:abstractNum w:abstractNumId="38">
    <w:lvl w:ilvl="0">
      <w:start w:val="1"/>
      <w:numFmt w:val="lowerLetter"/>
      <w:lvlText w:val="%1)"/>
      <w:lvlJc w:val="left"/>
      <w:pPr>
        <w:ind w:left="720" w:hanging="360"/>
      </w:pPr>
      <w:rPr>
        <w:b/>
        <w:rFonts w:ascii="Times New Roman" w:hAnsi="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
      <w:numFmt w:val="lowerLetter"/>
      <w:lvlText w:val="%1)"/>
      <w:lvlJc w:val="left"/>
      <w:pPr>
        <w:ind w:left="720" w:hanging="360"/>
      </w:pPr>
      <w:rPr>
        <w:b/>
        <w:rFonts w:ascii="Times New Roman" w:hAnsi="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5"/>
      <w:numFmt w:val="decimal"/>
      <w:lvlText w:val="%1)"/>
      <w:lvlJc w:val="left"/>
      <w:pPr>
        <w:ind w:left="720" w:hanging="360"/>
      </w:pPr>
      <w:rPr>
        <w:sz w:val="24"/>
        <w:i w:val="false"/>
        <w:b/>
        <w:szCs w:val="24"/>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1"/>
      <w:numFmt w:val="bullet"/>
      <w:lvlText w:val=""/>
      <w:lvlJc w:val="left"/>
      <w:pPr>
        <w:ind w:left="1440" w:hanging="360"/>
      </w:pPr>
      <w:rPr>
        <w:rFonts w:ascii="Symbol" w:hAnsi="Symbol" w:cs="Symbol" w:hint="default"/>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30bc"/>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2">
    <w:name w:val="Heading 2"/>
    <w:basedOn w:val="Normal"/>
    <w:next w:val="Normal"/>
    <w:link w:val="Nagwek2Znak"/>
    <w:qFormat/>
    <w:rsid w:val="00c147a1"/>
    <w:pPr>
      <w:keepNext w:val="true"/>
      <w:spacing w:lineRule="auto" w:line="240" w:before="240" w:after="60"/>
      <w:outlineLvl w:val="1"/>
    </w:pPr>
    <w:rPr>
      <w:rFonts w:ascii="Arial" w:hAnsi="Arial" w:eastAsia="Times New Roman" w:cs="Arial"/>
      <w:b/>
      <w:bCs/>
      <w:i/>
      <w:iCs/>
      <w:sz w:val="28"/>
      <w:szCs w:val="28"/>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link w:val="Tekstpodstawowy"/>
    <w:qFormat/>
    <w:rsid w:val="00b11d3f"/>
    <w:rPr>
      <w:rFonts w:ascii="Arial" w:hAnsi="Arial" w:eastAsia="Times New Roman" w:cs="Times New Roman"/>
      <w:sz w:val="24"/>
      <w:szCs w:val="20"/>
    </w:rPr>
  </w:style>
  <w:style w:type="character" w:styleId="TekstpodstawowywcityZnak" w:customStyle="1">
    <w:name w:val="Tekst podstawowy wcięty Znak"/>
    <w:basedOn w:val="DefaultParagraphFont"/>
    <w:link w:val="Tekstpodstawowywcity"/>
    <w:qFormat/>
    <w:rsid w:val="00c147a1"/>
    <w:rPr/>
  </w:style>
  <w:style w:type="character" w:styleId="Nagwek2Znak" w:customStyle="1">
    <w:name w:val="Nagłówek 2 Znak"/>
    <w:basedOn w:val="DefaultParagraphFont"/>
    <w:link w:val="Nagwek2"/>
    <w:qFormat/>
    <w:rsid w:val="00c147a1"/>
    <w:rPr>
      <w:rFonts w:ascii="Arial" w:hAnsi="Arial" w:eastAsia="Times New Roman" w:cs="Arial"/>
      <w:b/>
      <w:bCs/>
      <w:i/>
      <w:iCs/>
      <w:sz w:val="28"/>
      <w:szCs w:val="28"/>
    </w:rPr>
  </w:style>
  <w:style w:type="character" w:styleId="NagwekZnak" w:customStyle="1">
    <w:name w:val="Nagłówek Znak"/>
    <w:basedOn w:val="DefaultParagraphFont"/>
    <w:link w:val="Nagwek"/>
    <w:qFormat/>
    <w:rsid w:val="00c147a1"/>
    <w:rPr>
      <w:rFonts w:ascii="Times New Roman" w:hAnsi="Times New Roman" w:eastAsia="Times New Roman" w:cs="Times New Roman"/>
      <w:sz w:val="20"/>
      <w:szCs w:val="20"/>
      <w:lang w:val="en-GB"/>
    </w:rPr>
  </w:style>
  <w:style w:type="character" w:styleId="Pagenumber">
    <w:name w:val="page number"/>
    <w:basedOn w:val="DefaultParagraphFont"/>
    <w:qFormat/>
    <w:rsid w:val="00c147a1"/>
    <w:rPr/>
  </w:style>
  <w:style w:type="character" w:styleId="StopkaZnak" w:customStyle="1">
    <w:name w:val="Stopka Znak"/>
    <w:basedOn w:val="DefaultParagraphFont"/>
    <w:link w:val="Stopka"/>
    <w:uiPriority w:val="99"/>
    <w:qFormat/>
    <w:rsid w:val="00c147a1"/>
    <w:rPr>
      <w:rFonts w:ascii="Times New Roman" w:hAnsi="Times New Roman" w:eastAsia="Times New Roman" w:cs="Times New Roman"/>
      <w:sz w:val="20"/>
      <w:szCs w:val="20"/>
    </w:rPr>
  </w:style>
  <w:style w:type="character" w:styleId="TytuZnak" w:customStyle="1">
    <w:name w:val="Tytuł Znak"/>
    <w:basedOn w:val="DefaultParagraphFont"/>
    <w:link w:val="Tytu"/>
    <w:qFormat/>
    <w:rsid w:val="00c147a1"/>
    <w:rPr>
      <w:rFonts w:ascii="Times New Roman" w:hAnsi="Times New Roman" w:eastAsia="Times New Roman" w:cs="Times New Roman"/>
      <w:b/>
      <w:bCs/>
      <w:sz w:val="20"/>
      <w:szCs w:val="20"/>
    </w:rPr>
  </w:style>
  <w:style w:type="character" w:styleId="Czeinternetowe" w:customStyle="1">
    <w:name w:val="Łącze internetowe"/>
    <w:uiPriority w:val="99"/>
    <w:unhideWhenUsed/>
    <w:rsid w:val="00c147a1"/>
    <w:rPr>
      <w:color w:val="0000FF"/>
      <w:u w:val="single"/>
    </w:rPr>
  </w:style>
  <w:style w:type="character" w:styleId="Wyrnienie">
    <w:name w:val="Wyróżnienie"/>
    <w:uiPriority w:val="20"/>
    <w:qFormat/>
    <w:rsid w:val="00c147a1"/>
    <w:rPr>
      <w:i/>
      <w:iCs/>
    </w:rPr>
  </w:style>
  <w:style w:type="character" w:styleId="PodtytuZnak" w:customStyle="1">
    <w:name w:val="Podtytuł Znak"/>
    <w:basedOn w:val="DefaultParagraphFont"/>
    <w:link w:val="Podtytu"/>
    <w:qFormat/>
    <w:rsid w:val="00c147a1"/>
    <w:rPr>
      <w:rFonts w:ascii="Times New Roman" w:hAnsi="Times New Roman" w:eastAsia="Times New Roman" w:cs="Times New Roman"/>
      <w:b/>
      <w:szCs w:val="24"/>
    </w:rPr>
  </w:style>
  <w:style w:type="character" w:styleId="TekstdymkaZnak" w:customStyle="1">
    <w:name w:val="Tekst dymka Znak"/>
    <w:basedOn w:val="DefaultParagraphFont"/>
    <w:link w:val="Tekstdymka"/>
    <w:uiPriority w:val="99"/>
    <w:semiHidden/>
    <w:qFormat/>
    <w:rsid w:val="00c147a1"/>
    <w:rPr>
      <w:rFonts w:ascii="Tahoma" w:hAnsi="Tahoma" w:cs="Tahoma"/>
      <w:sz w:val="16"/>
      <w:szCs w:val="16"/>
    </w:rPr>
  </w:style>
  <w:style w:type="character" w:styleId="Annotationreference">
    <w:name w:val="annotation reference"/>
    <w:basedOn w:val="DefaultParagraphFont"/>
    <w:uiPriority w:val="99"/>
    <w:semiHidden/>
    <w:unhideWhenUsed/>
    <w:qFormat/>
    <w:rsid w:val="00b02ee2"/>
    <w:rPr>
      <w:sz w:val="16"/>
      <w:szCs w:val="16"/>
    </w:rPr>
  </w:style>
  <w:style w:type="character" w:styleId="TekstkomentarzaZnak" w:customStyle="1">
    <w:name w:val="Tekst komentarza Znak"/>
    <w:basedOn w:val="DefaultParagraphFont"/>
    <w:link w:val="Tekstkomentarza"/>
    <w:uiPriority w:val="99"/>
    <w:semiHidden/>
    <w:qFormat/>
    <w:rsid w:val="00b02ee2"/>
    <w:rPr>
      <w:sz w:val="20"/>
      <w:szCs w:val="20"/>
    </w:rPr>
  </w:style>
  <w:style w:type="character" w:styleId="TematkomentarzaZnak" w:customStyle="1">
    <w:name w:val="Temat komentarza Znak"/>
    <w:basedOn w:val="TekstkomentarzaZnak"/>
    <w:link w:val="Tematkomentarza"/>
    <w:uiPriority w:val="99"/>
    <w:semiHidden/>
    <w:qFormat/>
    <w:rsid w:val="00b02ee2"/>
    <w:rPr>
      <w:b/>
      <w:bCs/>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nhideWhenUsed/>
    <w:rsid w:val="00b11d3f"/>
    <w:pPr>
      <w:overflowPunct w:val="true"/>
      <w:spacing w:lineRule="auto" w:line="240" w:before="0" w:after="0"/>
      <w:jc w:val="both"/>
    </w:pPr>
    <w:rPr>
      <w:rFonts w:ascii="Arial" w:hAnsi="Arial" w:eastAsia="Times New Roman" w:cs="Times New Roman"/>
      <w:sz w:val="24"/>
      <w:szCs w:val="20"/>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ekstpodstawowy31" w:customStyle="1">
    <w:name w:val="Tekst podstawowy 31"/>
    <w:basedOn w:val="Normal"/>
    <w:qFormat/>
    <w:rsid w:val="00b11d3f"/>
    <w:pPr>
      <w:overflowPunct w:val="true"/>
      <w:spacing w:lineRule="auto" w:line="240" w:before="0" w:after="0"/>
      <w:jc w:val="center"/>
    </w:pPr>
    <w:rPr>
      <w:rFonts w:ascii="Times New Roman" w:hAnsi="Times New Roman" w:eastAsia="Times New Roman" w:cs="Times New Roman"/>
      <w:b/>
      <w:sz w:val="24"/>
      <w:szCs w:val="20"/>
    </w:rPr>
  </w:style>
  <w:style w:type="paragraph" w:styleId="Wcicietrecitekstu">
    <w:name w:val="Body Text Indent"/>
    <w:basedOn w:val="Normal"/>
    <w:link w:val="TekstpodstawowywcityZnak"/>
    <w:unhideWhenUsed/>
    <w:rsid w:val="00c147a1"/>
    <w:pPr>
      <w:spacing w:before="0" w:after="120"/>
      <w:ind w:left="283" w:hanging="0"/>
    </w:pPr>
    <w:rPr/>
  </w:style>
  <w:style w:type="paragraph" w:styleId="Gwkaistopka">
    <w:name w:val="Główka i stopka"/>
    <w:basedOn w:val="Normal"/>
    <w:qFormat/>
    <w:pPr/>
    <w:rPr/>
  </w:style>
  <w:style w:type="paragraph" w:styleId="Gwka">
    <w:name w:val="Header"/>
    <w:basedOn w:val="Normal"/>
    <w:link w:val="NagwekZnak"/>
    <w:rsid w:val="00c147a1"/>
    <w:pPr>
      <w:tabs>
        <w:tab w:val="clear" w:pos="708"/>
        <w:tab w:val="center" w:pos="4536" w:leader="none"/>
        <w:tab w:val="right" w:pos="9072" w:leader="none"/>
      </w:tabs>
      <w:overflowPunct w:val="true"/>
      <w:spacing w:lineRule="auto" w:line="240" w:before="0" w:after="0"/>
      <w:textAlignment w:val="baseline"/>
    </w:pPr>
    <w:rPr>
      <w:rFonts w:ascii="Times New Roman" w:hAnsi="Times New Roman" w:eastAsia="Times New Roman" w:cs="Times New Roman"/>
      <w:sz w:val="20"/>
      <w:szCs w:val="20"/>
      <w:lang w:val="en-GB"/>
    </w:rPr>
  </w:style>
  <w:style w:type="paragraph" w:styleId="Stopka">
    <w:name w:val="Footer"/>
    <w:basedOn w:val="Normal"/>
    <w:link w:val="StopkaZnak"/>
    <w:uiPriority w:val="99"/>
    <w:rsid w:val="00c147a1"/>
    <w:pPr>
      <w:tabs>
        <w:tab w:val="clear" w:pos="708"/>
        <w:tab w:val="center" w:pos="4536" w:leader="none"/>
        <w:tab w:val="right" w:pos="9072" w:leader="none"/>
      </w:tabs>
      <w:spacing w:lineRule="auto" w:line="240" w:before="0" w:after="0"/>
    </w:pPr>
    <w:rPr>
      <w:rFonts w:ascii="Times New Roman" w:hAnsi="Times New Roman" w:eastAsia="Times New Roman" w:cs="Times New Roman"/>
      <w:sz w:val="20"/>
      <w:szCs w:val="20"/>
    </w:rPr>
  </w:style>
  <w:style w:type="paragraph" w:styleId="ListParagraph">
    <w:name w:val="List Paragraph"/>
    <w:basedOn w:val="Normal"/>
    <w:uiPriority w:val="34"/>
    <w:qFormat/>
    <w:rsid w:val="00c147a1"/>
    <w:pPr>
      <w:spacing w:lineRule="auto" w:line="240" w:before="0" w:after="0"/>
      <w:ind w:left="720" w:hanging="0"/>
      <w:contextualSpacing/>
    </w:pPr>
    <w:rPr>
      <w:rFonts w:ascii="Times New Roman" w:hAnsi="Times New Roman" w:eastAsia="Times New Roman" w:cs="Times New Roman"/>
      <w:sz w:val="24"/>
      <w:szCs w:val="24"/>
    </w:rPr>
  </w:style>
  <w:style w:type="paragraph" w:styleId="Tytu">
    <w:name w:val="Title"/>
    <w:basedOn w:val="Normal"/>
    <w:link w:val="TytuZnak"/>
    <w:qFormat/>
    <w:rsid w:val="00c147a1"/>
    <w:pPr>
      <w:spacing w:lineRule="auto" w:line="240" w:before="0" w:after="0"/>
      <w:jc w:val="center"/>
    </w:pPr>
    <w:rPr>
      <w:rFonts w:ascii="Times New Roman" w:hAnsi="Times New Roman" w:eastAsia="Times New Roman" w:cs="Times New Roman"/>
      <w:b/>
      <w:bCs/>
      <w:sz w:val="20"/>
      <w:szCs w:val="20"/>
    </w:rPr>
  </w:style>
  <w:style w:type="paragraph" w:styleId="Podtytu">
    <w:name w:val="Subtitle"/>
    <w:basedOn w:val="Normal"/>
    <w:link w:val="PodtytuZnak"/>
    <w:qFormat/>
    <w:rsid w:val="00c147a1"/>
    <w:pPr>
      <w:tabs>
        <w:tab w:val="clear" w:pos="708"/>
        <w:tab w:val="left" w:pos="6096" w:leader="none"/>
      </w:tabs>
      <w:spacing w:lineRule="auto" w:line="240" w:before="0" w:after="0"/>
      <w:jc w:val="center"/>
    </w:pPr>
    <w:rPr>
      <w:rFonts w:ascii="Times New Roman" w:hAnsi="Times New Roman" w:eastAsia="Times New Roman" w:cs="Times New Roman"/>
      <w:b/>
      <w:szCs w:val="24"/>
    </w:rPr>
  </w:style>
  <w:style w:type="paragraph" w:styleId="BalloonText">
    <w:name w:val="Balloon Text"/>
    <w:basedOn w:val="Normal"/>
    <w:link w:val="TekstdymkaZnak"/>
    <w:uiPriority w:val="99"/>
    <w:semiHidden/>
    <w:unhideWhenUsed/>
    <w:qFormat/>
    <w:rsid w:val="00c147a1"/>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b02ee2"/>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b02ee2"/>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p.umig.polaniec.pl/" TargetMode="External"/><Relationship Id="rId3" Type="http://schemas.openxmlformats.org/officeDocument/2006/relationships/hyperlink" Target="http://www.portal.polaniec.eu/" TargetMode="External"/><Relationship Id="rId4" Type="http://schemas.openxmlformats.org/officeDocument/2006/relationships/hyperlink" Target="http://www.portal.polaniec.eu/" TargetMode="External"/><Relationship Id="rId5" Type="http://schemas.openxmlformats.org/officeDocument/2006/relationships/hyperlink" Target="mailto:andrzej@e-direction.pl" TargetMode="External"/><Relationship Id="rId6" Type="http://schemas.openxmlformats.org/officeDocument/2006/relationships/hyperlink" Target="https://uodo.gov.pl/"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C465-1DBD-4B1B-B82D-19F1D4C9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Application>LibreOffice/6.3.3.2$Windows_X86_64 LibreOffice_project/a64200df03143b798afd1ec74a12ab50359878ed</Application>
  <Pages>22</Pages>
  <Words>7527</Words>
  <Characters>49542</Characters>
  <CharactersWithSpaces>58976</CharactersWithSpaces>
  <Paragraphs>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2021-08-19T07:09:00Z</dcterms:created>
  <dc:creator>Twoja nazwa użytkownika</dc:creator>
  <dc:description/>
  <dc:language>pl-PL</dc:language>
  <cp:lastModifiedBy/>
  <cp:lastPrinted>2021-08-19T11:40:00Z</cp:lastPrinted>
  <dcterms:modified xsi:type="dcterms:W3CDTF">2021-08-19T15:23:29Z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